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Altmaier Judy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23"/>
        <w:spacing w:after="0"/>
        <w:rPr>
          <w:sz w:val="20"/>
          <w:szCs w:val="20"/>
          <w:color w:val="auto"/>
        </w:rPr>
      </w:pPr>
      <w:r>
        <w:rPr>
          <w:rFonts w:ascii="Arial" w:cs="Arial" w:eastAsia="Arial" w:hAnsi="Arial"/>
          <w:sz w:val="18"/>
          <w:szCs w:val="18"/>
          <w:color w:val="0000FF"/>
        </w:rPr>
        <w:t>VP, Exmark</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12/05/2013</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5"/>
              </w:rPr>
              <w:t>5,810</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15,926.723</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gridSpan w:val="2"/>
          </w:tcPr>
          <w:p>
            <w:pPr>
              <w:jc w:val="center"/>
              <w:ind w:right="19"/>
              <w:spacing w:after="0"/>
              <w:rPr>
                <w:sz w:val="20"/>
                <w:szCs w:val="20"/>
                <w:color w:val="auto"/>
              </w:rPr>
            </w:pPr>
            <w:r>
              <w:rPr>
                <w:rFonts w:ascii="Arial" w:cs="Arial" w:eastAsia="Arial" w:hAnsi="Arial"/>
                <w:sz w:val="18"/>
                <w:szCs w:val="18"/>
                <w:color w:val="0000FF"/>
                <w:w w:val="87"/>
              </w:rPr>
              <w:t>6,656.267</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ind w:right="19"/>
              <w:spacing w:after="0" w:line="217" w:lineRule="exact"/>
              <w:rPr>
                <w:sz w:val="20"/>
                <w:szCs w:val="20"/>
                <w:color w:val="auto"/>
              </w:rPr>
            </w:pPr>
            <w:r>
              <w:rPr>
                <w:rFonts w:ascii="Arial" w:cs="Arial" w:eastAsia="Arial" w:hAnsi="Arial"/>
                <w:sz w:val="18"/>
                <w:szCs w:val="18"/>
                <w:color w:val="0000FF"/>
                <w:w w:val="84"/>
              </w:rPr>
              <w:t>150.092</w:t>
            </w:r>
            <w:r>
              <w:rPr>
                <w:rFonts w:ascii="Arial" w:cs="Arial" w:eastAsia="Arial" w:hAnsi="Arial"/>
                <w:sz w:val="22"/>
                <w:szCs w:val="22"/>
                <w:color w:val="008000"/>
                <w:w w:val="84"/>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7"/>
          </w:tcPr>
          <w:p>
            <w:pPr>
              <w:spacing w:after="0"/>
              <w:rPr>
                <w:sz w:val="8"/>
                <w:szCs w:val="8"/>
                <w:color w:val="auto"/>
              </w:rPr>
            </w:pPr>
          </w:p>
        </w:tc>
        <w:tc>
          <w:tcPr>
            <w:tcW w:w="3540" w:type="dxa"/>
            <w:vAlign w:val="bottom"/>
            <w:tcBorders>
              <w:bottom w:val="single" w:sz="8" w:color="2C2C2C"/>
            </w:tcBorders>
            <w:gridSpan w:val="5"/>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12/06/2013</w:t>
            </w:r>
          </w:p>
        </w:tc>
        <w:tc>
          <w:tcPr>
            <w:tcW w:w="114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12"/>
                <w:szCs w:val="12"/>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7,200</w:t>
            </w:r>
          </w:p>
        </w:tc>
        <w:tc>
          <w:tcPr>
            <w:tcW w:w="300" w:type="dxa"/>
            <w:vAlign w:val="bottom"/>
          </w:tcPr>
          <w:p>
            <w:pPr>
              <w:spacing w:after="0"/>
              <w:rPr>
                <w:sz w:val="12"/>
                <w:szCs w:val="12"/>
                <w:color w:val="auto"/>
              </w:rPr>
            </w:pPr>
          </w:p>
        </w:tc>
        <w:tc>
          <w:tcPr>
            <w:tcW w:w="84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40"/>
              <w:spacing w:after="0"/>
              <w:rPr>
                <w:sz w:val="20"/>
                <w:szCs w:val="20"/>
                <w:color w:val="auto"/>
              </w:rPr>
            </w:pPr>
            <w:r>
              <w:rPr>
                <w:rFonts w:ascii="Arial" w:cs="Arial" w:eastAsia="Arial" w:hAnsi="Arial"/>
                <w:sz w:val="14"/>
                <w:szCs w:val="14"/>
                <w:color w:val="0000FF"/>
                <w:w w:val="96"/>
              </w:rPr>
              <w:t>12/06/2023</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7,200</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7,200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2011 to Fiscal 2013 Performance Period under The Toro Company 2010 Equity and Incentive Plan, as amended, as approved by the registrant's Compensation &amp; Human Resources Committee of its Board of Directors on December 3, 2013, and which was conditioned upon and subject to confirmation by the registrant's Fiscal 2013 financial results that were released on December 5, 2013.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116.723 performance share units acquired by the reporting person under the dividend reinvestment feature of the Deferred Plan since the date of her last report.</w:t>
      </w:r>
    </w:p>
    <w:p>
      <w:pPr>
        <w:spacing w:after="0" w:line="41" w:lineRule="exact"/>
        <w:rPr>
          <w:rFonts w:ascii="Arial" w:cs="Arial" w:eastAsia="Arial" w:hAnsi="Arial"/>
          <w:sz w:val="14"/>
          <w:szCs w:val="14"/>
          <w:color w:val="008000"/>
        </w:rPr>
      </w:pPr>
    </w:p>
    <w:p>
      <w:pPr>
        <w:ind w:left="40" w:right="6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her last report: 1.477 shares acquired under the dividend reinvestment feature of The Toro Company Investment, Savings &amp; ESOP (IS&amp;ESOP); and 78.041 shares acquired through issuer annual investment fund contributions to and revenue credit allocations in the IS&amp;ESOP.</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12/09/2013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w:t>
      </w:r>
    </w:p>
    <w:p>
      <w:pPr>
        <w:spacing w:after="0"/>
        <w:rPr>
          <w:sz w:val="20"/>
          <w:szCs w:val="20"/>
          <w:color w:val="auto"/>
        </w:rPr>
      </w:pPr>
      <w:r>
        <w:rPr>
          <w:rFonts w:ascii="Courier New" w:cs="Courier New" w:eastAsia="Courier New" w:hAnsi="Courier New"/>
          <w:sz w:val="18"/>
          <w:szCs w:val="18"/>
          <w:color w:val="auto"/>
        </w:rPr>
        <w:t>The Toro 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Judy L. Altmaier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Judy L. Altmaier</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11/15/2013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480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2019-12-17T02:38:38Z</dcterms:created>
  <dcterms:modified xsi:type="dcterms:W3CDTF">2019-12-17T02:38:38Z</dcterms:modified>
</cp:coreProperties>
</file>