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780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78040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Redetzke Darren L</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09/28/2012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47"/>
        <w:spacing w:after="0"/>
        <w:rPr>
          <w:sz w:val="20"/>
          <w:szCs w:val="20"/>
          <w:color w:val="auto"/>
        </w:rPr>
      </w:pPr>
      <w:r>
        <w:rPr>
          <w:rFonts w:ascii="Arial" w:cs="Arial" w:eastAsia="Arial" w:hAnsi="Arial"/>
          <w:sz w:val="17"/>
          <w:szCs w:val="17"/>
          <w:color w:val="0000FF"/>
        </w:rPr>
        <w:t>VP, Commercial Business</w:t>
      </w:r>
    </w:p>
    <w:p>
      <w:pPr>
        <w:spacing w:after="0" w:line="326" w:lineRule="exact"/>
        <w:rPr>
          <w:sz w:val="24"/>
          <w:szCs w:val="24"/>
          <w:color w:val="auto"/>
        </w:rPr>
      </w:pPr>
    </w:p>
    <w:p>
      <w:pPr>
        <w:sectPr>
          <w:pgSz w:w="11900" w:h="16838" w:orient="portrait"/>
          <w:cols w:equalWidth="0" w:num="3">
            <w:col w:w="3340" w:space="720"/>
            <w:col w:w="3253" w:space="720"/>
            <w:col w:w="3487"/>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80"/>
              <w:spacing w:after="0"/>
              <w:rPr>
                <w:sz w:val="20"/>
                <w:szCs w:val="20"/>
                <w:color w:val="auto"/>
              </w:rPr>
            </w:pPr>
            <w:r>
              <w:rPr>
                <w:rFonts w:ascii="Arial" w:cs="Arial" w:eastAsia="Arial" w:hAnsi="Arial"/>
                <w:sz w:val="17"/>
                <w:szCs w:val="17"/>
                <w:color w:val="0000FF"/>
              </w:rPr>
              <w:t>55420-1196</w:t>
            </w:r>
          </w:p>
        </w:tc>
      </w:tr>
      <w:tr>
        <w:trPr>
          <w:trHeight w:val="154"/>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580"/>
              <w:spacing w:after="0" w:line="130"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136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1360" w:type="dxa"/>
            <w:vAlign w:val="bottom"/>
            <w:gridSpan w:val="2"/>
          </w:tcPr>
          <w:p>
            <w:pPr>
              <w:jc w:val="center"/>
              <w:ind w:left="280"/>
              <w:spacing w:after="0" w:line="133"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6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09/28/2012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7,800</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tcPr>
          <w:p>
            <w:pPr>
              <w:jc w:val="center"/>
              <w:ind w:right="5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27.465</w:t>
            </w:r>
          </w:p>
        </w:tc>
        <w:tc>
          <w:tcPr>
            <w:tcW w:w="1580" w:type="dxa"/>
            <w:vAlign w:val="bottom"/>
            <w:tcBorders>
              <w:bottom w:val="single" w:sz="8" w:color="2C2C2C"/>
            </w:tcBorders>
            <w:gridSpan w:val="3"/>
          </w:tcPr>
          <w:p>
            <w:pPr>
              <w:jc w:val="center"/>
              <w:ind w:right="340"/>
              <w:spacing w:after="0"/>
              <w:rPr>
                <w:sz w:val="20"/>
                <w:szCs w:val="20"/>
                <w:color w:val="auto"/>
              </w:rPr>
            </w:pPr>
            <w:r>
              <w:rPr>
                <w:rFonts w:ascii="Arial" w:cs="Arial" w:eastAsia="Arial" w:hAnsi="Arial"/>
                <w:sz w:val="17"/>
                <w:szCs w:val="17"/>
                <w:color w:val="0000FF"/>
                <w:w w:val="87"/>
              </w:rPr>
              <w:t>11,492.484</w:t>
            </w:r>
            <w:r>
              <w:rPr>
                <w:rFonts w:ascii="Arial" w:cs="Arial" w:eastAsia="Arial" w:hAnsi="Arial"/>
                <w:sz w:val="22"/>
                <w:szCs w:val="22"/>
                <w:color w:val="008000"/>
                <w:w w:val="87"/>
                <w:vertAlign w:val="superscript"/>
              </w:rPr>
              <w:t>(1)</w:t>
            </w:r>
          </w:p>
        </w:tc>
        <w:tc>
          <w:tcPr>
            <w:tcW w:w="580" w:type="dxa"/>
            <w:vAlign w:val="bottom"/>
            <w:tcBorders>
              <w:bottom w:val="single" w:sz="8" w:color="2C2C2C"/>
            </w:tcBorders>
          </w:tcPr>
          <w:p>
            <w:pPr>
              <w:jc w:val="center"/>
              <w:ind w:right="311"/>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09/28/2012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7,800</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39.406</w:t>
            </w:r>
            <w:r>
              <w:rPr>
                <w:rFonts w:ascii="Arial" w:cs="Arial" w:eastAsia="Arial" w:hAnsi="Arial"/>
                <w:sz w:val="22"/>
                <w:szCs w:val="22"/>
                <w:color w:val="008000"/>
                <w:w w:val="98"/>
                <w:vertAlign w:val="superscript"/>
              </w:rPr>
              <w:t>(2)</w:t>
            </w:r>
          </w:p>
        </w:tc>
        <w:tc>
          <w:tcPr>
            <w:tcW w:w="1580" w:type="dxa"/>
            <w:vAlign w:val="bottom"/>
            <w:tcBorders>
              <w:bottom w:val="single" w:sz="8" w:color="2C2C2C"/>
            </w:tcBorders>
            <w:gridSpan w:val="3"/>
          </w:tcPr>
          <w:p>
            <w:pPr>
              <w:jc w:val="center"/>
              <w:ind w:right="320"/>
              <w:spacing w:after="0"/>
              <w:rPr>
                <w:sz w:val="20"/>
                <w:szCs w:val="20"/>
                <w:color w:val="auto"/>
              </w:rPr>
            </w:pPr>
            <w:r>
              <w:rPr>
                <w:rFonts w:ascii="Arial" w:cs="Arial" w:eastAsia="Arial" w:hAnsi="Arial"/>
                <w:sz w:val="17"/>
                <w:szCs w:val="17"/>
                <w:color w:val="0000FF"/>
                <w:w w:val="89"/>
              </w:rPr>
              <w:t>3,692.484</w:t>
            </w:r>
          </w:p>
        </w:tc>
        <w:tc>
          <w:tcPr>
            <w:tcW w:w="580" w:type="dxa"/>
            <w:vAlign w:val="bottom"/>
            <w:tcBorders>
              <w:bottom w:val="single" w:sz="8" w:color="2C2C2C"/>
            </w:tcBorders>
          </w:tcPr>
          <w:p>
            <w:pPr>
              <w:jc w:val="center"/>
              <w:ind w:right="311"/>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gridSpan w:val="3"/>
          </w:tcPr>
          <w:p>
            <w:pPr>
              <w:jc w:val="center"/>
              <w:ind w:right="320"/>
              <w:spacing w:after="0" w:line="212" w:lineRule="exact"/>
              <w:rPr>
                <w:sz w:val="20"/>
                <w:szCs w:val="20"/>
                <w:color w:val="auto"/>
              </w:rPr>
            </w:pPr>
            <w:r>
              <w:rPr>
                <w:rFonts w:ascii="Arial" w:cs="Arial" w:eastAsia="Arial" w:hAnsi="Arial"/>
                <w:sz w:val="17"/>
                <w:szCs w:val="17"/>
                <w:color w:val="0000FF"/>
                <w:w w:val="89"/>
              </w:rPr>
              <w:t>14,950.796</w:t>
            </w:r>
            <w:r>
              <w:rPr>
                <w:rFonts w:ascii="Arial" w:cs="Arial" w:eastAsia="Arial" w:hAnsi="Arial"/>
                <w:sz w:val="22"/>
                <w:szCs w:val="22"/>
                <w:color w:val="008000"/>
                <w:w w:val="89"/>
                <w:vertAlign w:val="superscript"/>
              </w:rPr>
              <w:t>(3)</w:t>
            </w:r>
          </w:p>
        </w:tc>
        <w:tc>
          <w:tcPr>
            <w:tcW w:w="580" w:type="dxa"/>
            <w:vAlign w:val="bottom"/>
          </w:tcPr>
          <w:p>
            <w:pPr>
              <w:jc w:val="center"/>
              <w:ind w:right="33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296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Number of</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Acquired (A)</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8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860" w:type="dxa"/>
            <w:vAlign w:val="bottom"/>
          </w:tcPr>
          <w:p>
            <w:pPr>
              <w:ind w:left="3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640" w:type="dxa"/>
            <w:vAlign w:val="bottom"/>
          </w:tcPr>
          <w:p>
            <w:pPr>
              <w:spacing w:after="0"/>
              <w:rPr>
                <w:sz w:val="20"/>
                <w:szCs w:val="20"/>
                <w:color w:val="auto"/>
              </w:rPr>
            </w:pPr>
            <w:r>
              <w:rPr>
                <w:rFonts w:ascii="Arial" w:cs="Arial" w:eastAsia="Arial" w:hAnsi="Arial"/>
                <w:sz w:val="13"/>
                <w:szCs w:val="13"/>
                <w:color w:val="0000FF"/>
              </w:rPr>
              <w:t>Non-</w:t>
            </w:r>
          </w:p>
        </w:tc>
        <w:tc>
          <w:tcPr>
            <w:tcW w:w="8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208"/>
        </w:trPr>
        <w:tc>
          <w:tcPr>
            <w:tcW w:w="640" w:type="dxa"/>
            <w:vAlign w:val="bottom"/>
          </w:tcPr>
          <w:p>
            <w:pPr>
              <w:spacing w:after="0"/>
              <w:rPr>
                <w:sz w:val="20"/>
                <w:szCs w:val="20"/>
                <w:color w:val="auto"/>
              </w:rPr>
            </w:pPr>
            <w:r>
              <w:rPr>
                <w:rFonts w:ascii="Arial" w:cs="Arial" w:eastAsia="Arial" w:hAnsi="Arial"/>
                <w:sz w:val="13"/>
                <w:szCs w:val="13"/>
                <w:color w:val="0000FF"/>
              </w:rPr>
              <w:t>Qualified</w:t>
            </w:r>
          </w:p>
        </w:tc>
        <w:tc>
          <w:tcPr>
            <w:tcW w:w="880" w:type="dxa"/>
            <w:vAlign w:val="bottom"/>
          </w:tcPr>
          <w:p>
            <w:pPr>
              <w:jc w:val="right"/>
              <w:ind w:right="120"/>
              <w:spacing w:after="0" w:line="20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27.465</w:t>
            </w:r>
            <w:r>
              <w:rPr>
                <w:rFonts w:ascii="Arial" w:cs="Arial" w:eastAsia="Arial" w:hAnsi="Arial"/>
                <w:sz w:val="22"/>
                <w:szCs w:val="22"/>
                <w:color w:val="008000"/>
                <w:vertAlign w:val="superscript"/>
              </w:rPr>
              <w:t>(4)</w:t>
            </w:r>
          </w:p>
        </w:tc>
        <w:tc>
          <w:tcPr>
            <w:tcW w:w="1560" w:type="dxa"/>
            <w:vAlign w:val="bottom"/>
          </w:tcPr>
          <w:p>
            <w:pPr>
              <w:jc w:val="right"/>
              <w:ind w:right="694"/>
              <w:spacing w:after="0"/>
              <w:rPr>
                <w:sz w:val="20"/>
                <w:szCs w:val="20"/>
                <w:color w:val="auto"/>
              </w:rPr>
            </w:pPr>
            <w:r>
              <w:rPr>
                <w:rFonts w:ascii="Arial" w:cs="Arial" w:eastAsia="Arial" w:hAnsi="Arial"/>
                <w:sz w:val="13"/>
                <w:szCs w:val="13"/>
                <w:color w:val="0000FF"/>
              </w:rPr>
              <w:t>09/28/2012</w:t>
            </w:r>
          </w:p>
        </w:tc>
        <w:tc>
          <w:tcPr>
            <w:tcW w:w="1360" w:type="dxa"/>
            <w:vAlign w:val="bottom"/>
          </w:tcPr>
          <w:p>
            <w:pPr>
              <w:ind w:left="760"/>
              <w:spacing w:after="0"/>
              <w:rPr>
                <w:sz w:val="20"/>
                <w:szCs w:val="20"/>
                <w:color w:val="auto"/>
              </w:rPr>
            </w:pPr>
            <w:r>
              <w:rPr>
                <w:rFonts w:ascii="Arial" w:cs="Arial" w:eastAsia="Arial" w:hAnsi="Arial"/>
                <w:sz w:val="13"/>
                <w:szCs w:val="13"/>
                <w:color w:val="0000FF"/>
              </w:rPr>
              <w:t>M</w:t>
            </w:r>
          </w:p>
        </w:tc>
        <w:tc>
          <w:tcPr>
            <w:tcW w:w="2520" w:type="dxa"/>
            <w:vAlign w:val="bottom"/>
          </w:tcPr>
          <w:p>
            <w:pPr>
              <w:jc w:val="right"/>
              <w:ind w:right="14"/>
              <w:spacing w:after="0" w:line="208" w:lineRule="exact"/>
              <w:rPr>
                <w:sz w:val="20"/>
                <w:szCs w:val="20"/>
                <w:color w:val="auto"/>
              </w:rPr>
            </w:pPr>
            <w:r>
              <w:rPr>
                <w:rFonts w:ascii="Arial" w:cs="Arial" w:eastAsia="Arial" w:hAnsi="Arial"/>
                <w:sz w:val="13"/>
                <w:szCs w:val="13"/>
                <w:color w:val="0000FF"/>
              </w:rPr>
              <w:t>7,800</w:t>
            </w:r>
            <w:r>
              <w:rPr>
                <w:rFonts w:ascii="Arial" w:cs="Arial" w:eastAsia="Arial" w:hAnsi="Arial"/>
                <w:sz w:val="22"/>
                <w:szCs w:val="22"/>
                <w:color w:val="008000"/>
                <w:vertAlign w:val="superscript"/>
              </w:rPr>
              <w:t>(4)</w:t>
            </w:r>
            <w:r>
              <w:rPr>
                <w:rFonts w:ascii="Arial" w:cs="Arial" w:eastAsia="Arial" w:hAnsi="Arial"/>
                <w:sz w:val="13"/>
                <w:szCs w:val="13"/>
                <w:color w:val="0000FF"/>
              </w:rPr>
              <w:t xml:space="preserve">   11/28/2008   11/28/2017</w:t>
            </w:r>
          </w:p>
        </w:tc>
        <w:tc>
          <w:tcPr>
            <w:tcW w:w="64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760" w:type="dxa"/>
            <w:vAlign w:val="bottom"/>
          </w:tcPr>
          <w:p>
            <w:pPr>
              <w:jc w:val="right"/>
              <w:ind w:right="94"/>
              <w:spacing w:after="0" w:line="208" w:lineRule="exact"/>
              <w:rPr>
                <w:sz w:val="20"/>
                <w:szCs w:val="20"/>
                <w:color w:val="auto"/>
              </w:rPr>
            </w:pPr>
            <w:r>
              <w:rPr>
                <w:rFonts w:ascii="Arial" w:cs="Arial" w:eastAsia="Arial" w:hAnsi="Arial"/>
                <w:sz w:val="17"/>
                <w:szCs w:val="17"/>
                <w:color w:val="0000FF"/>
                <w:w w:val="92"/>
              </w:rPr>
              <w:t>7,800</w:t>
            </w:r>
            <w:r>
              <w:rPr>
                <w:rFonts w:ascii="Arial" w:cs="Arial" w:eastAsia="Arial" w:hAnsi="Arial"/>
                <w:sz w:val="22"/>
                <w:szCs w:val="22"/>
                <w:color w:val="008000"/>
                <w:w w:val="92"/>
                <w:vertAlign w:val="superscript"/>
              </w:rPr>
              <w:t>(4)</w:t>
            </w:r>
          </w:p>
        </w:tc>
        <w:tc>
          <w:tcPr>
            <w:tcW w:w="680" w:type="dxa"/>
            <w:vAlign w:val="bottom"/>
          </w:tcPr>
          <w:p>
            <w:pPr>
              <w:jc w:val="right"/>
              <w:ind w:righ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tcPr>
          <w:p>
            <w:pPr>
              <w:jc w:val="right"/>
              <w:ind w:right="314"/>
              <w:spacing w:after="0"/>
              <w:rPr>
                <w:sz w:val="20"/>
                <w:szCs w:val="20"/>
                <w:color w:val="auto"/>
              </w:rPr>
            </w:pPr>
            <w:r>
              <w:rPr>
                <w:rFonts w:ascii="Arial" w:cs="Arial" w:eastAsia="Arial" w:hAnsi="Arial"/>
                <w:sz w:val="13"/>
                <w:szCs w:val="13"/>
                <w:color w:val="0000FF"/>
              </w:rPr>
              <w:t>0</w:t>
            </w:r>
          </w:p>
        </w:tc>
        <w:tc>
          <w:tcPr>
            <w:tcW w:w="480" w:type="dxa"/>
            <w:vAlign w:val="bottom"/>
          </w:tcPr>
          <w:p>
            <w:pPr>
              <w:ind w:left="400"/>
              <w:spacing w:after="0"/>
              <w:rPr>
                <w:sz w:val="20"/>
                <w:szCs w:val="20"/>
                <w:color w:val="auto"/>
              </w:rPr>
            </w:pPr>
            <w:r>
              <w:rPr>
                <w:rFonts w:ascii="Arial" w:cs="Arial" w:eastAsia="Arial" w:hAnsi="Arial"/>
                <w:sz w:val="11"/>
                <w:szCs w:val="11"/>
                <w:color w:val="0000FF"/>
                <w:w w:val="74"/>
              </w:rPr>
              <w:t>D</w:t>
            </w:r>
          </w:p>
        </w:tc>
      </w:tr>
      <w:tr>
        <w:trPr>
          <w:trHeight w:val="94"/>
        </w:trPr>
        <w:tc>
          <w:tcPr>
            <w:tcW w:w="640" w:type="dxa"/>
            <w:vAlign w:val="bottom"/>
          </w:tcPr>
          <w:p>
            <w:pPr>
              <w:spacing w:after="0" w:line="94" w:lineRule="exact"/>
              <w:rPr>
                <w:sz w:val="20"/>
                <w:szCs w:val="20"/>
                <w:color w:val="auto"/>
              </w:rPr>
            </w:pPr>
            <w:r>
              <w:rPr>
                <w:rFonts w:ascii="Arial" w:cs="Arial" w:eastAsia="Arial" w:hAnsi="Arial"/>
                <w:sz w:val="10"/>
                <w:szCs w:val="10"/>
                <w:color w:val="0000FF"/>
              </w:rPr>
              <w:t>Stock</w:t>
            </w:r>
          </w:p>
        </w:tc>
        <w:tc>
          <w:tcPr>
            <w:tcW w:w="8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40" w:type="dxa"/>
            <w:vAlign w:val="bottom"/>
          </w:tcPr>
          <w:p>
            <w:pPr>
              <w:jc w:val="center"/>
              <w:spacing w:after="0" w:line="94" w:lineRule="exact"/>
              <w:rPr>
                <w:sz w:val="20"/>
                <w:szCs w:val="20"/>
                <w:color w:val="auto"/>
              </w:rPr>
            </w:pPr>
            <w:r>
              <w:rPr>
                <w:rFonts w:ascii="Arial" w:cs="Arial" w:eastAsia="Arial" w:hAnsi="Arial"/>
                <w:sz w:val="10"/>
                <w:szCs w:val="10"/>
                <w:color w:val="0000FF"/>
              </w:rPr>
              <w:t>Stock</w:t>
            </w: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29, 2012, the common stock of the issuer split two-for-one (the "Stock Split"), resulting in the reporting person's ownership of 1,835.692 additional shares of common stock and 21.100 post-split shares of common stock acquired by the reporting person under a dividend reinvestment feature of the account in which the shares are held since the date of his last report. All future Form 4 and 5 filings made by the reporting person will include adjustments, as necessary, to reflect the Stock Split.</w:t>
      </w:r>
    </w:p>
    <w:p>
      <w:pPr>
        <w:spacing w:after="0" w:line="26" w:lineRule="exact"/>
        <w:rPr>
          <w:rFonts w:ascii="Arial" w:cs="Arial" w:eastAsia="Arial" w:hAnsi="Arial"/>
          <w:sz w:val="13"/>
          <w:szCs w:val="13"/>
          <w:color w:val="008000"/>
        </w:rPr>
      </w:pPr>
    </w:p>
    <w:p>
      <w:pPr>
        <w:ind w:left="40" w:right="38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$39.389 to $39.47,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Arial" w:cs="Arial" w:eastAsia="Arial" w:hAnsi="Arial"/>
          <w:sz w:val="13"/>
          <w:szCs w:val="13"/>
          <w:color w:val="008000"/>
        </w:rPr>
      </w:pPr>
    </w:p>
    <w:p>
      <w:pPr>
        <w:ind w:left="40" w:right="16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141.030 post-split shares acquired under the dividend reinvestment feature of The Toro Company Investment, Savings &amp; ESOP (IS&amp;ESOP); 102.944 post-split shares acquired through issuer annual investment fund contributions to the IS&amp;ESOP; and 7,353.411additional shares as a result of the Stock Split.</w:t>
      </w: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stock option was previously reported as covering 3,900 shares of common stock at an exercise price of $54.93 per share, and has been adjusted to reflect the Stock Split.</w:t>
      </w:r>
    </w:p>
    <w:p>
      <w:pPr>
        <w:spacing w:after="0" w:line="6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Nancy A. McGrath,</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10/01/2012</w:t>
            </w:r>
          </w:p>
        </w:tc>
        <w:tc>
          <w:tcPr>
            <w:tcW w:w="0" w:type="dxa"/>
            <w:vAlign w:val="bottom"/>
          </w:tcPr>
          <w:p>
            <w:pPr>
              <w:spacing w:after="0"/>
              <w:rPr>
                <w:sz w:val="1"/>
                <w:szCs w:val="1"/>
                <w:color w:val="auto"/>
              </w:rPr>
            </w:pPr>
          </w:p>
        </w:tc>
      </w:tr>
      <w:tr>
        <w:trPr>
          <w:trHeight w:val="86"/>
        </w:trPr>
        <w:tc>
          <w:tcPr>
            <w:tcW w:w="1580" w:type="dxa"/>
            <w:vAlign w:val="bottom"/>
            <w:tcBorders>
              <w:top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Attorney-in-Fact</w:t>
            </w:r>
          </w:p>
        </w:tc>
        <w:tc>
          <w:tcPr>
            <w:tcW w:w="5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58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37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2019-12-17T01:33:47Z</dcterms:created>
  <dcterms:modified xsi:type="dcterms:W3CDTF">2019-12-17T01:33:47Z</dcterms:modified>
</cp:coreProperties>
</file>