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69760" cy="1591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13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Olson Richard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12/16/2020</w:t>
      </w:r>
    </w:p>
    <w:p>
      <w:pPr>
        <w:spacing w:after="0" w:line="20" w:lineRule="exact"/>
        <w:rPr>
          <w:sz w:val="24"/>
          <w:szCs w:val="24"/>
          <w:color w:val="auto"/>
        </w:rPr>
      </w:pPr>
      <w:r>
        <w:rPr>
          <w:sz w:val="24"/>
          <w:szCs w:val="24"/>
          <w:color w:val="auto"/>
        </w:rPr>
        <w:br w:type="column"/>
      </w:r>
    </w:p>
    <w:p>
      <w:pPr>
        <w:ind w:left="5" w:right="660" w:hanging="5"/>
        <w:spacing w:after="0" w:line="25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6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6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2"/>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40" w:type="dxa"/>
            <w:vAlign w:val="bottom"/>
            <w:gridSpan w:val="8"/>
            <w:vMerge w:val="continue"/>
          </w:tcPr>
          <w:p>
            <w:pPr>
              <w:spacing w:after="0"/>
              <w:rPr>
                <w:sz w:val="9"/>
                <w:szCs w:val="9"/>
                <w:color w:val="auto"/>
              </w:rPr>
            </w:pPr>
          </w:p>
        </w:tc>
        <w:tc>
          <w:tcPr>
            <w:tcW w:w="3680" w:type="dxa"/>
            <w:vAlign w:val="bottom"/>
            <w:gridSpan w:val="1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2300" w:type="dxa"/>
            <w:vAlign w:val="bottom"/>
            <w:gridSpan w:val="5"/>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20" w:type="dxa"/>
            <w:vAlign w:val="bottom"/>
            <w:gridSpan w:val="9"/>
          </w:tcPr>
          <w:p>
            <w:pPr>
              <w:ind w:left="20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ind w:left="20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6"/>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12/16/2020</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16,529</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99,402.266</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11,049.461</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16,475.356</w:t>
            </w:r>
          </w:p>
        </w:tc>
        <w:tc>
          <w:tcPr>
            <w:tcW w:w="340" w:type="dxa"/>
            <w:vAlign w:val="bottom"/>
          </w:tcPr>
          <w:p>
            <w:pPr>
              <w:spacing w:after="0"/>
              <w:rPr>
                <w:sz w:val="17"/>
                <w:szCs w:val="17"/>
                <w:color w:val="auto"/>
              </w:rPr>
            </w:pPr>
          </w:p>
        </w:tc>
        <w:tc>
          <w:tcPr>
            <w:tcW w:w="540" w:type="dxa"/>
            <w:vAlign w:val="bottom"/>
            <w:vMerge w:val="restart"/>
          </w:tcPr>
          <w:p>
            <w:pPr>
              <w:jc w:val="center"/>
              <w:ind w:right="33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5"/>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5"/>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5"/>
          </w:tcPr>
          <w:p>
            <w:pPr>
              <w:ind w:left="8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vMerge w:val="continue"/>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93.33</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12/17/2020</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134,300</w:t>
            </w:r>
          </w:p>
        </w:tc>
        <w:tc>
          <w:tcPr>
            <w:tcW w:w="2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12/17/2030</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134,300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134,300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-3569970</wp:posOffset>
            </wp:positionV>
            <wp:extent cx="7034530" cy="3707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370713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34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2018 to Fiscal 2020 Performance Period under The Toro Company Amended and Restated 2010 Equity and Incentive Plan, as amended and restated, as approved by the Issuer's Compensation &amp; Human Resources Committee of its Board of Directors on December 1, 2020, and which was conditioned upon and subject to confirmation by the Issuer's Fiscal 2020 financial results that were released on December 16, 2020.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Angela D. Snavely,</w:t>
            </w:r>
          </w:p>
        </w:tc>
        <w:tc>
          <w:tcPr>
            <w:tcW w:w="7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12/18/2020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5408"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2020-12-18T16:17:23Z</dcterms:created>
  <dcterms:modified xsi:type="dcterms:W3CDTF">2020-12-18T16:17:23Z</dcterms:modified>
</cp:coreProperties>
</file>