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95"/>
        </w:trPr>
        <w:tc>
          <w:tcPr>
            <w:tcW w:w="58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5320" w:type="dxa"/>
            <w:vAlign w:val="bottom"/>
            <w:tcBorders>
              <w:bottom w:val="single" w:sz="8" w:color="auto"/>
            </w:tcBorders>
          </w:tcPr>
          <w:p>
            <w:pPr>
              <w:jc w:val="right"/>
              <w:ind w:right="2366"/>
              <w:spacing w:after="0"/>
              <w:rPr>
                <w:sz w:val="20"/>
                <w:szCs w:val="20"/>
                <w:color w:val="auto"/>
              </w:rPr>
            </w:pPr>
            <w:r>
              <w:rPr>
                <w:rFonts w:ascii="Times New Roman" w:cs="Times New Roman" w:eastAsia="Times New Roman" w:hAnsi="Times New Roman"/>
                <w:sz w:val="22"/>
                <w:szCs w:val="22"/>
                <w:b w:val="1"/>
                <w:bCs w:val="1"/>
                <w:color w:val="auto"/>
              </w:rPr>
              <w:t>1-8649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jc w:val="center"/>
              <w:ind w:right="143"/>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5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(Commission File Number)</w:t>
            </w:r>
          </w:p>
        </w:tc>
        <w:tc>
          <w:tcPr>
            <w:tcW w:w="0" w:type="dxa"/>
            <w:vAlign w:val="bottom"/>
          </w:tcPr>
          <w:p>
            <w:pPr>
              <w:spacing w:after="0"/>
              <w:rPr>
                <w:sz w:val="1"/>
                <w:szCs w:val="1"/>
                <w:color w:val="auto"/>
              </w:rPr>
            </w:pPr>
          </w:p>
        </w:tc>
      </w:tr>
      <w:tr>
        <w:trPr>
          <w:trHeight w:val="865"/>
        </w:trPr>
        <w:tc>
          <w:tcPr>
            <w:tcW w:w="5880" w:type="dxa"/>
            <w:vAlign w:val="bottom"/>
          </w:tcPr>
          <w:p>
            <w:pPr>
              <w:jc w:val="center"/>
              <w:ind w:right="543"/>
              <w:spacing w:after="0"/>
              <w:rPr>
                <w:sz w:val="20"/>
                <w:szCs w:val="20"/>
                <w:color w:val="auto"/>
              </w:rPr>
            </w:pPr>
            <w:r>
              <w:rPr>
                <w:rFonts w:ascii="Times New Roman" w:cs="Times New Roman" w:eastAsia="Times New Roman" w:hAnsi="Times New Roman"/>
                <w:sz w:val="22"/>
                <w:szCs w:val="22"/>
                <w:b w:val="1"/>
                <w:bCs w:val="1"/>
                <w:color w:val="auto"/>
                <w:w w:val="95"/>
              </w:rPr>
              <w:t>8111 Lyndale Avenue South</w:t>
            </w:r>
          </w:p>
        </w:tc>
        <w:tc>
          <w:tcPr>
            <w:tcW w:w="5320" w:type="dxa"/>
            <w:vAlign w:val="bottom"/>
            <w:vMerge w:val="restart"/>
          </w:tcPr>
          <w:p>
            <w:pPr>
              <w:jc w:val="right"/>
              <w:ind w:right="2626"/>
              <w:spacing w:after="0"/>
              <w:rPr>
                <w:sz w:val="20"/>
                <w:szCs w:val="20"/>
                <w:color w:val="auto"/>
              </w:rPr>
            </w:pPr>
            <w:r>
              <w:rPr>
                <w:rFonts w:ascii="Times New Roman" w:cs="Times New Roman" w:eastAsia="Times New Roman" w:hAnsi="Times New Roman"/>
                <w:sz w:val="22"/>
                <w:szCs w:val="22"/>
                <w:b w:val="1"/>
                <w:bCs w:val="1"/>
                <w:color w:val="auto"/>
              </w:rPr>
              <w:t>55420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880" w:type="dxa"/>
            <w:vAlign w:val="bottom"/>
            <w:tcBorders>
              <w:bottom w:val="single" w:sz="8" w:color="auto"/>
            </w:tcBorders>
          </w:tcPr>
          <w:p>
            <w:pPr>
              <w:jc w:val="center"/>
              <w:ind w:right="543"/>
              <w:spacing w:after="0"/>
              <w:rPr>
                <w:sz w:val="20"/>
                <w:szCs w:val="20"/>
                <w:color w:val="auto"/>
              </w:rPr>
            </w:pPr>
            <w:r>
              <w:rPr>
                <w:rFonts w:ascii="Times New Roman" w:cs="Times New Roman" w:eastAsia="Times New Roman" w:hAnsi="Times New Roman"/>
                <w:sz w:val="22"/>
                <w:szCs w:val="22"/>
                <w:b w:val="1"/>
                <w:bCs w:val="1"/>
                <w:color w:val="auto"/>
                <w:w w:val="98"/>
              </w:rPr>
              <w:t>Bloomington, Minnesota</w:t>
            </w:r>
          </w:p>
        </w:tc>
        <w:tc>
          <w:tcPr>
            <w:tcW w:w="5320" w:type="dxa"/>
            <w:vAlign w:val="bottom"/>
            <w:tcBorders>
              <w:bottom w:val="single" w:sz="8" w:color="auto"/>
            </w:tcBorders>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jc w:val="center"/>
              <w:ind w:right="54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320" w:type="dxa"/>
            <w:vAlign w:val="bottom"/>
          </w:tcPr>
          <w:p>
            <w:pPr>
              <w:jc w:val="center"/>
              <w:ind w:right="546"/>
              <w:spacing w:after="0"/>
              <w:rPr>
                <w:sz w:val="20"/>
                <w:szCs w:val="20"/>
                <w:color w:val="auto"/>
              </w:rPr>
            </w:pPr>
            <w:r>
              <w:rPr>
                <w:rFonts w:ascii="Times New Roman" w:cs="Times New Roman" w:eastAsia="Times New Roman" w:hAnsi="Times New Roman"/>
                <w:sz w:val="16"/>
                <w:szCs w:val="16"/>
                <w:color w:val="auto"/>
              </w:rPr>
              <w:t>(Zip Code)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Jim Gessford (952) 887-8979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(Name and telephone number, including area code,</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of the person to contact in connection with this report.)</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2024.</w:t>
      </w:r>
    </w:p>
    <w:p>
      <w:pPr>
        <w:spacing w:after="0" w:line="234"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13q-1 under the Securities Exchange Act (17 CFR 240.13q-1) for the fiscal year ended </w:t>
      </w:r>
      <w:r>
        <w:rPr>
          <w:rFonts w:ascii="Times New Roman" w:cs="Times New Roman" w:eastAsia="Times New Roman" w:hAnsi="Times New Roman"/>
          <w:sz w:val="21"/>
          <w:szCs w:val="21"/>
          <w:color w:val="auto"/>
        </w:rPr>
        <w:t>__________________________.</w:t>
      </w:r>
    </w:p>
    <w:p>
      <w:pPr>
        <w:sectPr>
          <w:pgSz w:w="11900" w:h="16838" w:orient="portrait"/>
          <w:cols w:equalWidth="0" w:num="1">
            <w:col w:w="11240"/>
          </w:cols>
          <w:pgMar w:left="320" w:top="135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required by Rule 13p-1 under the Securities Exchange Act of 1934, as amended, and Form SD, a copy of The Toro Company’s Conflict Minerals Report for the calendar year ended December 31, 2024, is filed as Exhibit 1.01 to this Form SD and is publicly available at www.thetorocompany.com/sustainability/product/cmreports. The information contained on our websites or connected to our websites is not incorporated by reference into this Form SD or our Conflict Minerals Report and should not be considered part of this Form SD or the Conflict Minerals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Toro Company’s Conflict Minerals Report for the calendar year ended December 31, 2024, as required by Item 1.01 is filed as Exhibit 1.01 to this Form SD.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Exhibit</w:t>
      </w:r>
    </w:p>
    <w:p>
      <w:pPr>
        <w:spacing w:after="0" w:line="237"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Item 3.01 Exhibits</w:t>
            </w:r>
          </w:p>
        </w:tc>
        <w:tc>
          <w:tcPr>
            <w:tcW w:w="9040" w:type="dxa"/>
            <w:vAlign w:val="bottom"/>
          </w:tcPr>
          <w:p>
            <w:pPr>
              <w:spacing w:after="0"/>
              <w:rPr>
                <w:sz w:val="24"/>
                <w:szCs w:val="24"/>
                <w:color w:val="auto"/>
              </w:rPr>
            </w:pPr>
          </w:p>
        </w:tc>
      </w:tr>
      <w:tr>
        <w:trPr>
          <w:trHeight w:val="549"/>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9040" w:type="dxa"/>
            <w:vAlign w:val="bottom"/>
          </w:tcPr>
          <w:p>
            <w:pPr>
              <w:ind w:left="398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1680" w:type="dxa"/>
            <w:vAlign w:val="bottom"/>
            <w:tcBorders>
              <w:top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1.01</w:t>
            </w:r>
          </w:p>
        </w:tc>
        <w:tc>
          <w:tcPr>
            <w:tcW w:w="320" w:type="dxa"/>
            <w:vAlign w:val="bottom"/>
          </w:tcPr>
          <w:p>
            <w:pPr>
              <w:spacing w:after="0"/>
              <w:rPr>
                <w:sz w:val="21"/>
                <w:szCs w:val="21"/>
                <w:color w:val="auto"/>
              </w:rPr>
            </w:pPr>
          </w:p>
        </w:tc>
        <w:tc>
          <w:tcPr>
            <w:tcW w:w="9040" w:type="dxa"/>
            <w:vAlign w:val="bottom"/>
            <w:tcBorders>
              <w:top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Conflict Minerals Report for the calendar year ended December 31, 2024, as required by Items 1.01 and</w:t>
            </w:r>
          </w:p>
        </w:tc>
      </w:tr>
      <w:tr>
        <w:trPr>
          <w:trHeight w:val="282"/>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 of this Form SD.</w:t>
            </w:r>
          </w:p>
        </w:tc>
      </w:tr>
    </w:tbl>
    <w:p>
      <w:pPr>
        <w:sectPr>
          <w:pgSz w:w="11900" w:h="16838" w:orient="portrait"/>
          <w:cols w:equalWidth="0" w:num="1">
            <w:col w:w="11240"/>
          </w:cols>
          <w:pgMar w:left="320" w:top="1337"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5"/>
          <w:szCs w:val="25"/>
          <w:b w:val="1"/>
          <w:bCs w:val="1"/>
          <w:color w:val="auto"/>
        </w:rPr>
        <w:t>THE TORO COMPANY</w:t>
      </w:r>
    </w:p>
    <w:p>
      <w:pPr>
        <w:spacing w:after="0" w:line="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5600" w:val="left"/>
          <w:tab w:leader="none" w:pos="6220" w:val="left"/>
        </w:tabs>
        <w:rPr>
          <w:sz w:val="20"/>
          <w:szCs w:val="20"/>
          <w:color w:val="auto"/>
        </w:rPr>
      </w:pPr>
      <w:r>
        <w:rPr>
          <w:rFonts w:ascii="Times New Roman" w:cs="Times New Roman" w:eastAsia="Times New Roman" w:hAnsi="Times New Roman"/>
          <w:sz w:val="22"/>
          <w:szCs w:val="22"/>
          <w:color w:val="auto"/>
        </w:rPr>
        <w:t>Date: May 27, 2025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27940</wp:posOffset>
            </wp:positionV>
            <wp:extent cx="3171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Joanna M. Totsky</w:t>
      </w:r>
    </w:p>
    <w:p>
      <w:pPr>
        <w:spacing w:after="0" w:line="4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1"/>
          <w:szCs w:val="21"/>
          <w:color w:val="auto"/>
        </w:rPr>
        <w:t>Vice President, General Counsel &amp; Corporate Secretary</w:t>
      </w:r>
    </w:p>
    <w:p>
      <w:pPr>
        <w:sectPr>
          <w:pgSz w:w="11900" w:h="16838" w:orient="portrait"/>
          <w:cols w:equalWidth="0" w:num="1">
            <w:col w:w="11060"/>
          </w:cols>
          <w:pgMar w:left="320" w:top="1242"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 the Calendar Year Ended December 31, 2024</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  Introduction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Toro Company (“TTC”) is a worldwide provider of innovative solutions for the outdoor environment including turf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maintenance equipment and services; turf irrigation systems; landscaping equipment and lighting products; snow and ice management products; agricultural irrigation ("ag-irrigation") systems; rental, specialty and underground construction equipment;</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and residential yard and snow thrower products. TTC has included this Conflict Minerals Report as an exhibit to its Form SD as required by Rule 13p-1 under the Securities Exchange Act of 1934, as amended, and Form SD (the “Conflict Minerals Rule”).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used herein, Conflict Minerals, or 3TG, are columbite-tantalite (coltan), cassiterite, gold, wolframite and the derivatives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tantalum, tin, and tungsten, without regard to their location of origin, as provided for in the Conflict Minerals Rule. TTC followed the criteria set forth in the Organization for Economic Co-operation and Development’s (the “OECD”) Due Diligence</w:t>
      </w:r>
    </w:p>
    <w:p>
      <w:pPr>
        <w:spacing w:after="0" w:line="218" w:lineRule="auto"/>
        <w:rPr>
          <w:sz w:val="20"/>
          <w:szCs w:val="20"/>
          <w:color w:val="auto"/>
        </w:rPr>
      </w:pPr>
      <w:r>
        <w:rPr>
          <w:rFonts w:ascii="Times New Roman" w:cs="Times New Roman" w:eastAsia="Times New Roman" w:hAnsi="Times New Roman"/>
          <w:sz w:val="22"/>
          <w:szCs w:val="22"/>
          <w:color w:val="auto"/>
        </w:rPr>
        <w:t>Guidance for Responsible Supply Chains of Minerals from Conflict-Affected and High-Risk Areas, as supplemented by the</w:t>
      </w:r>
    </w:p>
    <w:p>
      <w:pPr>
        <w:jc w:val="both"/>
        <w:spacing w:after="0" w:line="211" w:lineRule="auto"/>
        <w:rPr>
          <w:sz w:val="20"/>
          <w:szCs w:val="20"/>
          <w:color w:val="auto"/>
        </w:rPr>
      </w:pPr>
      <w:r>
        <w:rPr>
          <w:rFonts w:ascii="Times New Roman" w:cs="Times New Roman" w:eastAsia="Times New Roman" w:hAnsi="Times New Roman"/>
          <w:sz w:val="22"/>
          <w:szCs w:val="22"/>
          <w:color w:val="auto"/>
        </w:rPr>
        <w:t>Supplement on Tin, Tantalum and Tungsten and the Supplement on Gold (Third Edition 2016) (collectively, the “OECD Guidance”) to establish its company management systems, to conduct its good faith reasonable country of origin inquiry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(“RCOI”) and for its due diligence measures relating to 3TG, as discussed below.</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 Company Management Systems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A. Conflict Minerals Policy</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is committed to ethical business practices and promoting the safety, health and well-being of the communities we impact. TTC has a Conflict Minerals Policy that is communicated to our direct suppliers and available under the Product section of the Sustainability page on our corporate website at www.thetorocompany.com/sustainability/product.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Our policy confirms that TTC is committed to complying with the Conflict Minerals Rule and expects our suppliers to support us</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in meeting our 3TG reporting obligations and to establish their own Conflict Minerals programs consistent with the OECD Guidance. Suppliers who do not comply with the expectations and requirements set forth in our policy may be reviewed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evaluated accordingly for future business and sourcing decisions.</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TTC does not seek to embargo the sourcing of 3TG from the Democratic Republic of the Congo (“DRC”) region, nor does it expect its suppliers to do so.</w:t>
      </w:r>
    </w:p>
    <w:p>
      <w:pPr>
        <w:spacing w:after="0" w:line="2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Internal Management Team</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 created a team of senior staff including the Vice President, Chief Financial Officer; Vice President, Global Operations &amp; Integrated Supply Chain; Vice President, General Counsel &amp; Corporate Secretary; Senior Director, Corporate Controller; Senior</w:t>
      </w:r>
    </w:p>
    <w:p>
      <w:pPr>
        <w:spacing w:after="0" w:line="218" w:lineRule="auto"/>
        <w:rPr>
          <w:sz w:val="20"/>
          <w:szCs w:val="20"/>
          <w:color w:val="auto"/>
        </w:rPr>
      </w:pPr>
      <w:r>
        <w:rPr>
          <w:rFonts w:ascii="Times New Roman" w:cs="Times New Roman" w:eastAsia="Times New Roman" w:hAnsi="Times New Roman"/>
          <w:sz w:val="22"/>
          <w:szCs w:val="22"/>
          <w:color w:val="auto"/>
        </w:rPr>
        <w:t>Managing Director, Supply Chain; and Senior Counsel, Securities responsible for oversight of TTC’s Conflict Minerals</w:t>
      </w:r>
    </w:p>
    <w:p>
      <w:pPr>
        <w:jc w:val="both"/>
        <w:spacing w:after="0" w:line="225" w:lineRule="auto"/>
        <w:rPr>
          <w:sz w:val="20"/>
          <w:szCs w:val="20"/>
          <w:color w:val="auto"/>
        </w:rPr>
      </w:pPr>
      <w:r>
        <w:rPr>
          <w:rFonts w:ascii="Times New Roman" w:cs="Times New Roman" w:eastAsia="Times New Roman" w:hAnsi="Times New Roman"/>
          <w:sz w:val="22"/>
          <w:szCs w:val="22"/>
          <w:color w:val="auto"/>
        </w:rPr>
        <w:t>compliance strategy. The following functional areas were represented on the working group: Finance, Legal, and Global Operations and</w:t>
      </w:r>
    </w:p>
    <w:p>
      <w:pPr>
        <w:sectPr>
          <w:pgSz w:w="11900" w:h="16838" w:orient="portrait"/>
          <w:cols w:equalWidth="0" w:num="1">
            <w:col w:w="11240"/>
          </w:cols>
          <w:pgMar w:left="320" w:top="1350" w:right="339" w:bottom="1440" w:gutter="0" w:footer="0" w:header="0"/>
        </w:sectPr>
      </w:pPr>
    </w:p>
    <w:bookmarkStart w:id="4" w:name="page5"/>
    <w:bookmarkEnd w:id="4"/>
    <w:p>
      <w:pPr>
        <w:jc w:val="both"/>
        <w:spacing w:after="0" w:line="245" w:lineRule="auto"/>
        <w:rPr>
          <w:sz w:val="20"/>
          <w:szCs w:val="20"/>
          <w:color w:val="auto"/>
        </w:rPr>
      </w:pPr>
      <w:r>
        <w:rPr>
          <w:rFonts w:ascii="Times New Roman" w:cs="Times New Roman" w:eastAsia="Times New Roman" w:hAnsi="Times New Roman"/>
          <w:sz w:val="22"/>
          <w:szCs w:val="22"/>
          <w:color w:val="auto"/>
        </w:rPr>
        <w:t>Integrated Supply Chain. Relevant internal personnel were educated on the Conflict Minerals Rule, the OECD Guidance, TTC’s compliance plan and reviewing and validating supplier responses to TTC inquiries.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report the findings of our supply chain risk assessment to our internal management team.</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Control Systems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reporting period ended December 31, 2024, TTC was a member of the Responsible Minerals Initiative (“RMI”).</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D. Supplier Engagement</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TTC’s global supply chain is complex. In the course of its business operations, TTC may purchase materials and components containing conflict minerals. These materials and components may, in turn, be included in TTC products. Because TTC does not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purchase conflict minerals directly from mines, smelters or refiners, there are many third-parties in the supply chain between TTC and the original sources of conflict minerals. As a result, TTC relies on its suppliers to provide information regarding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 of any conflict minerals that are included in their materials and components.</w:t>
      </w:r>
    </w:p>
    <w:p>
      <w:pPr>
        <w:spacing w:after="0" w:line="1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TTC’s Supplier Terms of Commerce Policy reflects our expectations regarding our suppliers’ efforts to support us in meeting our 3TG reporting obligations and addresses risks associated with 3TG sourcing. We furnished to our suppliers the Conflict Minerals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Reporting Template (“CMRT”) developed by the RMI and a link to the related training materials. TTC utilized the CMRTs returned to us by our suppliers to identify smelters and refiners in our supply chain.</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E. Records Management</w:t>
      </w:r>
    </w:p>
    <w:p>
      <w:pPr>
        <w:spacing w:after="0" w:line="2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TTC maintains records relating to Conflict Minerals due diligence, including records of due diligence processes, findings, and resulting decisions, per TTC’s applicable record retention policies, which provides for retention of at least five calendar years.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F. Grievance Mechanism</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www.thetorocompany.com/sustainability/product.</w:t>
      </w:r>
    </w:p>
    <w:p>
      <w:pPr>
        <w:spacing w:after="0" w:line="188" w:lineRule="exact"/>
        <w:rPr>
          <w:sz w:val="20"/>
          <w:szCs w:val="20"/>
          <w:color w:val="auto"/>
        </w:rPr>
      </w:pPr>
    </w:p>
    <w:p>
      <w:pPr>
        <w:ind w:left="1960" w:right="60" w:hanging="332"/>
        <w:spacing w:after="0" w:line="262" w:lineRule="auto"/>
        <w:tabs>
          <w:tab w:leader="none" w:pos="1952"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Carry Out Independent Third-Party Audit of Supply Chain Due Diligence at Identified Points in the Supply Chain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its due diligence, TTC utilized information made available to RMI members concerning independent third-</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party audits of smelters and refiners. TTC supports the development and implementation of independent third-party audits of smelters and refiners through its membership in the RMI.</w:t>
      </w:r>
    </w:p>
    <w:p>
      <w:pPr>
        <w:spacing w:after="0" w:line="2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H. Report on Supply Chain Due Diligence</w:t>
      </w:r>
    </w:p>
    <w:p>
      <w:pPr>
        <w:spacing w:after="0" w:line="22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TTC filed a Form SD and this Conflict Minerals Report with the Securities and Exchange Commission and the filing is available at www.thetorocompany.com/sustainability/product/cmreports.</w:t>
      </w:r>
    </w:p>
    <w:p>
      <w:pPr>
        <w:sectPr>
          <w:pgSz w:w="11900" w:h="16838" w:orient="portrait"/>
          <w:cols w:equalWidth="0" w:num="1">
            <w:col w:w="11240"/>
          </w:cols>
          <w:pgMar w:left="320" w:top="1233" w:right="339" w:bottom="1440" w:gutter="0" w:footer="0" w:header="0"/>
        </w:sectPr>
      </w:pPr>
    </w:p>
    <w:bookmarkStart w:id="5" w:name="page6"/>
    <w:bookmarkEnd w:id="5"/>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III.Reasonable Country of Origin Inquiry</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A. In-Scope Suppliers</w:t>
      </w:r>
    </w:p>
    <w:p>
      <w:pPr>
        <w:spacing w:after="0" w:line="22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TTC personnel determined which of its products were in-scope for purposes of the Conflict Minerals Rule through product specifications, bills of material, supplier inquiries and other information known to TTC. We determined which suppliers were</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“high-risk” based on the likelihood of suppliers’ components containing 3TG and based on the suppliers’ relationship status with TTC.</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Request for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TTC utilized the CMRT developed by the RMI to identify smelters and refiners in its supply chain. We distributed the CMRT to</w:t>
      </w:r>
    </w:p>
    <w:p>
      <w:pPr>
        <w:spacing w:after="0" w:line="1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our in-scope suppliers by email through a third-party sustainability consultant. In the communication accompanying the CMRT, TTC communicated its expectations that the CMRT be completed and returned to TTC for review. We followed up by email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suppliers that TTC deemed “high-risk” who did not submit a CMRT within the specified timeframe.</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Survey Responses</w:t>
      </w:r>
    </w:p>
    <w:p>
      <w:pPr>
        <w:spacing w:after="0" w:line="22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TTC personnel reviewed the completed CMRTs and other responses received from suppliers. We followed up by email through our third-party sustainability consultant with TTC’s “high risk” suppliers that did not fully complete the CMRT or provided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non-conforming written response, requesting them to submit a revised CMRT.</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D. Risk Assessment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Based on the information furnished by our suppliers and other information known to TTC, we assessed the risks of adverse impacts. To the extent that a completed CMRT contained smelter or refiner information, TTC reviewed this information against</w:t>
      </w:r>
    </w:p>
    <w:p>
      <w:pPr>
        <w:ind w:right="20"/>
        <w:spacing w:after="0" w:line="211" w:lineRule="auto"/>
        <w:rPr>
          <w:sz w:val="20"/>
          <w:szCs w:val="20"/>
          <w:color w:val="auto"/>
        </w:rPr>
      </w:pPr>
      <w:r>
        <w:rPr>
          <w:rFonts w:ascii="Times New Roman" w:cs="Times New Roman" w:eastAsia="Times New Roman" w:hAnsi="Times New Roman"/>
          <w:sz w:val="22"/>
          <w:szCs w:val="22"/>
          <w:color w:val="auto"/>
        </w:rPr>
        <w:t>an internally developed “red flags” list and the list of eligible smelters and refiners contained in the RMI member smelter database. To the extent that an eligible or provisionally eligible smelter or refiner identified by a supplier was not certified as</w:t>
      </w:r>
    </w:p>
    <w:p>
      <w:pPr>
        <w:spacing w:after="0" w:line="218" w:lineRule="auto"/>
        <w:rPr>
          <w:sz w:val="20"/>
          <w:szCs w:val="20"/>
          <w:color w:val="auto"/>
        </w:rPr>
      </w:pPr>
      <w:r>
        <w:rPr>
          <w:rFonts w:ascii="Times New Roman" w:cs="Times New Roman" w:eastAsia="Times New Roman" w:hAnsi="Times New Roman"/>
          <w:sz w:val="22"/>
          <w:szCs w:val="22"/>
          <w:color w:val="auto"/>
        </w:rPr>
        <w:t>conformant by the RMI, TTC consulted publicly available information to attempt to determine whether that smelter or refiner</w:t>
      </w:r>
    </w:p>
    <w:p>
      <w:pPr>
        <w:spacing w:after="0" w:line="225" w:lineRule="auto"/>
        <w:rPr>
          <w:sz w:val="20"/>
          <w:szCs w:val="20"/>
          <w:color w:val="auto"/>
        </w:rPr>
      </w:pPr>
      <w:r>
        <w:rPr>
          <w:rFonts w:ascii="Times New Roman" w:cs="Times New Roman" w:eastAsia="Times New Roman" w:hAnsi="Times New Roman"/>
          <w:sz w:val="22"/>
          <w:szCs w:val="22"/>
          <w:color w:val="auto"/>
        </w:rPr>
        <w:t>obtained 3TG from sources that directly or indirectly financed or benefitted armed groups (as defined in the Conflict Minerals Rule) in the Democratic Republic of the Congo or an adjoining country.</w:t>
      </w:r>
    </w:p>
    <w:p>
      <w:pPr>
        <w:spacing w:after="0" w:line="19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If a supplier did not complete a template or did not otherwise provide a written response, submitted an incomplete template or submitted a template believed to contain errors or inaccuracies, the origin of the applicable 3TG contained in the products</w:t>
      </w:r>
    </w:p>
    <w:p>
      <w:pPr>
        <w:spacing w:after="0" w:line="219" w:lineRule="auto"/>
        <w:rPr>
          <w:sz w:val="20"/>
          <w:szCs w:val="20"/>
          <w:color w:val="auto"/>
        </w:rPr>
      </w:pPr>
      <w:r>
        <w:rPr>
          <w:rFonts w:ascii="Times New Roman" w:cs="Times New Roman" w:eastAsia="Times New Roman" w:hAnsi="Times New Roman"/>
          <w:sz w:val="22"/>
          <w:szCs w:val="22"/>
          <w:color w:val="auto"/>
        </w:rPr>
        <w:t>covered by the response was treated as “unknown origin.” If a supplier provided a company-level declaration not specific to</w:t>
      </w:r>
    </w:p>
    <w:p>
      <w:pPr>
        <w:spacing w:after="0" w:line="211" w:lineRule="auto"/>
        <w:rPr>
          <w:sz w:val="20"/>
          <w:szCs w:val="20"/>
          <w:color w:val="auto"/>
        </w:rPr>
      </w:pPr>
      <w:r>
        <w:rPr>
          <w:rFonts w:ascii="Times New Roman" w:cs="Times New Roman" w:eastAsia="Times New Roman" w:hAnsi="Times New Roman"/>
          <w:sz w:val="22"/>
          <w:szCs w:val="22"/>
          <w:color w:val="auto"/>
        </w:rPr>
        <w:t>TTC’s products, did not identify a smelter or refiner, or an eligible or provisionally eligible smelter or refiner was not certified as conformant by the RMI, the origin of the applicable 3TG contained in the products covered by the response was treated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“unknown origin.”</w:t>
      </w:r>
    </w:p>
    <w:p>
      <w:pPr>
        <w:spacing w:after="0" w:line="196"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2"/>
          <w:szCs w:val="22"/>
          <w:color w:val="auto"/>
        </w:rPr>
        <w:t>TTC’s Conflict Minerals Compliance Team reported the findings of its supply chain risk assessment to TTC’s Vice President, Chief Financial Officer, Vice President, Global Operations &amp; Integrated Supply Chain, and Vice President, General Counsel &amp;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IV. Design of Due Diligence Framework</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TTC followed the criteria set forth in the OECD Guidance to conduct its due diligence measures relating to 3TG.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 Due Diligence Measures</w:t>
      </w:r>
    </w:p>
    <w:p>
      <w:pPr>
        <w:spacing w:after="0" w:line="22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1"/>
          <w:szCs w:val="21"/>
          <w:color w:val="auto"/>
        </w:rPr>
        <w:t>The due diligence measures performed by TTC include comparing the smelter and refiner information received from our suppliers against the smelter database information available to RMI members to identify the audit status of smelters and refiners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 countries of origin of the 3TG sourced by conformant smelters and refiners.</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continues to evaluate its due diligence measures to enhance the available information and better mitigate risks in TTC’s supply chain. TTC will continue to communicate its expectations to suppliers with respect to conflict minerals, smelters and refiners.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 Product Status and Information</w:t>
      </w:r>
    </w:p>
    <w:p>
      <w:pPr>
        <w:spacing w:after="0" w:line="22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For 2024, TTC has concluded that all of the TTC in-scope products in the categories indicated below contained 3TG of unknown origin:</w:t>
      </w:r>
    </w:p>
    <w:p>
      <w:pPr>
        <w:spacing w:after="0" w:line="17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maintenance equipment</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irrigation systems</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landscaping equipment and lighting</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agricultural micro-irrigation systems</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rental and specialty construction equipment</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residential yard and snow thrower products</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snow and ice management products</w:t>
      </w: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underground construction products</w:t>
      </w:r>
    </w:p>
    <w:p>
      <w:pPr>
        <w:spacing w:after="0" w:line="192"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Identified Smelters and Refiners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were unable to determine the origin of at least a portion of the necessary 3TG contained in each of the in-scope products that we manufactured in 2024. However, as part of our reasonable country of origin inquiry, some of our suppliers identified to us</w:t>
      </w:r>
    </w:p>
    <w:p>
      <w:pPr>
        <w:spacing w:after="0" w:line="221" w:lineRule="auto"/>
        <w:rPr>
          <w:sz w:val="20"/>
          <w:szCs w:val="20"/>
          <w:color w:val="auto"/>
        </w:rPr>
      </w:pPr>
      <w:r>
        <w:rPr>
          <w:rFonts w:ascii="Times New Roman" w:cs="Times New Roman" w:eastAsia="Times New Roman" w:hAnsi="Times New Roman"/>
          <w:sz w:val="21"/>
          <w:szCs w:val="21"/>
          <w:color w:val="auto"/>
        </w:rPr>
        <w:t>smelters and refiners that may have processed the necessary 3TG contained in the in-scope products that we manufactured in 2024, as reflected in the table below. Please see the notes accompanying the table for additional information concerning the data</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contained in the table. Due to our position in the supply chain, we rely on our suppliers for accurate smelter and refiner information and our due diligence measures do not provide absolute certainty regarding the source of the necessary 3TG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contained in the in-scope products that we manufacture.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Smelter and Refiner Status and Country of Origin Information</w:t>
            </w:r>
            <w:r>
              <w:rPr>
                <w:rFonts w:ascii="Times New Roman" w:cs="Times New Roman" w:eastAsia="Times New Roman" w:hAnsi="Times New Roman"/>
                <w:sz w:val="22"/>
                <w:szCs w:val="22"/>
                <w:b w:val="1"/>
                <w:bCs w:val="1"/>
                <w:color w:val="0000FF"/>
              </w:rPr>
              <w:t>[1]</w:t>
            </w:r>
          </w:p>
        </w:tc>
      </w:tr>
      <w:tr>
        <w:trPr>
          <w:trHeight w:val="306"/>
        </w:trPr>
        <w:tc>
          <w:tcPr>
            <w:tcW w:w="1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22"/>
                <w:szCs w:val="22"/>
                <w:color w:val="auto"/>
              </w:rPr>
              <w:t>Conformant (251)</w:t>
            </w: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Active (5)</w:t>
            </w:r>
          </w:p>
        </w:tc>
        <w:tc>
          <w:tcPr>
            <w:tcW w:w="1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2"/>
                <w:szCs w:val="22"/>
                <w:color w:val="auto"/>
              </w:rPr>
              <w:t>Other (243)</w:t>
            </w:r>
          </w:p>
        </w:tc>
      </w:tr>
      <w:tr>
        <w:trPr>
          <w:trHeight w:val="243"/>
        </w:trPr>
        <w:tc>
          <w:tcPr>
            <w:tcW w:w="1260" w:type="dxa"/>
            <w:vAlign w:val="bottom"/>
            <w:tcBorders>
              <w:left w:val="single" w:sz="8" w:color="auto"/>
              <w:right w:val="single" w:sz="8" w:color="7F7F7F"/>
            </w:tcBorders>
            <w:shd w:val="clear" w:color="auto" w:fill="F2F2F2"/>
          </w:tcPr>
          <w:p>
            <w:pPr>
              <w:spacing w:after="0"/>
              <w:rPr>
                <w:sz w:val="21"/>
                <w:szCs w:val="21"/>
                <w:color w:val="auto"/>
              </w:rPr>
            </w:pPr>
          </w:p>
        </w:tc>
        <w:tc>
          <w:tcPr>
            <w:tcW w:w="1460" w:type="dxa"/>
            <w:vAlign w:val="bottom"/>
            <w:tcBorders>
              <w:right w:val="single" w:sz="8" w:color="7F7F7F"/>
            </w:tcBorders>
            <w:shd w:val="clear" w:color="auto" w:fill="F2F2F2"/>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DRC Region</w:t>
            </w:r>
          </w:p>
        </w:tc>
        <w:tc>
          <w:tcPr>
            <w:tcW w:w="1300" w:type="dxa"/>
            <w:vAlign w:val="bottom"/>
            <w:shd w:val="clear" w:color="auto" w:fill="F2F2F2"/>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rPr>
              <w:t>R/S</w:t>
            </w:r>
          </w:p>
        </w:tc>
        <w:tc>
          <w:tcPr>
            <w:tcW w:w="1580" w:type="dxa"/>
            <w:vAlign w:val="bottom"/>
            <w:shd w:val="clear" w:color="auto" w:fill="F2F2F2"/>
          </w:tcPr>
          <w:p>
            <w:pPr>
              <w:jc w:val="center"/>
              <w:ind w:left="32"/>
              <w:spacing w:after="0" w:line="243" w:lineRule="exact"/>
              <w:rPr>
                <w:sz w:val="20"/>
                <w:szCs w:val="20"/>
                <w:color w:val="auto"/>
              </w:rPr>
            </w:pPr>
            <w:r>
              <w:rPr>
                <w:rFonts w:ascii="Times New Roman" w:cs="Times New Roman" w:eastAsia="Times New Roman" w:hAnsi="Times New Roman"/>
                <w:sz w:val="22"/>
                <w:szCs w:val="22"/>
                <w:color w:val="auto"/>
                <w:w w:val="97"/>
              </w:rPr>
              <w:t>Low Risk</w:t>
            </w:r>
          </w:p>
        </w:tc>
        <w:tc>
          <w:tcPr>
            <w:tcW w:w="1340" w:type="dxa"/>
            <w:vAlign w:val="bottom"/>
            <w:shd w:val="clear" w:color="auto" w:fill="F2F2F2"/>
          </w:tcPr>
          <w:p>
            <w:pPr>
              <w:jc w:val="center"/>
              <w:ind w:left="32"/>
              <w:spacing w:after="0" w:line="243" w:lineRule="exact"/>
              <w:rPr>
                <w:sz w:val="20"/>
                <w:szCs w:val="20"/>
                <w:color w:val="auto"/>
              </w:rPr>
            </w:pPr>
            <w:r>
              <w:rPr>
                <w:rFonts w:ascii="Times New Roman" w:cs="Times New Roman" w:eastAsia="Times New Roman" w:hAnsi="Times New Roman"/>
                <w:sz w:val="22"/>
                <w:szCs w:val="22"/>
                <w:color w:val="auto"/>
                <w:w w:val="97"/>
              </w:rPr>
              <w:t>High Risk</w:t>
            </w:r>
          </w:p>
        </w:tc>
        <w:tc>
          <w:tcPr>
            <w:tcW w:w="1280" w:type="dxa"/>
            <w:vAlign w:val="bottom"/>
            <w:shd w:val="clear" w:color="auto" w:fill="F2F2F2"/>
          </w:tcPr>
          <w:p>
            <w:pPr>
              <w:spacing w:after="0"/>
              <w:rPr>
                <w:sz w:val="21"/>
                <w:szCs w:val="21"/>
                <w:color w:val="auto"/>
              </w:rPr>
            </w:pPr>
          </w:p>
        </w:tc>
        <w:tc>
          <w:tcPr>
            <w:tcW w:w="1640" w:type="dxa"/>
            <w:vAlign w:val="bottom"/>
            <w:tcBorders>
              <w:right w:val="single" w:sz="8" w:color="auto"/>
            </w:tcBorders>
            <w:shd w:val="clear" w:color="auto" w:fill="F2F2F2"/>
          </w:tcPr>
          <w:p>
            <w:pPr>
              <w:spacing w:after="0"/>
              <w:rPr>
                <w:sz w:val="21"/>
                <w:szCs w:val="21"/>
                <w:color w:val="auto"/>
              </w:rPr>
            </w:pPr>
          </w:p>
        </w:tc>
      </w:tr>
      <w:tr>
        <w:trPr>
          <w:trHeight w:val="229"/>
        </w:trPr>
        <w:tc>
          <w:tcPr>
            <w:tcW w:w="1260" w:type="dxa"/>
            <w:vAlign w:val="bottom"/>
            <w:tcBorders>
              <w:left w:val="single" w:sz="8" w:color="auto"/>
              <w:right w:val="single" w:sz="8" w:color="7F7F7F"/>
            </w:tcBorders>
            <w:shd w:val="clear" w:color="auto" w:fill="F2F2F2"/>
          </w:tcPr>
          <w:p>
            <w:pPr>
              <w:spacing w:after="0"/>
              <w:rPr>
                <w:sz w:val="19"/>
                <w:szCs w:val="19"/>
                <w:color w:val="auto"/>
              </w:rPr>
            </w:pPr>
          </w:p>
        </w:tc>
        <w:tc>
          <w:tcPr>
            <w:tcW w:w="1460" w:type="dxa"/>
            <w:vAlign w:val="bottom"/>
            <w:tcBorders>
              <w:right w:val="single" w:sz="8" w:color="7F7F7F"/>
            </w:tcBorders>
            <w:shd w:val="clear" w:color="auto" w:fill="F2F2F2"/>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Sourced</w:t>
            </w:r>
          </w:p>
        </w:tc>
        <w:tc>
          <w:tcPr>
            <w:tcW w:w="1300" w:type="dxa"/>
            <w:vAlign w:val="bottom"/>
            <w:shd w:val="clear" w:color="auto" w:fill="F2F2F2"/>
          </w:tcPr>
          <w:p>
            <w:pPr>
              <w:spacing w:after="0"/>
              <w:rPr>
                <w:sz w:val="19"/>
                <w:szCs w:val="19"/>
                <w:color w:val="auto"/>
              </w:rPr>
            </w:pPr>
          </w:p>
        </w:tc>
        <w:tc>
          <w:tcPr>
            <w:tcW w:w="1580" w:type="dxa"/>
            <w:vAlign w:val="bottom"/>
            <w:shd w:val="clear" w:color="auto" w:fill="F2F2F2"/>
          </w:tcPr>
          <w:p>
            <w:pPr>
              <w:jc w:val="center"/>
              <w:ind w:left="32"/>
              <w:spacing w:after="0" w:line="229" w:lineRule="exact"/>
              <w:rPr>
                <w:sz w:val="20"/>
                <w:szCs w:val="20"/>
                <w:color w:val="auto"/>
              </w:rPr>
            </w:pPr>
            <w:r>
              <w:rPr>
                <w:rFonts w:ascii="Times New Roman" w:cs="Times New Roman" w:eastAsia="Times New Roman" w:hAnsi="Times New Roman"/>
                <w:sz w:val="22"/>
                <w:szCs w:val="22"/>
                <w:color w:val="auto"/>
                <w:w w:val="99"/>
              </w:rPr>
              <w:t>Country</w:t>
            </w:r>
          </w:p>
        </w:tc>
        <w:tc>
          <w:tcPr>
            <w:tcW w:w="1340" w:type="dxa"/>
            <w:vAlign w:val="bottom"/>
            <w:shd w:val="clear" w:color="auto" w:fill="F2F2F2"/>
          </w:tcPr>
          <w:p>
            <w:pPr>
              <w:jc w:val="center"/>
              <w:ind w:left="32"/>
              <w:spacing w:after="0" w:line="229" w:lineRule="exact"/>
              <w:rPr>
                <w:sz w:val="20"/>
                <w:szCs w:val="20"/>
                <w:color w:val="auto"/>
              </w:rPr>
            </w:pPr>
            <w:r>
              <w:rPr>
                <w:rFonts w:ascii="Times New Roman" w:cs="Times New Roman" w:eastAsia="Times New Roman" w:hAnsi="Times New Roman"/>
                <w:sz w:val="22"/>
                <w:szCs w:val="22"/>
                <w:color w:val="auto"/>
                <w:w w:val="99"/>
              </w:rPr>
              <w:t>Country</w:t>
            </w:r>
          </w:p>
        </w:tc>
        <w:tc>
          <w:tcPr>
            <w:tcW w:w="1280" w:type="dxa"/>
            <w:vAlign w:val="bottom"/>
            <w:shd w:val="clear" w:color="auto" w:fill="F2F2F2"/>
          </w:tcPr>
          <w:p>
            <w:pPr>
              <w:spacing w:after="0"/>
              <w:rPr>
                <w:sz w:val="19"/>
                <w:szCs w:val="19"/>
                <w:color w:val="auto"/>
              </w:rPr>
            </w:pPr>
          </w:p>
        </w:tc>
        <w:tc>
          <w:tcPr>
            <w:tcW w:w="1640" w:type="dxa"/>
            <w:vAlign w:val="bottom"/>
            <w:tcBorders>
              <w:right w:val="single" w:sz="8" w:color="auto"/>
            </w:tcBorders>
            <w:shd w:val="clear" w:color="auto" w:fill="F2F2F2"/>
          </w:tcPr>
          <w:p>
            <w:pPr>
              <w:spacing w:after="0"/>
              <w:rPr>
                <w:sz w:val="19"/>
                <w:szCs w:val="19"/>
                <w:color w:val="auto"/>
              </w:rPr>
            </w:pPr>
          </w:p>
        </w:tc>
      </w:tr>
      <w:tr>
        <w:trPr>
          <w:trHeight w:val="291"/>
        </w:trPr>
        <w:tc>
          <w:tcPr>
            <w:tcW w:w="1260" w:type="dxa"/>
            <w:vAlign w:val="bottom"/>
            <w:tcBorders>
              <w:left w:val="single" w:sz="8" w:color="auto"/>
              <w:bottom w:val="single" w:sz="8" w:color="F2F2F2"/>
              <w:right w:val="single" w:sz="8" w:color="7F7F7F"/>
            </w:tcBorders>
            <w:shd w:val="clear" w:color="auto" w:fill="F2F2F2"/>
          </w:tcPr>
          <w:p>
            <w:pPr>
              <w:spacing w:after="0"/>
              <w:rPr>
                <w:sz w:val="24"/>
                <w:szCs w:val="24"/>
                <w:color w:val="auto"/>
              </w:rPr>
            </w:pPr>
          </w:p>
        </w:tc>
        <w:tc>
          <w:tcPr>
            <w:tcW w:w="1460" w:type="dxa"/>
            <w:vAlign w:val="bottom"/>
            <w:tcBorders>
              <w:bottom w:val="single" w:sz="8" w:color="F2F2F2"/>
              <w:right w:val="single" w:sz="8" w:color="7F7F7F"/>
            </w:tcBorders>
            <w:shd w:val="clear" w:color="auto" w:fill="F2F2F2"/>
          </w:tcPr>
          <w:p>
            <w:pPr>
              <w:spacing w:after="0"/>
              <w:rPr>
                <w:sz w:val="24"/>
                <w:szCs w:val="24"/>
                <w:color w:val="auto"/>
              </w:rPr>
            </w:pPr>
          </w:p>
        </w:tc>
        <w:tc>
          <w:tcPr>
            <w:tcW w:w="1300" w:type="dxa"/>
            <w:vAlign w:val="bottom"/>
            <w:tcBorders>
              <w:bottom w:val="single" w:sz="8" w:color="F2F2F2"/>
            </w:tcBorders>
            <w:shd w:val="clear" w:color="auto" w:fill="F2F2F2"/>
          </w:tcPr>
          <w:p>
            <w:pPr>
              <w:spacing w:after="0"/>
              <w:rPr>
                <w:sz w:val="24"/>
                <w:szCs w:val="24"/>
                <w:color w:val="auto"/>
              </w:rPr>
            </w:pPr>
          </w:p>
        </w:tc>
        <w:tc>
          <w:tcPr>
            <w:tcW w:w="1580" w:type="dxa"/>
            <w:vAlign w:val="bottom"/>
            <w:tcBorders>
              <w:bottom w:val="single" w:sz="8" w:color="F2F2F2"/>
            </w:tcBorders>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9"/>
              </w:rPr>
              <w:t>Sourced</w:t>
            </w:r>
          </w:p>
        </w:tc>
        <w:tc>
          <w:tcPr>
            <w:tcW w:w="1340" w:type="dxa"/>
            <w:vAlign w:val="bottom"/>
            <w:tcBorders>
              <w:bottom w:val="single" w:sz="8" w:color="F2F2F2"/>
            </w:tcBorders>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9"/>
              </w:rPr>
              <w:t>Sourced</w:t>
            </w:r>
          </w:p>
        </w:tc>
        <w:tc>
          <w:tcPr>
            <w:tcW w:w="1280" w:type="dxa"/>
            <w:vAlign w:val="bottom"/>
            <w:tcBorders>
              <w:bottom w:val="single" w:sz="8" w:color="F2F2F2"/>
            </w:tcBorders>
            <w:shd w:val="clear" w:color="auto" w:fill="F2F2F2"/>
          </w:tcPr>
          <w:p>
            <w:pPr>
              <w:spacing w:after="0"/>
              <w:rPr>
                <w:sz w:val="24"/>
                <w:szCs w:val="24"/>
                <w:color w:val="auto"/>
              </w:rPr>
            </w:pPr>
          </w:p>
        </w:tc>
        <w:tc>
          <w:tcPr>
            <w:tcW w:w="1640" w:type="dxa"/>
            <w:vAlign w:val="bottom"/>
            <w:tcBorders>
              <w:bottom w:val="single" w:sz="8" w:color="F2F2F2"/>
              <w:right w:val="single" w:sz="8" w:color="auto"/>
            </w:tcBorders>
            <w:shd w:val="clear" w:color="auto" w:fill="F2F2F2"/>
          </w:tcPr>
          <w:p>
            <w:pPr>
              <w:spacing w:after="0"/>
              <w:rPr>
                <w:sz w:val="24"/>
                <w:szCs w:val="24"/>
                <w:color w:val="auto"/>
              </w:rPr>
            </w:pPr>
          </w:p>
        </w:tc>
      </w:tr>
      <w:tr>
        <w:trPr>
          <w:trHeight w:val="290"/>
        </w:trPr>
        <w:tc>
          <w:tcPr>
            <w:tcW w:w="126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color w:val="auto"/>
              </w:rPr>
              <w:t>Gold</w:t>
            </w:r>
          </w:p>
        </w:tc>
        <w:tc>
          <w:tcPr>
            <w:tcW w:w="146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13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9"/>
              </w:rPr>
              <w:t>28</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rPr>
              <w:t>9</w:t>
            </w:r>
          </w:p>
        </w:tc>
        <w:tc>
          <w:tcPr>
            <w:tcW w:w="134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rPr>
              <w:t>8</w:t>
            </w:r>
          </w:p>
        </w:tc>
        <w:tc>
          <w:tcPr>
            <w:tcW w:w="1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3</w:t>
            </w:r>
          </w:p>
        </w:tc>
        <w:tc>
          <w:tcPr>
            <w:tcW w:w="1640" w:type="dxa"/>
            <w:vAlign w:val="bottom"/>
            <w:tcBorders>
              <w:right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w w:val="96"/>
              </w:rPr>
              <w:t>141</w:t>
            </w:r>
          </w:p>
        </w:tc>
      </w:tr>
      <w:tr>
        <w:trPr>
          <w:trHeight w:val="304"/>
        </w:trPr>
        <w:tc>
          <w:tcPr>
            <w:tcW w:w="1260" w:type="dxa"/>
            <w:vAlign w:val="bottom"/>
            <w:tcBorders>
              <w:left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color w:val="auto"/>
              </w:rPr>
              <w:t>Tantalum</w:t>
            </w:r>
          </w:p>
        </w:tc>
        <w:tc>
          <w:tcPr>
            <w:tcW w:w="1460" w:type="dxa"/>
            <w:vAlign w:val="bottom"/>
            <w:tcBorders>
              <w:right w:val="single" w:sz="8" w:color="7F7F7F"/>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color w:val="auto"/>
                <w:w w:val="99"/>
              </w:rPr>
              <w:t>13</w:t>
            </w:r>
          </w:p>
        </w:tc>
        <w:tc>
          <w:tcPr>
            <w:tcW w:w="1300" w:type="dxa"/>
            <w:vAlign w:val="bottom"/>
            <w:shd w:val="clear" w:color="auto" w:fill="F2F2F2"/>
          </w:tcPr>
          <w:p>
            <w:pPr>
              <w:jc w:val="center"/>
              <w:ind w:left="12"/>
              <w:spacing w:after="0"/>
              <w:rPr>
                <w:sz w:val="20"/>
                <w:szCs w:val="20"/>
                <w:color w:val="auto"/>
              </w:rPr>
            </w:pPr>
            <w:r>
              <w:rPr>
                <w:rFonts w:ascii="Times New Roman" w:cs="Times New Roman" w:eastAsia="Times New Roman" w:hAnsi="Times New Roman"/>
                <w:sz w:val="22"/>
                <w:szCs w:val="22"/>
                <w:color w:val="auto"/>
                <w:w w:val="99"/>
              </w:rPr>
              <w:t>14</w:t>
            </w:r>
          </w:p>
        </w:tc>
        <w:tc>
          <w:tcPr>
            <w:tcW w:w="1580" w:type="dxa"/>
            <w:vAlign w:val="bottom"/>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0"/>
              </w:rPr>
              <w:t>21</w:t>
            </w:r>
          </w:p>
        </w:tc>
        <w:tc>
          <w:tcPr>
            <w:tcW w:w="1340" w:type="dxa"/>
            <w:vAlign w:val="bottom"/>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0"/>
              </w:rPr>
              <w:t>17</w:t>
            </w:r>
          </w:p>
        </w:tc>
        <w:tc>
          <w:tcPr>
            <w:tcW w:w="1280" w:type="dxa"/>
            <w:vAlign w:val="bottom"/>
            <w:shd w:val="clear" w:color="auto" w:fill="F2F2F2"/>
          </w:tcPr>
          <w:p>
            <w:pPr>
              <w:jc w:val="right"/>
              <w:ind w:right="292"/>
              <w:spacing w:after="0"/>
              <w:rPr>
                <w:sz w:val="20"/>
                <w:szCs w:val="20"/>
                <w:color w:val="auto"/>
              </w:rPr>
            </w:pPr>
            <w:r>
              <w:rPr>
                <w:rFonts w:ascii="Times New Roman" w:cs="Times New Roman" w:eastAsia="Times New Roman" w:hAnsi="Times New Roman"/>
                <w:sz w:val="22"/>
                <w:szCs w:val="22"/>
                <w:color w:val="auto"/>
              </w:rPr>
              <w:t>0</w:t>
            </w:r>
          </w:p>
        </w:tc>
        <w:tc>
          <w:tcPr>
            <w:tcW w:w="1640" w:type="dxa"/>
            <w:vAlign w:val="bottom"/>
            <w:tcBorders>
              <w:right w:val="single" w:sz="8" w:color="auto"/>
            </w:tcBorders>
            <w:shd w:val="clear" w:color="auto" w:fill="F2F2F2"/>
          </w:tcPr>
          <w:p>
            <w:pPr>
              <w:jc w:val="center"/>
              <w:ind w:left="112"/>
              <w:spacing w:after="0"/>
              <w:rPr>
                <w:sz w:val="20"/>
                <w:szCs w:val="20"/>
                <w:color w:val="auto"/>
              </w:rPr>
            </w:pPr>
            <w:r>
              <w:rPr>
                <w:rFonts w:ascii="Times New Roman" w:cs="Times New Roman" w:eastAsia="Times New Roman" w:hAnsi="Times New Roman"/>
                <w:sz w:val="22"/>
                <w:szCs w:val="22"/>
                <w:color w:val="auto"/>
                <w:w w:val="99"/>
              </w:rPr>
              <w:t>20</w:t>
            </w:r>
          </w:p>
        </w:tc>
      </w:tr>
      <w:tr>
        <w:trPr>
          <w:trHeight w:val="290"/>
        </w:trPr>
        <w:tc>
          <w:tcPr>
            <w:tcW w:w="126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146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22"/>
                <w:szCs w:val="22"/>
                <w:color w:val="auto"/>
                <w:w w:val="90"/>
              </w:rPr>
              <w:t>6</w:t>
            </w:r>
          </w:p>
        </w:tc>
        <w:tc>
          <w:tcPr>
            <w:tcW w:w="13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9"/>
              </w:rPr>
              <w:t>23</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0"/>
              </w:rPr>
              <w:t>52</w:t>
            </w:r>
          </w:p>
        </w:tc>
        <w:tc>
          <w:tcPr>
            <w:tcW w:w="134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0"/>
              </w:rPr>
              <w:t>10</w:t>
            </w:r>
          </w:p>
        </w:tc>
        <w:tc>
          <w:tcPr>
            <w:tcW w:w="1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w:t>
            </w:r>
          </w:p>
        </w:tc>
        <w:tc>
          <w:tcPr>
            <w:tcW w:w="1640" w:type="dxa"/>
            <w:vAlign w:val="bottom"/>
            <w:tcBorders>
              <w:right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w w:val="96"/>
              </w:rPr>
              <w:t>104</w:t>
            </w:r>
          </w:p>
        </w:tc>
      </w:tr>
      <w:tr>
        <w:trPr>
          <w:trHeight w:val="298"/>
        </w:trPr>
        <w:tc>
          <w:tcPr>
            <w:tcW w:w="1260" w:type="dxa"/>
            <w:vAlign w:val="bottom"/>
            <w:tcBorders>
              <w:left w:val="single" w:sz="8" w:color="auto"/>
              <w:bottom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color w:val="auto"/>
              </w:rPr>
              <w:t>Tungsten</w:t>
            </w:r>
          </w:p>
        </w:tc>
        <w:tc>
          <w:tcPr>
            <w:tcW w:w="1460" w:type="dxa"/>
            <w:vAlign w:val="bottom"/>
            <w:tcBorders>
              <w:bottom w:val="single" w:sz="8" w:color="auto"/>
              <w:right w:val="single" w:sz="8" w:color="7F7F7F"/>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color w:val="auto"/>
                <w:w w:val="90"/>
              </w:rPr>
              <w:t>5</w:t>
            </w:r>
          </w:p>
        </w:tc>
        <w:tc>
          <w:tcPr>
            <w:tcW w:w="1300" w:type="dxa"/>
            <w:vAlign w:val="bottom"/>
            <w:tcBorders>
              <w:bottom w:val="single" w:sz="8" w:color="auto"/>
            </w:tcBorders>
            <w:shd w:val="clear" w:color="auto" w:fill="F2F2F2"/>
          </w:tcPr>
          <w:p>
            <w:pPr>
              <w:jc w:val="center"/>
              <w:ind w:left="12"/>
              <w:spacing w:after="0"/>
              <w:rPr>
                <w:sz w:val="20"/>
                <w:szCs w:val="20"/>
                <w:color w:val="auto"/>
              </w:rPr>
            </w:pPr>
            <w:r>
              <w:rPr>
                <w:rFonts w:ascii="Times New Roman" w:cs="Times New Roman" w:eastAsia="Times New Roman" w:hAnsi="Times New Roman"/>
                <w:sz w:val="22"/>
                <w:szCs w:val="22"/>
                <w:color w:val="auto"/>
                <w:w w:val="99"/>
              </w:rPr>
              <w:t>10</w:t>
            </w:r>
          </w:p>
        </w:tc>
        <w:tc>
          <w:tcPr>
            <w:tcW w:w="1580" w:type="dxa"/>
            <w:vAlign w:val="bottom"/>
            <w:tcBorders>
              <w:bottom w:val="single" w:sz="8" w:color="auto"/>
            </w:tcBorders>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0"/>
              </w:rPr>
              <w:t>13</w:t>
            </w:r>
          </w:p>
        </w:tc>
        <w:tc>
          <w:tcPr>
            <w:tcW w:w="1340" w:type="dxa"/>
            <w:vAlign w:val="bottom"/>
            <w:tcBorders>
              <w:bottom w:val="single" w:sz="8" w:color="auto"/>
            </w:tcBorders>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rPr>
              <w:t>4</w:t>
            </w:r>
          </w:p>
        </w:tc>
        <w:tc>
          <w:tcPr>
            <w:tcW w:w="1280" w:type="dxa"/>
            <w:vAlign w:val="bottom"/>
            <w:tcBorders>
              <w:bottom w:val="single" w:sz="8" w:color="auto"/>
            </w:tcBorders>
            <w:shd w:val="clear" w:color="auto" w:fill="F2F2F2"/>
          </w:tcPr>
          <w:p>
            <w:pPr>
              <w:jc w:val="right"/>
              <w:ind w:right="292"/>
              <w:spacing w:after="0"/>
              <w:rPr>
                <w:sz w:val="20"/>
                <w:szCs w:val="20"/>
                <w:color w:val="auto"/>
              </w:rPr>
            </w:pPr>
            <w:r>
              <w:rPr>
                <w:rFonts w:ascii="Times New Roman" w:cs="Times New Roman" w:eastAsia="Times New Roman" w:hAnsi="Times New Roman"/>
                <w:sz w:val="22"/>
                <w:szCs w:val="22"/>
                <w:color w:val="auto"/>
              </w:rPr>
              <w:t>2</w:t>
            </w:r>
          </w:p>
        </w:tc>
        <w:tc>
          <w:tcPr>
            <w:tcW w:w="1640" w:type="dxa"/>
            <w:vAlign w:val="bottom"/>
            <w:tcBorders>
              <w:bottom w:val="single" w:sz="8" w:color="auto"/>
              <w:right w:val="single" w:sz="8" w:color="auto"/>
            </w:tcBorders>
            <w:shd w:val="clear" w:color="auto" w:fill="F2F2F2"/>
          </w:tcPr>
          <w:p>
            <w:pPr>
              <w:jc w:val="center"/>
              <w:ind w:left="112"/>
              <w:spacing w:after="0"/>
              <w:rPr>
                <w:sz w:val="20"/>
                <w:szCs w:val="20"/>
                <w:color w:val="auto"/>
              </w:rPr>
            </w:pPr>
            <w:r>
              <w:rPr>
                <w:rFonts w:ascii="Times New Roman" w:cs="Times New Roman" w:eastAsia="Times New Roman" w:hAnsi="Times New Roman"/>
                <w:sz w:val="22"/>
                <w:szCs w:val="22"/>
                <w:color w:val="auto"/>
                <w:w w:val="99"/>
              </w:rPr>
              <w:t>31</w:t>
            </w:r>
          </w:p>
        </w:tc>
      </w:tr>
    </w:tbl>
    <w:p>
      <w:pPr>
        <w:sectPr>
          <w:pgSz w:w="11900" w:h="16838" w:orient="portrait"/>
          <w:cols w:equalWidth="0" w:num="1">
            <w:col w:w="11240"/>
          </w:cols>
          <w:pgMar w:left="320" w:top="1233" w:right="339" w:bottom="1440" w:gutter="0" w:footer="0" w:header="0"/>
        </w:sectPr>
      </w:pPr>
    </w:p>
    <w:bookmarkStart w:id="7" w:name="page8"/>
    <w:bookmarkEnd w:id="7"/>
    <w:p>
      <w:pPr>
        <w:ind w:left="191" w:hanging="191"/>
        <w:spacing w:after="0"/>
        <w:tabs>
          <w:tab w:leader="none" w:pos="191" w:val="left"/>
        </w:tabs>
        <w:numPr>
          <w:ilvl w:val="0"/>
          <w:numId w:val="5"/>
        </w:numPr>
        <w:rPr>
          <w:rFonts w:ascii="Times New Roman" w:cs="Times New Roman" w:eastAsia="Times New Roman" w:hAnsi="Times New Roman"/>
          <w:sz w:val="24"/>
          <w:szCs w:val="24"/>
          <w:color w:val="0000FF"/>
          <w:vertAlign w:val="superscript"/>
        </w:rPr>
      </w:pPr>
      <w:r>
        <w:rPr>
          <w:rFonts w:ascii="Times New Roman" w:cs="Times New Roman" w:eastAsia="Times New Roman" w:hAnsi="Times New Roman"/>
          <w:sz w:val="19"/>
          <w:szCs w:val="19"/>
          <w:color w:val="auto"/>
        </w:rPr>
        <w:t>We note the following in connection with the information contained in the foregoing table:</w:t>
      </w:r>
    </w:p>
    <w:p>
      <w:pPr>
        <w:spacing w:after="0" w:line="196" w:lineRule="exact"/>
        <w:rPr>
          <w:rFonts w:ascii="Times New Roman" w:cs="Times New Roman" w:eastAsia="Times New Roman" w:hAnsi="Times New Roman"/>
          <w:sz w:val="24"/>
          <w:szCs w:val="24"/>
          <w:color w:val="0000FF"/>
          <w:vertAlign w:val="superscript"/>
        </w:rPr>
      </w:pPr>
    </w:p>
    <w:p>
      <w:pPr>
        <w:jc w:val="both"/>
        <w:ind w:left="571" w:hanging="328"/>
        <w:spacing w:after="0" w:line="214" w:lineRule="auto"/>
        <w:tabs>
          <w:tab w:leader="none" w:pos="55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5" w:lineRule="exact"/>
        <w:rPr>
          <w:rFonts w:ascii="Times New Roman" w:cs="Times New Roman" w:eastAsia="Times New Roman" w:hAnsi="Times New Roman"/>
          <w:sz w:val="22"/>
          <w:szCs w:val="22"/>
          <w:color w:val="auto"/>
        </w:rPr>
      </w:pPr>
    </w:p>
    <w:p>
      <w:pPr>
        <w:ind w:left="571" w:hanging="328"/>
        <w:spacing w:after="0" w:line="217" w:lineRule="auto"/>
        <w:tabs>
          <w:tab w:leader="none" w:pos="57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“Conformant” means that an “Eligible” or “Provisionally Eligible” smelter or refiner was audited and found to conform with the Responsible Minerals Assurance Process’ (“RMAP”) assessment protocols.</w:t>
      </w:r>
    </w:p>
    <w:p>
      <w:pPr>
        <w:spacing w:after="0" w:line="1" w:lineRule="exact"/>
        <w:rPr>
          <w:rFonts w:ascii="Times New Roman" w:cs="Times New Roman" w:eastAsia="Times New Roman" w:hAnsi="Times New Roman"/>
          <w:sz w:val="22"/>
          <w:szCs w:val="22"/>
          <w:color w:val="auto"/>
        </w:rPr>
      </w:pPr>
    </w:p>
    <w:p>
      <w:pPr>
        <w:ind w:left="571" w:hanging="328"/>
        <w:spacing w:after="0" w:line="211" w:lineRule="auto"/>
        <w:tabs>
          <w:tab w:leader="none" w:pos="55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 means that an “Eligible” smelter or refiner is engaged in the RMAP but has not yet been found to be conformant.</w:t>
      </w:r>
    </w:p>
    <w:p>
      <w:pPr>
        <w:jc w:val="both"/>
        <w:ind w:left="571" w:hanging="328"/>
        <w:spacing w:after="0" w:line="212" w:lineRule="auto"/>
        <w:tabs>
          <w:tab w:leader="none" w:pos="57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includes those “Eligible,” “Provisionally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 TTC, through its membership in the RMI, supports efforts to bring these smelters or refiners into the RMAP audit program.</w:t>
      </w:r>
    </w:p>
    <w:p>
      <w:pPr>
        <w:spacing w:after="0" w:line="3" w:lineRule="exact"/>
        <w:rPr>
          <w:rFonts w:ascii="Times New Roman" w:cs="Times New Roman" w:eastAsia="Times New Roman" w:hAnsi="Times New Roman"/>
          <w:sz w:val="22"/>
          <w:szCs w:val="22"/>
          <w:color w:val="auto"/>
        </w:rPr>
      </w:pPr>
    </w:p>
    <w:p>
      <w:pPr>
        <w:jc w:val="both"/>
        <w:ind w:left="571" w:hanging="328"/>
        <w:spacing w:after="0" w:line="212" w:lineRule="auto"/>
        <w:tabs>
          <w:tab w:leader="none" w:pos="55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1" w:lineRule="exact"/>
        <w:rPr>
          <w:rFonts w:ascii="Times New Roman" w:cs="Times New Roman" w:eastAsia="Times New Roman" w:hAnsi="Times New Roman"/>
          <w:sz w:val="22"/>
          <w:szCs w:val="22"/>
          <w:color w:val="auto"/>
        </w:rPr>
      </w:pPr>
    </w:p>
    <w:p>
      <w:pPr>
        <w:ind w:left="551" w:hanging="308"/>
        <w:spacing w:after="0" w:line="217" w:lineRule="auto"/>
        <w:tabs>
          <w:tab w:leader="none" w:pos="55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“R/S” means the reported facility processes recycled or scrap material.</w:t>
      </w:r>
    </w:p>
    <w:p>
      <w:pPr>
        <w:jc w:val="both"/>
        <w:ind w:left="571" w:hanging="328"/>
        <w:spacing w:after="0" w:line="213" w:lineRule="auto"/>
        <w:tabs>
          <w:tab w:leader="none" w:pos="57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countries were identified by smelters and refiners as “low risk” in the data compiled by RMI and provided to its members. 20 countries were identified by smelters and refiners as “high risk” in the data compiled by RMI and provided to its members. Certain countries were identified by some smelters and refiners as “low risk” but disclosed by other smelters and refiners as “high risk.” Based upon the way data is reported to TTC by its suppliers and the manner in which aggregated Country of Origin data is provided by RMI to its members, we are unable to determine whether the 3TG contained in the in-scope products we manufacture originated in low- risk or high-risk countries.</w:t>
      </w:r>
    </w:p>
    <w:p>
      <w:pPr>
        <w:spacing w:after="0" w:line="2" w:lineRule="exact"/>
        <w:rPr>
          <w:rFonts w:ascii="Times New Roman" w:cs="Times New Roman" w:eastAsia="Times New Roman" w:hAnsi="Times New Roman"/>
          <w:sz w:val="22"/>
          <w:szCs w:val="22"/>
          <w:color w:val="auto"/>
        </w:rPr>
      </w:pPr>
    </w:p>
    <w:p>
      <w:pPr>
        <w:ind w:left="571" w:right="340" w:hanging="328"/>
        <w:spacing w:after="0" w:line="211" w:lineRule="auto"/>
        <w:tabs>
          <w:tab w:leader="none" w:pos="57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status and origin reflected in the table is based solely on information made available by the RMI to its members, without independent verification by us.</w:t>
      </w:r>
    </w:p>
    <w:p>
      <w:pPr>
        <w:ind w:left="571" w:right="540" w:hanging="328"/>
        <w:spacing w:after="0" w:line="231" w:lineRule="auto"/>
        <w:tabs>
          <w:tab w:leader="none" w:pos="56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were not able to determine the country of origin of the 3TG processed by any of the smelters or refiners listed as “Active” or “Other.”</w:t>
      </w:r>
    </w:p>
    <w:sectPr>
      <w:pgSz w:w="11900" w:h="16838" w:orient="portrait"/>
      <w:cols w:equalWidth="0" w:num="1">
        <w:col w:w="11151"/>
      </w:cols>
      <w:pgMar w:left="409"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7"/>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2025-05-27T13:09:19Z</dcterms:created>
  <dcterms:modified xsi:type="dcterms:W3CDTF">2025-05-27T13:09:19Z</dcterms:modified>
</cp:coreProperties>
</file>