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TORO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9" w:lineRule="exact"/>
        <w:rPr>
          <w:sz w:val="24"/>
          <w:szCs w:val="24"/>
          <w:color w:val="auto"/>
        </w:rPr>
      </w:pPr>
    </w:p>
    <w:tbl>
      <w:tblPr>
        <w:tblLayout w:type="fixed"/>
        <w:tblInd w:w="700" w:type="dxa"/>
        <w:tblCellMar>
          <w:top w:w="0" w:type="dxa"/>
          <w:left w:w="0" w:type="dxa"/>
          <w:bottom w:w="0" w:type="dxa"/>
          <w:right w:w="0" w:type="dxa"/>
        </w:tblCellMar>
      </w:tblPr>
      <w:tr>
        <w:trPr>
          <w:trHeight w:val="242"/>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1-8649</w:t>
            </w:r>
          </w:p>
        </w:tc>
        <w:tc>
          <w:tcPr>
            <w:tcW w:w="2580" w:type="dxa"/>
            <w:vAlign w:val="bottom"/>
          </w:tcPr>
          <w:p>
            <w:pPr>
              <w:jc w:val="right"/>
              <w:ind w:right="550"/>
              <w:spacing w:after="0"/>
              <w:rPr>
                <w:sz w:val="20"/>
                <w:szCs w:val="20"/>
                <w:color w:val="auto"/>
              </w:rPr>
            </w:pPr>
            <w:r>
              <w:rPr>
                <w:rFonts w:ascii="Times New Roman" w:cs="Times New Roman" w:eastAsia="Times New Roman" w:hAnsi="Times New Roman"/>
                <w:sz w:val="20"/>
                <w:szCs w:val="20"/>
                <w:b w:val="1"/>
                <w:bCs w:val="1"/>
                <w:color w:val="auto"/>
              </w:rPr>
              <w:t>41-0580470</w:t>
            </w:r>
          </w:p>
        </w:tc>
      </w:tr>
      <w:tr>
        <w:trPr>
          <w:trHeight w:val="203"/>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(Commission File Number)</w:t>
            </w: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of incorporation)</w:t>
            </w:r>
          </w:p>
        </w:tc>
        <w:tc>
          <w:tcPr>
            <w:tcW w:w="43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25"/>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6"/>
              </w:rPr>
              <w:t>8111 Lyndale Avenue South</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2"/>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20"/>
                <w:szCs w:val="20"/>
                <w:b w:val="1"/>
                <w:bCs w:val="1"/>
                <w:color w:val="auto"/>
                <w:w w:val="99"/>
              </w:rPr>
              <w:t>Bloomington, Minnesota</w:t>
            </w:r>
          </w:p>
        </w:tc>
        <w:tc>
          <w:tcPr>
            <w:tcW w:w="432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Times New Roman" w:cs="Times New Roman" w:eastAsia="Times New Roman" w:hAnsi="Times New Roman"/>
                <w:sz w:val="20"/>
                <w:szCs w:val="20"/>
                <w:b w:val="1"/>
                <w:bCs w:val="1"/>
                <w:color w:val="auto"/>
              </w:rPr>
              <w:t>55420</w:t>
            </w:r>
          </w:p>
        </w:tc>
      </w:tr>
      <w:tr>
        <w:trPr>
          <w:trHeight w:val="210"/>
        </w:trPr>
        <w:tc>
          <w:tcPr>
            <w:tcW w:w="2800" w:type="dxa"/>
            <w:vAlign w:val="bottom"/>
          </w:tcPr>
          <w:p>
            <w:pPr>
              <w:jc w:val="center"/>
              <w:ind w:right="15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20" w:type="dxa"/>
            <w:vAlign w:val="bottom"/>
          </w:tcPr>
          <w:p>
            <w:pPr>
              <w:spacing w:after="0"/>
              <w:rPr>
                <w:sz w:val="18"/>
                <w:szCs w:val="18"/>
                <w:color w:val="auto"/>
              </w:rPr>
            </w:pPr>
          </w:p>
        </w:tc>
        <w:tc>
          <w:tcPr>
            <w:tcW w:w="2580" w:type="dxa"/>
            <w:vAlign w:val="bottom"/>
          </w:tcPr>
          <w:p>
            <w:pPr>
              <w:jc w:val="center"/>
              <w:ind w:left="250"/>
              <w:spacing w:after="0"/>
              <w:rPr>
                <w:sz w:val="20"/>
                <w:szCs w:val="20"/>
                <w:color w:val="auto"/>
              </w:rPr>
            </w:pPr>
            <w:r>
              <w:rPr>
                <w:rFonts w:ascii="Times New Roman" w:cs="Times New Roman" w:eastAsia="Times New Roman" w:hAnsi="Times New Roman"/>
                <w:sz w:val="16"/>
                <w:szCs w:val="16"/>
                <w:color w:val="auto"/>
              </w:rPr>
              <w:t>(Zip Code)</w:t>
            </w:r>
          </w:p>
        </w:tc>
      </w:tr>
      <w:tr>
        <w:trPr>
          <w:trHeight w:val="352"/>
        </w:trPr>
        <w:tc>
          <w:tcPr>
            <w:tcW w:w="28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(952) 888-8801</w:t>
            </w:r>
          </w:p>
        </w:tc>
        <w:tc>
          <w:tcPr>
            <w:tcW w:w="258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580" w:type="dxa"/>
            <w:vAlign w:val="bottom"/>
          </w:tcPr>
          <w:p>
            <w:pPr>
              <w:spacing w:after="0"/>
              <w:rPr>
                <w:sz w:val="20"/>
                <w:szCs w:val="20"/>
                <w:color w:val="auto"/>
              </w:rPr>
            </w:pP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1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r>
        <w:trPr>
          <w:trHeight w:val="24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1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7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5 – Corporate Governance and Management</w:t>
      </w:r>
    </w:p>
    <w:p>
      <w:pPr>
        <w:spacing w:after="0" w:line="22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33" w:lineRule="exact"/>
        <w:rPr>
          <w:sz w:val="20"/>
          <w:szCs w:val="20"/>
          <w:color w:val="auto"/>
        </w:rPr>
      </w:pPr>
    </w:p>
    <w:p>
      <w:pPr>
        <w:ind w:right="40" w:firstLine="749"/>
        <w:spacing w:after="0" w:line="269" w:lineRule="auto"/>
        <w:rPr>
          <w:sz w:val="20"/>
          <w:szCs w:val="20"/>
          <w:color w:val="auto"/>
        </w:rPr>
      </w:pPr>
      <w:r>
        <w:rPr>
          <w:rFonts w:ascii="Times New Roman" w:cs="Times New Roman" w:eastAsia="Times New Roman" w:hAnsi="Times New Roman"/>
          <w:sz w:val="20"/>
          <w:szCs w:val="20"/>
          <w:color w:val="auto"/>
        </w:rPr>
        <w:t>The Toro Company (“TTC”) held its 2021 Annual Meeting of Shareholders on March 16, 2021. The final results of the shareholder vote on the business brought before the meeting were as follows:</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Against/</w:t>
            </w:r>
          </w:p>
        </w:tc>
        <w:tc>
          <w:tcPr>
            <w:tcW w:w="124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Broker</w:t>
            </w:r>
          </w:p>
        </w:tc>
        <w:tc>
          <w:tcPr>
            <w:tcW w:w="0" w:type="dxa"/>
            <w:vAlign w:val="bottom"/>
          </w:tcPr>
          <w:p>
            <w:pPr>
              <w:spacing w:after="0"/>
              <w:rPr>
                <w:sz w:val="1"/>
                <w:szCs w:val="1"/>
                <w:color w:val="auto"/>
              </w:rPr>
            </w:pPr>
          </w:p>
        </w:tc>
      </w:tr>
      <w:tr>
        <w:trPr>
          <w:trHeight w:val="258"/>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Proposal One—Election of three directors, each to</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Withheld</w:t>
            </w:r>
          </w:p>
        </w:tc>
        <w:tc>
          <w:tcPr>
            <w:tcW w:w="12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Abstain</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Non-Votes</w:t>
            </w: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serve for a term of three years ending at TTC’s</w:t>
            </w: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2024 Annual Meeting of Shareholders</w:t>
            </w:r>
          </w:p>
        </w:tc>
        <w:tc>
          <w:tcPr>
            <w:tcW w:w="1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Janet K. Cooper</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90,516,744</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1,763,144</w:t>
            </w:r>
          </w:p>
        </w:tc>
        <w:tc>
          <w:tcPr>
            <w:tcW w:w="1240" w:type="dxa"/>
            <w:vAlign w:val="bottom"/>
            <w:vMerge w:val="continue"/>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6,381,121</w:t>
            </w:r>
          </w:p>
        </w:tc>
        <w:tc>
          <w:tcPr>
            <w:tcW w:w="0" w:type="dxa"/>
            <w:vAlign w:val="bottom"/>
          </w:tcPr>
          <w:p>
            <w:pPr>
              <w:spacing w:after="0"/>
              <w:rPr>
                <w:sz w:val="1"/>
                <w:szCs w:val="1"/>
                <w:color w:val="auto"/>
              </w:rPr>
            </w:pPr>
          </w:p>
        </w:tc>
      </w:tr>
      <w:tr>
        <w:trPr>
          <w:trHeight w:val="257"/>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Gary L. Ellis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89,672,712</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2,607,176</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6,381,121</w:t>
            </w:r>
          </w:p>
        </w:tc>
        <w:tc>
          <w:tcPr>
            <w:tcW w:w="0" w:type="dxa"/>
            <w:vAlign w:val="bottom"/>
          </w:tcPr>
          <w:p>
            <w:pPr>
              <w:spacing w:after="0"/>
              <w:rPr>
                <w:sz w:val="1"/>
                <w:szCs w:val="1"/>
                <w:color w:val="auto"/>
              </w:rPr>
            </w:pPr>
          </w:p>
        </w:tc>
      </w:tr>
      <w:tr>
        <w:trPr>
          <w:trHeight w:val="285"/>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Michael G. Vale</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91,795,393</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484,495</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6,381,121</w:t>
            </w:r>
          </w:p>
        </w:tc>
        <w:tc>
          <w:tcPr>
            <w:tcW w:w="0" w:type="dxa"/>
            <w:vAlign w:val="bottom"/>
          </w:tcPr>
          <w:p>
            <w:pPr>
              <w:spacing w:after="0"/>
              <w:rPr>
                <w:sz w:val="1"/>
                <w:szCs w:val="1"/>
                <w:color w:val="auto"/>
              </w:rPr>
            </w:pPr>
          </w:p>
        </w:tc>
      </w:tr>
      <w:tr>
        <w:trPr>
          <w:trHeight w:val="467"/>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Two—Ratification of the selection of KPMG</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96,460,209</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1,764,125</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436,675</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LLP as TTC’s independent registered public</w:t>
            </w: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accounting firm for TTC’s fiscal year ending</w:t>
            </w:r>
          </w:p>
        </w:tc>
        <w:tc>
          <w:tcPr>
            <w:tcW w:w="1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October 31, 2021</w:t>
            </w:r>
          </w:p>
        </w:tc>
        <w:tc>
          <w:tcPr>
            <w:tcW w:w="1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Three—Advisory approval of executive</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86,221,278</w:t>
            </w:r>
          </w:p>
        </w:tc>
        <w:tc>
          <w:tcPr>
            <w:tcW w:w="12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4,849,997</w:t>
            </w:r>
          </w:p>
        </w:tc>
        <w:tc>
          <w:tcPr>
            <w:tcW w:w="12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1,208,613</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6,381,121</w:t>
            </w:r>
          </w:p>
        </w:tc>
        <w:tc>
          <w:tcPr>
            <w:tcW w:w="0" w:type="dxa"/>
            <w:vAlign w:val="bottom"/>
          </w:tcPr>
          <w:p>
            <w:pPr>
              <w:spacing w:after="0"/>
              <w:rPr>
                <w:sz w:val="1"/>
                <w:szCs w:val="1"/>
                <w:color w:val="auto"/>
              </w:rPr>
            </w:pPr>
          </w:p>
        </w:tc>
      </w:tr>
      <w:tr>
        <w:trPr>
          <w:trHeight w:val="262"/>
        </w:trPr>
        <w:tc>
          <w:tcPr>
            <w:tcW w:w="48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Each of the directors in Proposal One was elected by TTC’s shareholders by the required vote and each of Proposals Two and Three was approved by TTC’s shareholders by the required vote.</w:t>
      </w:r>
    </w:p>
    <w:p>
      <w:pPr>
        <w:spacing w:after="0" w:line="173" w:lineRule="exact"/>
        <w:rPr>
          <w:sz w:val="20"/>
          <w:szCs w:val="20"/>
          <w:color w:val="auto"/>
        </w:rPr>
      </w:pPr>
    </w:p>
    <w:p>
      <w:pPr>
        <w:ind w:right="320" w:firstLine="749"/>
        <w:spacing w:after="0" w:line="249" w:lineRule="auto"/>
        <w:rPr>
          <w:sz w:val="20"/>
          <w:szCs w:val="20"/>
          <w:color w:val="auto"/>
        </w:rPr>
      </w:pPr>
      <w:r>
        <w:rPr>
          <w:rFonts w:ascii="Times New Roman" w:cs="Times New Roman" w:eastAsia="Times New Roman" w:hAnsi="Times New Roman"/>
          <w:sz w:val="20"/>
          <w:szCs w:val="20"/>
          <w:color w:val="auto"/>
        </w:rPr>
        <w:t>Regarding TTC’s other directors (i) each of Jeffrey L. Harmening, Joyce A. Mullen, Richard M. Olson, and James C. O’Rourke continue to serve as a director for a term ending at TTC’s 2022 Annual Meeting of Shareholders, and (ii) each of Jeffrey M. Ettinger, Katherine J. Harless, and D. Christian Koch continue to serve as a director for a term ending at TTC’s 2023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45"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THE TORO COMPANY</w:t>
            </w:r>
          </w:p>
        </w:tc>
      </w:tr>
      <w:tr>
        <w:trPr>
          <w:trHeight w:val="238"/>
        </w:trPr>
        <w:tc>
          <w:tcPr>
            <w:tcW w:w="3600" w:type="dxa"/>
            <w:vAlign w:val="bottom"/>
          </w:tcPr>
          <w:p>
            <w:pPr>
              <w:spacing w:after="0"/>
              <w:rPr>
                <w:sz w:val="20"/>
                <w:szCs w:val="20"/>
                <w:color w:val="auto"/>
              </w:rPr>
            </w:pP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68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18, 2021</w:t>
            </w: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Amy E. Dahl</w:t>
            </w:r>
          </w:p>
        </w:tc>
      </w:tr>
      <w:tr>
        <w:trPr>
          <w:trHeight w:val="218"/>
        </w:trPr>
        <w:tc>
          <w:tcPr>
            <w:tcW w:w="3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Amy E. Dahl</w:t>
            </w:r>
          </w:p>
        </w:tc>
      </w:tr>
      <w:tr>
        <w:trPr>
          <w:trHeight w:val="216"/>
        </w:trPr>
        <w:tc>
          <w:tcPr>
            <w:tcW w:w="3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Human Resources and General Counsel and Corporate</w:t>
            </w:r>
          </w:p>
        </w:tc>
      </w:tr>
      <w:tr>
        <w:trPr>
          <w:trHeight w:val="234"/>
        </w:trPr>
        <w:tc>
          <w:tcPr>
            <w:tcW w:w="3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Secretary</w:t>
            </w:r>
          </w:p>
        </w:tc>
      </w:tr>
      <w:tr>
        <w:trPr>
          <w:trHeight w:val="648"/>
        </w:trPr>
        <w:tc>
          <w:tcPr>
            <w:tcW w:w="3600" w:type="dxa"/>
            <w:vAlign w:val="bottom"/>
          </w:tcPr>
          <w:p>
            <w:pPr>
              <w:spacing w:after="0"/>
              <w:rPr>
                <w:sz w:val="24"/>
                <w:szCs w:val="24"/>
                <w:color w:val="auto"/>
              </w:rPr>
            </w:pPr>
          </w:p>
        </w:tc>
        <w:tc>
          <w:tcPr>
            <w:tcW w:w="2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5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2021-03-18T10:16:08Z</dcterms:created>
  <dcterms:modified xsi:type="dcterms:W3CDTF">2021-03-18T10:16:08Z</dcterms:modified>
</cp:coreProperties>
</file>