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Altmaier Judy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 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12/11/2012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6"/>
        <w:spacing w:after="0"/>
        <w:rPr>
          <w:sz w:val="20"/>
          <w:szCs w:val="20"/>
          <w:color w:val="auto"/>
        </w:rPr>
      </w:pPr>
      <w:r>
        <w:rPr>
          <w:rFonts w:ascii="Arial" w:cs="Arial" w:eastAsia="Arial" w:hAnsi="Arial"/>
          <w:sz w:val="17"/>
          <w:szCs w:val="17"/>
          <w:color w:val="0000FF"/>
        </w:rPr>
        <w:t>VP, Operations &amp; Quality Mgmt.</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12/11/2012</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5"/>
              </w:rPr>
              <w:t>10,000</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jc w:val="right"/>
              <w:ind w:right="176"/>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10,000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9"/>
              </w:rPr>
              <w:t>6,656.267</w:t>
            </w:r>
          </w:p>
        </w:tc>
        <w:tc>
          <w:tcPr>
            <w:tcW w:w="300" w:type="dxa"/>
            <w:vAlign w:val="bottom"/>
          </w:tcPr>
          <w:p>
            <w:pPr>
              <w:spacing w:after="0"/>
              <w:rPr>
                <w:sz w:val="23"/>
                <w:szCs w:val="23"/>
                <w:color w:val="auto"/>
              </w:rPr>
            </w:pP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92"/>
              </w:rPr>
              <w:t>70.574</w:t>
            </w:r>
          </w:p>
        </w:tc>
        <w:tc>
          <w:tcPr>
            <w:tcW w:w="300" w:type="dxa"/>
            <w:vAlign w:val="bottom"/>
          </w:tcPr>
          <w:p>
            <w:pPr>
              <w:spacing w:after="0"/>
              <w:rPr>
                <w:sz w:val="18"/>
                <w:szCs w:val="18"/>
                <w:color w:val="auto"/>
              </w:rPr>
            </w:pPr>
          </w:p>
        </w:tc>
        <w:tc>
          <w:tcPr>
            <w:tcW w:w="60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9"/>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0"/>
          </w:tcPr>
          <w:p>
            <w:pPr>
              <w:jc w:val="center"/>
              <w:ind w:right="7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jc w:val="center"/>
              <w:ind w:left="55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42.06</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12/11/2012</w:t>
            </w:r>
          </w:p>
        </w:tc>
        <w:tc>
          <w:tcPr>
            <w:tcW w:w="1180" w:type="dxa"/>
            <w:vAlign w:val="bottom"/>
          </w:tcPr>
          <w:p>
            <w:pPr>
              <w:spacing w:after="0"/>
              <w:rPr>
                <w:sz w:val="17"/>
                <w:szCs w:val="17"/>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7"/>
                <w:szCs w:val="17"/>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10,100</w:t>
            </w:r>
          </w:p>
        </w:tc>
        <w:tc>
          <w:tcPr>
            <w:tcW w:w="34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(2)</w:t>
            </w:r>
          </w:p>
        </w:tc>
        <w:tc>
          <w:tcPr>
            <w:tcW w:w="780" w:type="dxa"/>
            <w:vAlign w:val="bottom"/>
          </w:tcPr>
          <w:p>
            <w:pPr>
              <w:ind w:left="60"/>
              <w:spacing w:after="0"/>
              <w:rPr>
                <w:sz w:val="20"/>
                <w:szCs w:val="20"/>
                <w:color w:val="auto"/>
              </w:rPr>
            </w:pPr>
            <w:r>
              <w:rPr>
                <w:rFonts w:ascii="Arial" w:cs="Arial" w:eastAsia="Arial" w:hAnsi="Arial"/>
                <w:sz w:val="13"/>
                <w:szCs w:val="13"/>
                <w:color w:val="0000FF"/>
              </w:rPr>
              <w:t>12/11/2022</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10,100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60"/>
              <w:spacing w:after="0"/>
              <w:rPr>
                <w:sz w:val="20"/>
                <w:szCs w:val="20"/>
                <w:color w:val="auto"/>
              </w:rPr>
            </w:pPr>
            <w:r>
              <w:rPr>
                <w:rFonts w:ascii="Arial" w:cs="Arial" w:eastAsia="Arial" w:hAnsi="Arial"/>
                <w:sz w:val="13"/>
                <w:szCs w:val="13"/>
                <w:color w:val="0000FF"/>
              </w:rPr>
              <w:t>10,100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jc w:val="right"/>
              <w:ind w:right="176"/>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8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2010 to Fiscal 2012 Performance Period under The Toro Company Performance Share Plan, as approved by the registrant's Compensation &amp; Human Resources Committee of its Board of Directors on December 11, 2012. The reporting person has deferred the payout of her Performance Share Award under The Toro Company Deferred Compensation Plan for Officers (the "Deferred Plan") and, accordingly, the reporting person's Performance Share Award is paid in performance share units under the Deferred Plan.</w:t>
      </w:r>
    </w:p>
    <w:p>
      <w:pPr>
        <w:spacing w:after="0" w:line="4"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12/13/2012</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4806"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2019-12-17T01:52:27Z</dcterms:created>
  <dcterms:modified xsi:type="dcterms:W3CDTF">2019-12-17T01:52:27Z</dcterms:modified>
</cp:coreProperties>
</file>