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17, 2011</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80" w:type="dxa"/>
        <w:tblCellMar>
          <w:top w:w="0" w:type="dxa"/>
          <w:left w:w="0" w:type="dxa"/>
          <w:bottom w:w="0" w:type="dxa"/>
          <w:right w:w="0" w:type="dxa"/>
        </w:tblCellMar>
      </w:tblPr>
      <w:tr>
        <w:trPr>
          <w:trHeight w:val="220"/>
        </w:trPr>
        <w:tc>
          <w:tcPr>
            <w:tcW w:w="3500" w:type="dxa"/>
            <w:vAlign w:val="bottom"/>
          </w:tcPr>
          <w:p>
            <w:pPr>
              <w:jc w:val="center"/>
              <w:ind w:right="1690"/>
              <w:spacing w:after="0"/>
              <w:rPr>
                <w:sz w:val="20"/>
                <w:szCs w:val="20"/>
                <w:color w:val="auto"/>
              </w:rPr>
            </w:pPr>
            <w:r>
              <w:rPr>
                <w:rFonts w:ascii="Arial" w:cs="Arial" w:eastAsia="Arial" w:hAnsi="Arial"/>
                <w:sz w:val="18"/>
                <w:szCs w:val="18"/>
                <w:b w:val="1"/>
                <w:bCs w:val="1"/>
                <w:color w:val="auto"/>
                <w:w w:val="91"/>
              </w:rPr>
              <w:t>Delaware</w:t>
            </w:r>
          </w:p>
        </w:tc>
        <w:tc>
          <w:tcPr>
            <w:tcW w:w="2540" w:type="dxa"/>
            <w:vAlign w:val="bottom"/>
          </w:tcPr>
          <w:p>
            <w:pPr>
              <w:jc w:val="right"/>
              <w:ind w:right="950"/>
              <w:spacing w:after="0"/>
              <w:rPr>
                <w:sz w:val="20"/>
                <w:szCs w:val="20"/>
                <w:color w:val="auto"/>
              </w:rPr>
            </w:pPr>
            <w:r>
              <w:rPr>
                <w:rFonts w:ascii="Arial" w:cs="Arial" w:eastAsia="Arial" w:hAnsi="Arial"/>
                <w:sz w:val="18"/>
                <w:szCs w:val="18"/>
                <w:b w:val="1"/>
                <w:bCs w:val="1"/>
                <w:color w:val="auto"/>
              </w:rPr>
              <w:t>1-8649</w:t>
            </w:r>
          </w:p>
        </w:tc>
        <w:tc>
          <w:tcPr>
            <w:tcW w:w="4040" w:type="dxa"/>
            <w:vAlign w:val="bottom"/>
          </w:tcPr>
          <w:p>
            <w:pPr>
              <w:jc w:val="right"/>
              <w:ind w:right="930"/>
              <w:spacing w:after="0"/>
              <w:rPr>
                <w:sz w:val="20"/>
                <w:szCs w:val="20"/>
                <w:color w:val="auto"/>
              </w:rPr>
            </w:pPr>
            <w:r>
              <w:rPr>
                <w:rFonts w:ascii="Arial" w:cs="Arial" w:eastAsia="Arial" w:hAnsi="Arial"/>
                <w:sz w:val="18"/>
                <w:szCs w:val="18"/>
                <w:b w:val="1"/>
                <w:bCs w:val="1"/>
                <w:color w:val="auto"/>
              </w:rPr>
              <w:t>41-0580470</w:t>
            </w:r>
          </w:p>
        </w:tc>
      </w:tr>
      <w:tr>
        <w:trPr>
          <w:trHeight w:val="230"/>
        </w:trPr>
        <w:tc>
          <w:tcPr>
            <w:tcW w:w="3500" w:type="dxa"/>
            <w:vAlign w:val="bottom"/>
          </w:tcPr>
          <w:p>
            <w:pPr>
              <w:jc w:val="center"/>
              <w:ind w:right="1710"/>
              <w:spacing w:after="0"/>
              <w:rPr>
                <w:sz w:val="20"/>
                <w:szCs w:val="20"/>
                <w:color w:val="auto"/>
              </w:rPr>
            </w:pPr>
            <w:r>
              <w:rPr>
                <w:rFonts w:ascii="Arial" w:cs="Arial" w:eastAsia="Arial" w:hAnsi="Arial"/>
                <w:sz w:val="18"/>
                <w:szCs w:val="18"/>
                <w:color w:val="auto"/>
                <w:w w:val="92"/>
              </w:rPr>
              <w:t>(State of Incorporation)</w:t>
            </w:r>
          </w:p>
        </w:tc>
        <w:tc>
          <w:tcPr>
            <w:tcW w:w="254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40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 Identification Number)</w:t>
            </w:r>
          </w:p>
        </w:tc>
      </w:tr>
      <w:tr>
        <w:trPr>
          <w:trHeight w:val="414"/>
        </w:trPr>
        <w:tc>
          <w:tcPr>
            <w:tcW w:w="350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8111 Lyndale Avenue South</w:t>
            </w:r>
          </w:p>
        </w:tc>
        <w:tc>
          <w:tcPr>
            <w:tcW w:w="254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20"/>
        </w:trPr>
        <w:tc>
          <w:tcPr>
            <w:tcW w:w="350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Bloomington, Minnesota</w:t>
            </w:r>
          </w:p>
        </w:tc>
        <w:tc>
          <w:tcPr>
            <w:tcW w:w="2540" w:type="dxa"/>
            <w:vAlign w:val="bottom"/>
          </w:tcPr>
          <w:p>
            <w:pPr>
              <w:spacing w:after="0"/>
              <w:rPr>
                <w:sz w:val="19"/>
                <w:szCs w:val="19"/>
                <w:color w:val="auto"/>
              </w:rPr>
            </w:pPr>
          </w:p>
        </w:tc>
        <w:tc>
          <w:tcPr>
            <w:tcW w:w="4040" w:type="dxa"/>
            <w:vAlign w:val="bottom"/>
          </w:tcPr>
          <w:p>
            <w:pPr>
              <w:jc w:val="right"/>
              <w:ind w:right="2110"/>
              <w:spacing w:after="0"/>
              <w:rPr>
                <w:sz w:val="20"/>
                <w:szCs w:val="20"/>
                <w:color w:val="auto"/>
              </w:rPr>
            </w:pPr>
            <w:r>
              <w:rPr>
                <w:rFonts w:ascii="Arial" w:cs="Arial" w:eastAsia="Arial" w:hAnsi="Arial"/>
                <w:sz w:val="18"/>
                <w:szCs w:val="18"/>
                <w:b w:val="1"/>
                <w:bCs w:val="1"/>
                <w:color w:val="auto"/>
              </w:rPr>
              <w:t>55420</w:t>
            </w:r>
          </w:p>
        </w:tc>
      </w:tr>
      <w:tr>
        <w:trPr>
          <w:trHeight w:val="230"/>
        </w:trPr>
        <w:tc>
          <w:tcPr>
            <w:tcW w:w="3500" w:type="dxa"/>
            <w:vAlign w:val="bottom"/>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20"/>
                <w:szCs w:val="20"/>
                <w:color w:val="auto"/>
              </w:rPr>
            </w:pPr>
          </w:p>
        </w:tc>
        <w:tc>
          <w:tcPr>
            <w:tcW w:w="4040" w:type="dxa"/>
            <w:vAlign w:val="bottom"/>
          </w:tcPr>
          <w:p>
            <w:pPr>
              <w:jc w:val="center"/>
              <w:ind w:right="730"/>
              <w:spacing w:after="0"/>
              <w:rPr>
                <w:sz w:val="20"/>
                <w:szCs w:val="20"/>
                <w:color w:val="auto"/>
              </w:rPr>
            </w:pPr>
            <w:r>
              <w:rPr>
                <w:rFonts w:ascii="Arial" w:cs="Arial" w:eastAsia="Arial" w:hAnsi="Arial"/>
                <w:sz w:val="18"/>
                <w:szCs w:val="18"/>
                <w:color w:val="auto"/>
                <w:w w:val="91"/>
              </w:rPr>
              <w:t>(Zip Code)</w:t>
            </w:r>
          </w:p>
        </w:tc>
      </w:tr>
      <w:tr>
        <w:trPr>
          <w:trHeight w:val="432"/>
        </w:trPr>
        <w:tc>
          <w:tcPr>
            <w:tcW w:w="6040" w:type="dxa"/>
            <w:vAlign w:val="bottom"/>
            <w:gridSpan w:val="2"/>
          </w:tcPr>
          <w:p>
            <w:pPr>
              <w:ind w:left="2220"/>
              <w:spacing w:after="0"/>
              <w:rPr>
                <w:sz w:val="20"/>
                <w:szCs w:val="20"/>
                <w:color w:val="auto"/>
              </w:rPr>
            </w:pPr>
            <w:r>
              <w:rPr>
                <w:rFonts w:ascii="Arial" w:cs="Arial" w:eastAsia="Arial" w:hAnsi="Arial"/>
                <w:sz w:val="18"/>
                <w:szCs w:val="18"/>
                <w:color w:val="auto"/>
                <w:w w:val="91"/>
              </w:rPr>
              <w:t>Registrant’s telephone number, including area code:</w:t>
            </w:r>
          </w:p>
        </w:tc>
        <w:tc>
          <w:tcPr>
            <w:tcW w:w="4040" w:type="dxa"/>
            <w:vAlign w:val="bottom"/>
          </w:tcPr>
          <w:p>
            <w:pPr>
              <w:jc w:val="right"/>
              <w:ind w:right="2730"/>
              <w:spacing w:after="0"/>
              <w:rPr>
                <w:sz w:val="20"/>
                <w:szCs w:val="20"/>
                <w:color w:val="auto"/>
              </w:rPr>
            </w:pPr>
            <w:r>
              <w:rPr>
                <w:rFonts w:ascii="Arial" w:cs="Arial" w:eastAsia="Arial" w:hAnsi="Arial"/>
                <w:sz w:val="18"/>
                <w:szCs w:val="18"/>
                <w:b w:val="1"/>
                <w:bCs w:val="1"/>
                <w:color w:val="auto"/>
                <w:w w:val="97"/>
              </w:rPr>
              <w:t>(952) 888-8801</w:t>
            </w: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On February 17, 2011, The Toro Company announced its earnings for the three months ended January 28, 2011.</w:t>
      </w:r>
    </w:p>
    <w:p>
      <w:pPr>
        <w:spacing w:after="0" w:line="225" w:lineRule="exact"/>
        <w:rPr>
          <w:sz w:val="24"/>
          <w:szCs w:val="24"/>
          <w:color w:val="auto"/>
        </w:rPr>
      </w:pPr>
    </w:p>
    <w:p>
      <w:pPr>
        <w:ind w:left="820" w:right="1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4"/>
          <w:szCs w:val="24"/>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00" w:hanging="47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8600" w:type="dxa"/>
            <w:vAlign w:val="bottom"/>
          </w:tcPr>
          <w:p>
            <w:pPr>
              <w:jc w:val="right"/>
              <w:ind w:right="3856"/>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r>
      <w:tr>
        <w:trPr>
          <w:trHeight w:val="224"/>
        </w:trPr>
        <w:tc>
          <w:tcPr>
            <w:tcW w:w="88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9"/>
                <w:szCs w:val="19"/>
                <w:color w:val="auto"/>
              </w:rPr>
            </w:pPr>
          </w:p>
        </w:tc>
        <w:tc>
          <w:tcPr>
            <w:tcW w:w="8600" w:type="dxa"/>
            <w:vAlign w:val="bottom"/>
            <w:tcBorders>
              <w:top w:val="single" w:sz="8" w:color="auto"/>
            </w:tcBorders>
          </w:tcPr>
          <w:p>
            <w:pPr>
              <w:jc w:val="right"/>
              <w:ind w:right="4236"/>
              <w:spacing w:after="0"/>
              <w:rPr>
                <w:sz w:val="20"/>
                <w:szCs w:val="20"/>
                <w:color w:val="auto"/>
              </w:rPr>
            </w:pPr>
            <w:r>
              <w:rPr>
                <w:rFonts w:ascii="Arial" w:cs="Arial" w:eastAsia="Arial" w:hAnsi="Arial"/>
                <w:sz w:val="18"/>
                <w:szCs w:val="18"/>
                <w:color w:val="auto"/>
                <w:w w:val="88"/>
              </w:rPr>
              <w:t>Press release dated February 17, 2011 (furnished herewith).</w:t>
            </w:r>
          </w:p>
        </w:tc>
        <w:tc>
          <w:tcPr>
            <w:tcW w:w="200" w:type="dxa"/>
            <w:vAlign w:val="bottom"/>
          </w:tcPr>
          <w:p>
            <w:pPr>
              <w:spacing w:after="0"/>
              <w:rPr>
                <w:sz w:val="19"/>
                <w:szCs w:val="19"/>
                <w:color w:val="auto"/>
              </w:rPr>
            </w:pPr>
          </w:p>
        </w:tc>
      </w:tr>
      <w:tr>
        <w:trPr>
          <w:trHeight w:val="418"/>
        </w:trPr>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0" w:type="dxa"/>
            <w:vAlign w:val="bottom"/>
          </w:tcPr>
          <w:p>
            <w:pPr>
              <w:jc w:val="right"/>
              <w:ind w:right="5416"/>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r>
      <w:tr>
        <w:trPr>
          <w:trHeight w:val="132"/>
        </w:trPr>
        <w:tc>
          <w:tcPr>
            <w:tcW w:w="880" w:type="dxa"/>
            <w:vAlign w:val="bottom"/>
            <w:tcBorders>
              <w:bottom w:val="single" w:sz="8" w:color="010101"/>
            </w:tcBorders>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6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181"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380" w:type="dxa"/>
            <w:vAlign w:val="bottom"/>
            <w:gridSpan w:val="2"/>
          </w:tcPr>
          <w:p>
            <w:pPr>
              <w:ind w:left="370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380" w:type="dxa"/>
            <w:vAlign w:val="bottom"/>
            <w:gridSpan w:val="2"/>
          </w:tcPr>
          <w:p>
            <w:pPr>
              <w:ind w:left="370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2040" w:type="dxa"/>
            <w:vAlign w:val="bottom"/>
            <w:gridSpan w:val="3"/>
          </w:tcPr>
          <w:p>
            <w:pPr>
              <w:spacing w:after="0"/>
              <w:rPr>
                <w:sz w:val="20"/>
                <w:szCs w:val="20"/>
                <w:color w:val="auto"/>
              </w:rPr>
            </w:pPr>
            <w:r>
              <w:rPr>
                <w:rFonts w:ascii="Arial" w:cs="Arial" w:eastAsia="Arial" w:hAnsi="Arial"/>
                <w:sz w:val="18"/>
                <w:szCs w:val="18"/>
                <w:color w:val="auto"/>
              </w:rPr>
              <w:t>Date: February 17, 2011</w:t>
            </w:r>
          </w:p>
        </w:tc>
        <w:tc>
          <w:tcPr>
            <w:tcW w:w="9380" w:type="dxa"/>
            <w:vAlign w:val="bottom"/>
            <w:gridSpan w:val="2"/>
          </w:tcPr>
          <w:p>
            <w:pPr>
              <w:ind w:left="3700"/>
              <w:spacing w:after="0"/>
              <w:rPr>
                <w:sz w:val="20"/>
                <w:szCs w:val="20"/>
                <w:color w:val="auto"/>
              </w:rPr>
            </w:pPr>
            <w:r>
              <w:rPr>
                <w:rFonts w:ascii="Arial" w:cs="Arial" w:eastAsia="Arial" w:hAnsi="Arial"/>
                <w:sz w:val="18"/>
                <w:szCs w:val="18"/>
                <w:color w:val="auto"/>
              </w:rPr>
              <w:t>By  /s/ Stephen P. Wolfe</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80" w:type="dxa"/>
            <w:vAlign w:val="bottom"/>
            <w:gridSpan w:val="2"/>
          </w:tcPr>
          <w:p>
            <w:pPr>
              <w:ind w:left="3700"/>
              <w:spacing w:after="0" w:line="182" w:lineRule="exact"/>
              <w:rPr>
                <w:sz w:val="20"/>
                <w:szCs w:val="20"/>
                <w:color w:val="auto"/>
              </w:rPr>
            </w:pPr>
            <w:r>
              <w:rPr>
                <w:rFonts w:ascii="Arial" w:cs="Arial" w:eastAsia="Arial" w:hAnsi="Arial"/>
                <w:sz w:val="18"/>
                <w:szCs w:val="18"/>
                <w:color w:val="auto"/>
              </w:rPr>
              <w:t>Stephen P. Wolfe</w:t>
            </w:r>
          </w:p>
        </w:tc>
        <w:tc>
          <w:tcPr>
            <w:tcW w:w="4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380" w:type="dxa"/>
            <w:vAlign w:val="bottom"/>
            <w:gridSpan w:val="2"/>
          </w:tcPr>
          <w:p>
            <w:pPr>
              <w:ind w:left="3700"/>
              <w:spacing w:after="0"/>
              <w:rPr>
                <w:sz w:val="20"/>
                <w:szCs w:val="20"/>
                <w:color w:val="auto"/>
              </w:rPr>
            </w:pPr>
            <w:r>
              <w:rPr>
                <w:rFonts w:ascii="Arial" w:cs="Arial" w:eastAsia="Arial" w:hAnsi="Arial"/>
                <w:sz w:val="18"/>
                <w:szCs w:val="18"/>
                <w:color w:val="auto"/>
              </w:rPr>
              <w:t>Vice President, Finance and 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20" w:type="dxa"/>
            <w:vAlign w:val="bottom"/>
          </w:tcPr>
          <w:p>
            <w:pPr>
              <w:ind w:left="3620"/>
              <w:spacing w:after="0"/>
              <w:rPr>
                <w:sz w:val="20"/>
                <w:szCs w:val="20"/>
                <w:color w:val="auto"/>
              </w:rPr>
            </w:pPr>
            <w:r>
              <w:rPr>
                <w:rFonts w:ascii="Arial" w:cs="Arial" w:eastAsia="Arial" w:hAnsi="Arial"/>
                <w:sz w:val="18"/>
                <w:szCs w:val="18"/>
                <w:color w:val="auto"/>
              </w:rPr>
              <w:t>4</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38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80" w:type="dxa"/>
            <w:vAlign w:val="bottom"/>
            <w:gridSpan w:val="2"/>
          </w:tcPr>
          <w:p>
            <w:pPr>
              <w:ind w:left="298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4120" w:type="dxa"/>
            <w:vAlign w:val="bottom"/>
          </w:tcPr>
          <w:p>
            <w:pPr>
              <w:spacing w:after="0"/>
              <w:rPr>
                <w:sz w:val="24"/>
                <w:szCs w:val="24"/>
                <w:color w:val="auto"/>
              </w:rPr>
            </w:pPr>
          </w:p>
        </w:tc>
        <w:tc>
          <w:tcPr>
            <w:tcW w:w="5260" w:type="dxa"/>
            <w:vAlign w:val="bottom"/>
          </w:tcPr>
          <w:p>
            <w:pPr>
              <w:ind w:left="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9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February 17, 2011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20" w:type="dxa"/>
            <w:vAlign w:val="bottom"/>
          </w:tcPr>
          <w:p>
            <w:pPr>
              <w:ind w:left="3620"/>
              <w:spacing w:after="0"/>
              <w:rPr>
                <w:sz w:val="20"/>
                <w:szCs w:val="20"/>
                <w:color w:val="auto"/>
              </w:rPr>
            </w:pPr>
            <w:r>
              <w:rPr>
                <w:rFonts w:ascii="Arial" w:cs="Arial" w:eastAsia="Arial" w:hAnsi="Arial"/>
                <w:sz w:val="18"/>
                <w:szCs w:val="18"/>
                <w:color w:val="auto"/>
              </w:rPr>
              <w:t>5</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12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29335" cy="677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93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Kurt Svendsen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and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887-8630, invest@toro.com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pr@toro.com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2011 First Quarter Results</w:t>
      </w:r>
    </w:p>
    <w:p>
      <w:pPr>
        <w:spacing w:after="0" w:line="229"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sales increased nearly 16 percent fueled by strong growth in all professional businesses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per share up 66 percent to $0.53</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level of new products drives early season demand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raises full-year guidance</w:t>
      </w:r>
    </w:p>
    <w:p>
      <w:pPr>
        <w:spacing w:after="0" w:line="21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BLOOMINGTON, Minn. (February 17, 2011) — The Toro Company (NYSE: TTC) today reported net earnings of $17.3 million, or $0.53 per share, on net sales of $383.2 million for its fiscal first quarter ended January 28, 2011. In the comparable fiscal 2010 period, the company delivered net earnings of $10.9 million, or $0.32 per share, on net sales of $331.4 million.</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“Fiscal 2011 is off to a good start,” said Michael J. Hoffman, Toro’s chairman and chief executive officer. “We are pleased with the ongoing recovery of our professional businesses driven by excitement around our new innovations and improving market conditions. Significant snowfalls drove strong retail demand for snow products, which helped the quarter, and also provided revenue for landscape contractor customers which will support purchases of mowing equipment as we head into spring.”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left="340" w:right="60" w:hanging="332"/>
        <w:spacing w:after="0" w:line="257"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net sales for the fiscal 2011 first quarter totaled $258.3 million, up 21.4 percent from the same period last year. Shipments were up across all professional businesses on improved customer optimism and strong acceptance for new products. Golf development and existing renovation projects around the world accelerated demand for golf equipment and precision irrigation systems. Early orders for landscape maintenance equipment to channel partners grew in anticipation of a strong selling season. Worldwide sales for micro irrigation products continued to strengthen on increased penetration of these water-saving technologies.</w:t>
      </w:r>
    </w:p>
    <w:p>
      <w:pPr>
        <w:spacing w:after="0" w:line="188" w:lineRule="exact"/>
        <w:rPr>
          <w:rFonts w:ascii="Arial" w:cs="Arial" w:eastAsia="Arial" w:hAnsi="Arial"/>
          <w:sz w:val="18"/>
          <w:szCs w:val="18"/>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earnings for the fiscal 2011 first quarter were $37.9 million, up 46.9 percent from last year’s first quarter.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left="340" w:right="40" w:hanging="332"/>
        <w:spacing w:after="0" w:line="257"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segment net sales for the fiscal 2011 first quarter totaled $123.3 million, up 5.6 percent from the same period last year. Growing consumer confidence had a positive impact on revenues. Shipments for riding products were up on the successful introduction of a new line of innovative zero turn mowers, while strong snowfall and expanded placement drove demand for snow products. These improvements were somewhat offset by difficult weather conditions in Australia that impacted sales of Pope-branded products, along with lower initial orders of walk power mowers in an effort by retailers to time shipments closer to retail demand.</w:t>
      </w:r>
    </w:p>
    <w:p>
      <w:pPr>
        <w:spacing w:after="0" w:line="188" w:lineRule="exact"/>
        <w:rPr>
          <w:rFonts w:ascii="Arial" w:cs="Arial" w:eastAsia="Arial" w:hAnsi="Arial"/>
          <w:sz w:val="18"/>
          <w:szCs w:val="18"/>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Residential segment earnings for the fiscal 2011 first quarter were $11.4 million, down 15.3 percent from last year’s first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REVIEW OF OPERATIONS</w:t>
      </w:r>
    </w:p>
    <w:p>
      <w:pPr>
        <w:spacing w:after="0" w:line="22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Gross margin for the fiscal 2011 first quarter improved 60 basis points to 35.7 percent from the prior year period. The increase in gross margin was primarily driven by favorable product mix and higher production volumes, which were somewhat offset by raw material inflation.</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Selling, general and administrative (SG&amp;A) expense for the fiscal 2011 first quarter was up $12.8 million, or 13.3 percent from the same period last year, but declined as a percent of sales to 28.6 percent from 29.2 percent. The decline in SG&amp;A as a percent of sales reflects further leveraging of costs over increased sales volumes, which was somewhat muted by higher warranty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for the fiscal 2011 first quarter was $4.1 million, down 3 percent compared with the same period last year.</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effective tax rate for the fiscal 2011 first quarter was 29.3 percent compared with 33.6 percent in last year’s first quarter. The lower tax rate was primarily due to the retroactive extension of the Federal Research and Engineering Tax Credit.</w:t>
      </w:r>
    </w:p>
    <w:p>
      <w:pPr>
        <w:sectPr>
          <w:pgSz w:w="11900" w:h="16848" w:orient="portrait"/>
          <w:cols w:equalWidth="0" w:num="1">
            <w:col w:w="11420"/>
          </w:cols>
          <w:pgMar w:left="240" w:top="121" w:right="239" w:bottom="0" w:gutter="0" w:footer="0" w:header="0"/>
        </w:sectPr>
      </w:pPr>
    </w:p>
    <w:bookmarkStart w:id="3" w:name="page4"/>
    <w:bookmarkEnd w:id="3"/>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Accounts receivable at the end of the fiscal 2011 first quarter totaled $171.2 million, up slightly from the same period last year, on a sales increase of nearly 16 percent. Net inventories for the first quarter were $239.7 million, up 25.5 percent from the prior year period. Trade payables were $149.7 million, up 36.6 percent compared with last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“Customer confidence in our markets is continuing to build,” said Hoffman. “Professional customers are beginning to reinvest in their businesses, and we are well positioned with a record level of new products to drive retail demand and increase our market share. While always mindful of the impact of Mother Nature on our business, we are optimistic about the selling season ahead.”</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now expects fiscal 2011 net earnings to be about $3.40 per share on a revenue increase of about 7 percent. For its fiscal 2011 second quarter, the company expects to report net earnings of about $1.58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Toro Company is a leading worldwide provider of turf and landscape maintenance equipment, and precision irrigation systems, to help customers care for golf courses, sports fields, public green spaces, commercial and residential properties, and agricultural fields.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17, 10:00 a.m. CST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www.thetorocompany.com/invest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The Toro Company will conduct a conference call and webcast for investors beginning at 10:00 a.m. Central Standard Time (CST) on February 17, 2011.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or negative growth rates in global and domestic economies, resulting in rising unemployment and weakened consumer confidence; the threat of further terrorist acts and war, which may result in contraction of the U.S. and worldwide economies; drug cartel-related violence, which may disrupt our production activ ities and maquiladora operations based in Juarez, Mexico; fluctuations in the cost and availability of raw materials, including steel, resins and other commodities; fluctuating fuel and other costs of transportation; the impact of abnormal weather patterns, natural disasters and global pandemics; the level of growth or contraction in our key markets; government and municipal revenue, budget and spending levels, which may negatively impact our grounds maintenance equipment business in the event of reduced tax revenues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revenue growth, operating earnings and employee engagement goals of our new, multi-year, employee initiative called “Destination 2014”; our increased depend ence on international sales and the risks attendant to international operations, including our ability to successfully develop a new micro-irrigation manufacturing facility in Romania; credit availability and terms,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or joint ventures, including Red Iron Acceptance, LLC; the costs and effects of changes in tax, fiscal, government and other regulatory policies, including rules relating to environmental, health and safety matters; unforeseen product quality or other problems in the development, production and usage of new and existing products; loss of or changes in executive management or key employees; ability of management to manage around unplanned events; our reliance on our intellectu al property rights and the absence of infringement of the intellectual property rights of others; the occurrence of litigation or claims, including the previously disclosed pending settlement of the litigation against the company and other defendants that challenges the horsepower ratings of lawnmowers, which, if the settlement does not become final, the company is currently unable to assess whether the litigation would have a material adverse effect on the company’s annual consolidated operating results or financial condition, although an adverse result might be material to operating results in a particular reporting period. In addition to the factors set forth in this paragraph, market, economic, financial, competitive, legislative, governmental, weather, production and other factors identified in Toro’s quarterly and annual reports filed with the Securities and Exchange Commission, could affect the forward-looking statements in this press release. Toro undertakes no obligation to upd ate forward-looking statements made in this release to reflect events or circumstances after the date of this release.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tables follow)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4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78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2"/>
          </w:tcPr>
          <w:p>
            <w:pPr>
              <w:ind w:left="160"/>
              <w:spacing w:after="0" w:line="119" w:lineRule="exact"/>
              <w:rPr>
                <w:sz w:val="20"/>
                <w:szCs w:val="20"/>
                <w:color w:val="auto"/>
              </w:rPr>
            </w:pPr>
            <w:r>
              <w:rPr>
                <w:rFonts w:ascii="Arial" w:cs="Arial" w:eastAsia="Arial" w:hAnsi="Arial"/>
                <w:sz w:val="13"/>
                <w:szCs w:val="13"/>
                <w:b w:val="1"/>
                <w:bCs w:val="1"/>
                <w:color w:val="auto"/>
              </w:rPr>
              <w:t>January 28,</w:t>
            </w:r>
          </w:p>
        </w:tc>
        <w:tc>
          <w:tcPr>
            <w:tcW w:w="2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340"/>
              <w:spacing w:after="0" w:line="119" w:lineRule="exact"/>
              <w:rPr>
                <w:sz w:val="20"/>
                <w:szCs w:val="20"/>
                <w:color w:val="auto"/>
              </w:rPr>
            </w:pPr>
            <w:r>
              <w:rPr>
                <w:rFonts w:ascii="Arial" w:cs="Arial" w:eastAsia="Arial" w:hAnsi="Arial"/>
                <w:sz w:val="13"/>
                <w:szCs w:val="13"/>
                <w:b w:val="1"/>
                <w:bCs w:val="1"/>
                <w:color w:val="auto"/>
              </w:rPr>
              <w:t>January 29,</w:t>
            </w:r>
          </w:p>
        </w:tc>
        <w:tc>
          <w:tcPr>
            <w:tcW w:w="160" w:type="dxa"/>
            <w:vAlign w:val="bottom"/>
          </w:tcPr>
          <w:p>
            <w:pPr>
              <w:spacing w:after="0"/>
              <w:rPr>
                <w:sz w:val="10"/>
                <w:szCs w:val="10"/>
                <w:color w:val="auto"/>
              </w:rPr>
            </w:pPr>
          </w:p>
        </w:tc>
      </w:tr>
      <w:tr>
        <w:trPr>
          <w:trHeight w:val="171"/>
        </w:trPr>
        <w:tc>
          <w:tcPr>
            <w:tcW w:w="78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4"/>
                <w:szCs w:val="14"/>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383,213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331,358</w:t>
            </w:r>
          </w:p>
        </w:tc>
        <w:tc>
          <w:tcPr>
            <w:tcW w:w="16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136,645</w:t>
            </w:r>
          </w:p>
        </w:tc>
        <w:tc>
          <w:tcPr>
            <w:tcW w:w="2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116,391</w:t>
            </w:r>
          </w:p>
        </w:tc>
      </w:tr>
      <w:tr>
        <w:trPr>
          <w:trHeight w:val="178"/>
        </w:trPr>
        <w:tc>
          <w:tcPr>
            <w:tcW w:w="7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bl>
    <w:p>
      <w:pPr>
        <w:sectPr>
          <w:pgSz w:w="11900" w:h="16900" w:orient="portrait"/>
          <w:cols w:equalWidth="0" w:num="1">
            <w:col w:w="11420"/>
          </w:cols>
          <w:pgMar w:left="240" w:top="34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Gross profit percent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109,444</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96,599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Operating earnings</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27,201</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19,792</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(4,116)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8"/>
                <w:szCs w:val="18"/>
                <w:color w:val="auto"/>
              </w:rPr>
              <w:t>(4,245)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Earnings before income taxes</w:t>
            </w: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24,453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17,282</w:t>
            </w: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gridSpan w:val="3"/>
          </w:tcPr>
          <w:p>
            <w:pPr>
              <w:jc w:val="right"/>
              <w:ind w:right="170"/>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10,918</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Basic net earnings per share</w:t>
            </w:r>
          </w:p>
        </w:tc>
        <w:tc>
          <w:tcPr>
            <w:tcW w:w="5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0.54</w:t>
            </w:r>
          </w:p>
        </w:tc>
        <w:tc>
          <w:tcPr>
            <w:tcW w:w="240" w:type="dxa"/>
            <w:vAlign w:val="bottom"/>
          </w:tcPr>
          <w:p>
            <w:pPr>
              <w:spacing w:after="0"/>
              <w:rPr>
                <w:sz w:val="22"/>
                <w:szCs w:val="22"/>
                <w:color w:val="auto"/>
              </w:rPr>
            </w:pPr>
          </w:p>
        </w:tc>
        <w:tc>
          <w:tcPr>
            <w:tcW w:w="300" w:type="dxa"/>
            <w:vAlign w:val="bottom"/>
            <w:gridSpan w:val="3"/>
          </w:tcPr>
          <w:p>
            <w:pPr>
              <w:jc w:val="right"/>
              <w:ind w:right="17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Diluted net earnings per share</w:t>
            </w:r>
          </w:p>
        </w:tc>
        <w:tc>
          <w:tcPr>
            <w:tcW w:w="5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0.53</w:t>
            </w:r>
          </w:p>
        </w:tc>
        <w:tc>
          <w:tcPr>
            <w:tcW w:w="240" w:type="dxa"/>
            <w:vAlign w:val="bottom"/>
          </w:tcPr>
          <w:p>
            <w:pPr>
              <w:spacing w:after="0"/>
              <w:rPr>
                <w:sz w:val="22"/>
                <w:szCs w:val="22"/>
                <w:color w:val="auto"/>
              </w:rPr>
            </w:pPr>
          </w:p>
        </w:tc>
        <w:tc>
          <w:tcPr>
            <w:tcW w:w="300" w:type="dxa"/>
            <w:vAlign w:val="bottom"/>
            <w:gridSpan w:val="3"/>
          </w:tcPr>
          <w:p>
            <w:pPr>
              <w:jc w:val="right"/>
              <w:ind w:right="17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Weighted average number of shares of common stock outstanding — Basic</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31,858</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34,030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Weighted average number of shares of common stock outstanding — Diluted</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32,443</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34,294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7520" w:type="dxa"/>
            <w:vAlign w:val="bottom"/>
          </w:tcPr>
          <w:p>
            <w:pPr>
              <w:ind w:left="4660"/>
              <w:spacing w:after="0"/>
              <w:rPr>
                <w:sz w:val="20"/>
                <w:szCs w:val="20"/>
                <w:color w:val="auto"/>
              </w:rPr>
            </w:pPr>
            <w:r>
              <w:rPr>
                <w:rFonts w:ascii="Arial" w:cs="Arial" w:eastAsia="Arial" w:hAnsi="Arial"/>
                <w:sz w:val="18"/>
                <w:szCs w:val="18"/>
                <w:b w:val="1"/>
                <w:bCs w:val="1"/>
                <w:color w:val="auto"/>
              </w:rPr>
              <w:t>Segment Data (Unaudited)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tcPr>
          <w:p>
            <w:pPr>
              <w:ind w:left="4840"/>
              <w:spacing w:after="0"/>
              <w:rPr>
                <w:sz w:val="20"/>
                <w:szCs w:val="20"/>
                <w:color w:val="auto"/>
              </w:rPr>
            </w:pPr>
            <w:r>
              <w:rPr>
                <w:rFonts w:ascii="Arial" w:cs="Arial" w:eastAsia="Arial" w:hAnsi="Arial"/>
                <w:sz w:val="18"/>
                <w:szCs w:val="18"/>
                <w:b w:val="1"/>
                <w:bCs w:val="1"/>
                <w:color w:val="auto"/>
              </w:rPr>
              <w:t>(Dollars in thousands)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gridSpan w:val="10"/>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 Net Sales</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rPr>
              <w:t>January 28,</w:t>
            </w: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January 29,</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2011</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2010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258,280</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212,800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8"/>
                <w:szCs w:val="18"/>
                <w:color w:val="auto"/>
              </w:rPr>
              <w:t>123,293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116,756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1,640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1,802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383,213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331,358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Pr>
          <w:p>
            <w:pPr>
              <w:spacing w:after="0"/>
              <w:rPr>
                <w:sz w:val="17"/>
                <w:szCs w:val="17"/>
                <w:color w:val="auto"/>
              </w:rPr>
            </w:pPr>
          </w:p>
        </w:tc>
        <w:tc>
          <w:tcPr>
            <w:tcW w:w="560" w:type="dxa"/>
            <w:vAlign w:val="bottom"/>
            <w:gridSpan w:val="3"/>
          </w:tcPr>
          <w:p>
            <w:pPr>
              <w:spacing w:after="0"/>
              <w:rPr>
                <w:sz w:val="17"/>
                <w:szCs w:val="17"/>
                <w:color w:val="auto"/>
              </w:rPr>
            </w:pPr>
          </w:p>
        </w:tc>
        <w:tc>
          <w:tcPr>
            <w:tcW w:w="1580" w:type="dxa"/>
            <w:vAlign w:val="bottom"/>
            <w:gridSpan w:val="3"/>
          </w:tcPr>
          <w:p>
            <w:pPr>
              <w:spacing w:after="0"/>
              <w:rPr>
                <w:sz w:val="17"/>
                <w:szCs w:val="17"/>
                <w:color w:val="auto"/>
              </w:rPr>
            </w:pPr>
          </w:p>
        </w:tc>
        <w:tc>
          <w:tcPr>
            <w:tcW w:w="300" w:type="dxa"/>
            <w:vAlign w:val="bottom"/>
            <w:gridSpan w:val="3"/>
          </w:tcPr>
          <w:p>
            <w:pPr>
              <w:spacing w:after="0"/>
              <w:rPr>
                <w:sz w:val="17"/>
                <w:szCs w:val="17"/>
                <w:color w:val="auto"/>
              </w:rPr>
            </w:pPr>
          </w:p>
        </w:tc>
        <w:tc>
          <w:tcPr>
            <w:tcW w:w="13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138,751</w:t>
            </w:r>
          </w:p>
        </w:tc>
        <w:tc>
          <w:tcPr>
            <w:tcW w:w="3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128,383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gridSpan w:val="10"/>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 Earnings (Loss) Before Income Taxes</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rPr>
              <w:t>January 28,</w:t>
            </w: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January 29,</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5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2011</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2010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37,919</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25,810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8"/>
                <w:szCs w:val="18"/>
                <w:color w:val="auto"/>
              </w:rPr>
              <w:t>11,368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13,427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(24,834)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(22,789)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24,453</w:t>
            </w:r>
          </w:p>
        </w:tc>
        <w:tc>
          <w:tcPr>
            <w:tcW w:w="24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16,448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75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3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28,</w:t>
            </w: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5340" w:type="dxa"/>
            <w:vAlign w:val="bottom"/>
            <w:tcBorders>
              <w:bottom w:val="single" w:sz="8" w:color="CCEEFF"/>
            </w:tcBorders>
            <w:gridSpan w:val="2"/>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94,418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158,210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171,155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239,734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191,071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14,365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59,019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578,691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593,298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172,648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1,919</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and other assets, net</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143,453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Total assets</w:t>
            </w:r>
          </w:p>
        </w:tc>
        <w:tc>
          <w:tcPr>
            <w:tcW w:w="2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896,711</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884,634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80" w:type="dxa"/>
            <w:vAlign w:val="bottom"/>
            <w:gridSpan w:val="3"/>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149,702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235,076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205,651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387,449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319,892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225,101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Deferred revenue</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10,734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7,330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266,097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325,250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896,711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884,634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304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194"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January 28,</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31"/>
              <w:spacing w:after="0" w:line="119" w:lineRule="exact"/>
              <w:rPr>
                <w:sz w:val="20"/>
                <w:szCs w:val="20"/>
                <w:color w:val="auto"/>
              </w:rPr>
            </w:pPr>
            <w:r>
              <w:rPr>
                <w:rFonts w:ascii="Arial" w:cs="Arial" w:eastAsia="Arial" w:hAnsi="Arial"/>
                <w:sz w:val="13"/>
                <w:szCs w:val="13"/>
                <w:b w:val="1"/>
                <w:bCs w:val="1"/>
                <w:color w:val="auto"/>
              </w:rPr>
              <w:t>January 29,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17,282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used for operating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Equity (income) losses from affiliates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amortization, and impairment losses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11,291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(Gain) loss on disposal of property, plant, and equipment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Increase in deferred income taxes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(1,071)</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(28,260)</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(28,629)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(45,195)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(3,546)</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16,860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for operating activities</w:t>
            </w:r>
          </w:p>
        </w:tc>
        <w:tc>
          <w:tcPr>
            <w:tcW w:w="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(31,443)</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investment in affiliates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Decrease in other assets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(12,060)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for investing activities</w:t>
            </w:r>
          </w:p>
        </w:tc>
        <w:tc>
          <w:tcPr>
            <w:tcW w:w="8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(19,559)</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(14,515)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short-term debt</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Repayments of long-term debt, net of costs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(970)</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1,509</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5,118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Toro common stock</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(29,836)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Dividends paid on Toro common stock</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(6,389)</w:t>
            </w:r>
          </w:p>
        </w:tc>
        <w:tc>
          <w:tcPr>
            <w:tcW w:w="2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for financing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(82,948)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177,366</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187,773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94,418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158,210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1490"/>
              <w:spacing w:after="0"/>
              <w:rPr>
                <w:sz w:val="20"/>
                <w:szCs w:val="20"/>
                <w:color w:val="auto"/>
              </w:rPr>
            </w:pPr>
            <w:r>
              <w:rPr>
                <w:rFonts w:ascii="Arial" w:cs="Arial" w:eastAsia="Arial" w:hAnsi="Arial"/>
                <w:sz w:val="18"/>
                <w:szCs w:val="18"/>
                <w:color w:val="auto"/>
              </w:rPr>
              <w:t>###</w:t>
            </w: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740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2019-12-10T06:34:13Z</dcterms:created>
  <dcterms:modified xsi:type="dcterms:W3CDTF">2019-12-10T06:34:13Z</dcterms:modified>
</cp:coreProperties>
</file>