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(Rule 14a-101)</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6"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18" w:lineRule="exact"/>
        <w:rPr>
          <w:sz w:val="24"/>
          <w:szCs w:val="24"/>
          <w:color w:val="auto"/>
        </w:rPr>
      </w:pPr>
    </w:p>
    <w:p>
      <w:pPr>
        <w:ind w:left="2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right="2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-4137660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-3623310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-2473960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-1959610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-158750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372110</wp:posOffset>
            </wp:positionH>
            <wp:positionV relativeFrom="page">
              <wp:posOffset>217805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515620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549910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60830" cy="1029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83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519"/>
        <w:spacing w:after="0" w:line="279" w:lineRule="auto"/>
        <w:rPr>
          <w:sz w:val="20"/>
          <w:szCs w:val="20"/>
          <w:color w:val="auto"/>
        </w:rPr>
      </w:pPr>
      <w:r>
        <w:rPr>
          <w:rFonts w:ascii="Arial" w:cs="Arial" w:eastAsia="Arial" w:hAnsi="Arial"/>
          <w:sz w:val="50"/>
          <w:szCs w:val="50"/>
          <w:color w:val="auto"/>
        </w:rPr>
        <w:t>NOTICE OF 2018 ANNUAL MEETING AND</w:t>
      </w:r>
    </w:p>
    <w:p>
      <w:pPr>
        <w:spacing w:after="0" w:line="75" w:lineRule="exact"/>
        <w:rPr>
          <w:sz w:val="20"/>
          <w:szCs w:val="20"/>
          <w:color w:val="auto"/>
        </w:rPr>
      </w:pPr>
    </w:p>
    <w:p>
      <w:pPr>
        <w:spacing w:after="0"/>
        <w:rPr>
          <w:sz w:val="20"/>
          <w:szCs w:val="20"/>
          <w:color w:val="auto"/>
        </w:rPr>
      </w:pPr>
      <w:r>
        <w:rPr>
          <w:rFonts w:ascii="Arial" w:cs="Arial" w:eastAsia="Arial" w:hAnsi="Arial"/>
          <w:sz w:val="70"/>
          <w:szCs w:val="70"/>
          <w:color w:val="auto"/>
        </w:rPr>
        <w:t>PROXY STATEMENT</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color w:val="auto"/>
        </w:rPr>
        <w:t>FOR MARCH 20, 2018</w:t>
      </w:r>
    </w:p>
    <w:p>
      <w:pPr>
        <w:sectPr>
          <w:pgSz w:w="11900" w:h="16838" w:orient="portrait"/>
          <w:cols w:equalWidth="0" w:num="1">
            <w:col w:w="10219"/>
          </w:cols>
          <w:pgMar w:left="240" w:top="45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980" w:type="dxa"/>
            <w:vAlign w:val="bottom"/>
            <w:gridSpan w:val="4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r>
      <w:tr>
        <w:trPr>
          <w:trHeight w:val="473"/>
        </w:trPr>
        <w:tc>
          <w:tcPr>
            <w:tcW w:w="25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LETTER TO SHAREHOLDERS</w:t>
              </w:r>
            </w:hyperlink>
          </w:p>
        </w:tc>
        <w:tc>
          <w:tcPr>
            <w:tcW w:w="8440" w:type="dxa"/>
            <w:vAlign w:val="bottom"/>
            <w:gridSpan w:val="2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iii</w:t>
            </w:r>
          </w:p>
        </w:tc>
      </w:tr>
      <w:tr>
        <w:trPr>
          <w:trHeight w:val="250"/>
        </w:trPr>
        <w:tc>
          <w:tcPr>
            <w:tcW w:w="448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NOTICE OF ANNUAL MEETING OF SHAREHOLDERS</w:t>
              </w:r>
            </w:hyperlink>
          </w:p>
        </w:tc>
        <w:tc>
          <w:tcPr>
            <w:tcW w:w="6500" w:type="dxa"/>
            <w:vAlign w:val="bottom"/>
            <w:gridSpan w:val="14"/>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v</w:t>
            </w:r>
          </w:p>
        </w:tc>
      </w:tr>
      <w:tr>
        <w:trPr>
          <w:trHeight w:val="250"/>
        </w:trPr>
        <w:tc>
          <w:tcPr>
            <w:tcW w:w="17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PROXY STATEMENT</w:t>
              </w:r>
            </w:hyperlink>
          </w:p>
        </w:tc>
        <w:tc>
          <w:tcPr>
            <w:tcW w:w="9220" w:type="dxa"/>
            <w:vAlign w:val="bottom"/>
            <w:gridSpan w:val="37"/>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652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GENERAL INFORMATION ABOUT THE 2018 ANNUAL MEETING AND VOTING</w:t>
              </w:r>
            </w:hyperlink>
          </w:p>
        </w:tc>
        <w:tc>
          <w:tcPr>
            <w:tcW w:w="4460" w:type="dxa"/>
            <w:vAlign w:val="bottom"/>
            <w:gridSpan w:val="7"/>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360" w:type="dxa"/>
            <w:vAlign w:val="bottom"/>
          </w:tcPr>
          <w:p>
            <w:pPr>
              <w:spacing w:after="0"/>
              <w:rPr>
                <w:sz w:val="21"/>
                <w:szCs w:val="21"/>
                <w:color w:val="auto"/>
              </w:rPr>
            </w:pPr>
          </w:p>
        </w:tc>
        <w:tc>
          <w:tcPr>
            <w:tcW w:w="10440" w:type="dxa"/>
            <w:vAlign w:val="bottom"/>
            <w:tcBorders>
              <w:bottom w:val="single" w:sz="8" w:color="0000EE"/>
            </w:tcBorders>
            <w:gridSpan w:val="38"/>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Important Notice Regarding the Availability of Proxy Materials for the Shareholder Meeting To Be Held on Tuesday, March 20, 2018</w:t>
              </w:r>
            </w:hyperlink>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When and Where Will the Annual Meeting Be Held?</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360" w:type="dxa"/>
            <w:vAlign w:val="bottom"/>
          </w:tcPr>
          <w:p>
            <w:pPr>
              <w:spacing w:after="0"/>
              <w:rPr>
                <w:sz w:val="21"/>
                <w:szCs w:val="21"/>
                <w:color w:val="auto"/>
              </w:rPr>
            </w:pPr>
          </w:p>
        </w:tc>
        <w:tc>
          <w:tcPr>
            <w:tcW w:w="37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What Are the Purposes of the Annual Meeting?</w:t>
              </w:r>
            </w:hyperlink>
          </w:p>
        </w:tc>
        <w:tc>
          <w:tcPr>
            <w:tcW w:w="360" w:type="dxa"/>
            <w:vAlign w:val="bottom"/>
            <w:tcBorders>
              <w:top w:val="single" w:sz="8" w:color="0000EE"/>
            </w:tcBorders>
            <w:gridSpan w:val="2"/>
          </w:tcPr>
          <w:p>
            <w:pPr>
              <w:spacing w:after="0"/>
              <w:rPr>
                <w:sz w:val="21"/>
                <w:szCs w:val="21"/>
                <w:color w:val="auto"/>
              </w:rPr>
            </w:pPr>
          </w:p>
        </w:tc>
        <w:tc>
          <w:tcPr>
            <w:tcW w:w="6480" w:type="dxa"/>
            <w:vAlign w:val="bottom"/>
            <w:gridSpan w:val="13"/>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360" w:type="dxa"/>
            <w:vAlign w:val="bottom"/>
          </w:tcPr>
          <w:p>
            <w:pPr>
              <w:spacing w:after="0"/>
              <w:rPr>
                <w:sz w:val="21"/>
                <w:szCs w:val="21"/>
                <w:color w:val="auto"/>
              </w:rPr>
            </w:pPr>
          </w:p>
        </w:tc>
        <w:tc>
          <w:tcPr>
            <w:tcW w:w="8680" w:type="dxa"/>
            <w:vAlign w:val="bottom"/>
            <w:tcBorders>
              <w:bottom w:val="single" w:sz="8" w:color="0000EE"/>
            </w:tcBorders>
            <w:gridSpan w:val="37"/>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Are There Any Matters To Be Voted On at the Annual Meeting that Are Not Included in this Proxy Statement?</w:t>
              </w:r>
            </w:hyperlink>
          </w:p>
        </w:tc>
        <w:tc>
          <w:tcPr>
            <w:tcW w:w="1940" w:type="dxa"/>
            <w:vAlign w:val="bottom"/>
            <w:gridSpan w:val="2"/>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Who Is Entitled to Vote and How Many Shares Must Be Present to Hold the Annual Meeting?</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2</w:t>
            </w:r>
          </w:p>
        </w:tc>
      </w:tr>
      <w:tr>
        <w:trPr>
          <w:trHeight w:val="250"/>
        </w:trPr>
        <w:tc>
          <w:tcPr>
            <w:tcW w:w="360" w:type="dxa"/>
            <w:vAlign w:val="bottom"/>
          </w:tcPr>
          <w:p>
            <w:pPr>
              <w:spacing w:after="0"/>
              <w:rPr>
                <w:sz w:val="21"/>
                <w:szCs w:val="21"/>
                <w:color w:val="auto"/>
              </w:rPr>
            </w:pPr>
          </w:p>
        </w:tc>
        <w:tc>
          <w:tcPr>
            <w:tcW w:w="7400" w:type="dxa"/>
            <w:vAlign w:val="bottom"/>
            <w:tcBorders>
              <w:top w:val="single" w:sz="8" w:color="0000EE"/>
            </w:tcBorders>
            <w:gridSpan w:val="3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How Do I Vote My Shares?</w:t>
              </w:r>
            </w:hyperlink>
          </w:p>
        </w:tc>
        <w:tc>
          <w:tcPr>
            <w:tcW w:w="3220" w:type="dxa"/>
            <w:vAlign w:val="bottom"/>
            <w:gridSpan w:val="4"/>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7380" w:type="dxa"/>
            <w:vAlign w:val="bottom"/>
            <w:tcBorders>
              <w:bottom w:val="single" w:sz="8" w:color="0000EE"/>
            </w:tcBorders>
            <w:gridSpan w:val="34"/>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How Does the Board Recommend that I Vote and What Vote is Required for Each Proposal?</w:t>
              </w:r>
            </w:hyperlink>
          </w:p>
        </w:tc>
        <w:tc>
          <w:tcPr>
            <w:tcW w:w="3240" w:type="dxa"/>
            <w:vAlign w:val="bottom"/>
            <w:gridSpan w:val="5"/>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w:t>
            </w:r>
          </w:p>
        </w:tc>
      </w:tr>
      <w:tr>
        <w:trPr>
          <w:trHeight w:val="250"/>
        </w:trPr>
        <w:tc>
          <w:tcPr>
            <w:tcW w:w="360" w:type="dxa"/>
            <w:vAlign w:val="bottom"/>
          </w:tcPr>
          <w:p>
            <w:pPr>
              <w:spacing w:after="0"/>
              <w:rPr>
                <w:sz w:val="21"/>
                <w:szCs w:val="21"/>
                <w:color w:val="auto"/>
              </w:rPr>
            </w:pPr>
          </w:p>
        </w:tc>
        <w:tc>
          <w:tcPr>
            <w:tcW w:w="25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How Will My Shares Be Voted?</w:t>
              </w:r>
            </w:hyperlink>
          </w:p>
        </w:tc>
        <w:tc>
          <w:tcPr>
            <w:tcW w:w="8120" w:type="dxa"/>
            <w:vAlign w:val="bottom"/>
            <w:gridSpan w:val="24"/>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3</w:t>
            </w:r>
          </w:p>
        </w:tc>
      </w:tr>
      <w:tr>
        <w:trPr>
          <w:trHeight w:val="250"/>
        </w:trPr>
        <w:tc>
          <w:tcPr>
            <w:tcW w:w="360" w:type="dxa"/>
            <w:vAlign w:val="bottom"/>
          </w:tcPr>
          <w:p>
            <w:pPr>
              <w:spacing w:after="0"/>
              <w:rPr>
                <w:sz w:val="21"/>
                <w:szCs w:val="21"/>
                <w:color w:val="auto"/>
              </w:rPr>
            </w:pPr>
          </w:p>
        </w:tc>
        <w:tc>
          <w:tcPr>
            <w:tcW w:w="650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What Does It Mean If I Receive More Than One Notice or Set of Proxy Materials?</w:t>
              </w:r>
            </w:hyperlink>
          </w:p>
        </w:tc>
        <w:tc>
          <w:tcPr>
            <w:tcW w:w="4120" w:type="dxa"/>
            <w:vAlign w:val="bottom"/>
            <w:gridSpan w:val="6"/>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3</w:t>
            </w:r>
          </w:p>
        </w:tc>
      </w:tr>
      <w:tr>
        <w:trPr>
          <w:trHeight w:val="250"/>
        </w:trPr>
        <w:tc>
          <w:tcPr>
            <w:tcW w:w="360" w:type="dxa"/>
            <w:vAlign w:val="bottom"/>
          </w:tcPr>
          <w:p>
            <w:pPr>
              <w:spacing w:after="0"/>
              <w:rPr>
                <w:sz w:val="21"/>
                <w:szCs w:val="21"/>
                <w:color w:val="auto"/>
              </w:rPr>
            </w:pPr>
          </w:p>
        </w:tc>
        <w:tc>
          <w:tcPr>
            <w:tcW w:w="320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How Can I Revoke or Change My Vote?</w:t>
              </w:r>
            </w:hyperlink>
          </w:p>
        </w:tc>
        <w:tc>
          <w:tcPr>
            <w:tcW w:w="7420" w:type="dxa"/>
            <w:vAlign w:val="bottom"/>
            <w:gridSpan w:val="18"/>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4</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Who Will Count the Votes?</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4</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How Will Business Be Conducted at the Annual Meeting?</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4</w:t>
            </w:r>
          </w:p>
        </w:tc>
      </w:tr>
      <w:tr>
        <w:trPr>
          <w:trHeight w:val="250"/>
        </w:trPr>
        <w:tc>
          <w:tcPr>
            <w:tcW w:w="360" w:type="dxa"/>
            <w:vAlign w:val="bottom"/>
          </w:tcPr>
          <w:p>
            <w:pPr>
              <w:spacing w:after="0"/>
              <w:rPr>
                <w:sz w:val="21"/>
                <w:szCs w:val="21"/>
                <w:color w:val="auto"/>
              </w:rPr>
            </w:pPr>
          </w:p>
        </w:tc>
        <w:tc>
          <w:tcPr>
            <w:tcW w:w="4580" w:type="dxa"/>
            <w:vAlign w:val="bottom"/>
            <w:tcBorders>
              <w:top w:val="single" w:sz="8" w:color="0000EE"/>
            </w:tcBorders>
            <w:gridSpan w:val="2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How Can I Attend the Annual Meeting?</w:t>
              </w:r>
            </w:hyperlink>
          </w:p>
        </w:tc>
        <w:tc>
          <w:tcPr>
            <w:tcW w:w="6040" w:type="dxa"/>
            <w:vAlign w:val="bottom"/>
            <w:gridSpan w:val="10"/>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4</w:t>
            </w:r>
          </w:p>
        </w:tc>
      </w:tr>
      <w:tr>
        <w:trPr>
          <w:trHeight w:val="20"/>
        </w:trPr>
        <w:tc>
          <w:tcPr>
            <w:tcW w:w="3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10980" w:type="dxa"/>
            <w:vAlign w:val="bottom"/>
            <w:gridSpan w:val="4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STOCK OWNERSHIP</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5</w:t>
            </w:r>
          </w:p>
        </w:tc>
      </w:tr>
      <w:tr>
        <w:trPr>
          <w:trHeight w:val="20"/>
        </w:trPr>
        <w:tc>
          <w:tcPr>
            <w:tcW w:w="3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34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Significant Beneficial Owners</w:t>
              </w:r>
            </w:hyperlink>
          </w:p>
        </w:tc>
        <w:tc>
          <w:tcPr>
            <w:tcW w:w="8280" w:type="dxa"/>
            <w:vAlign w:val="bottom"/>
            <w:gridSpan w:val="26"/>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5</w:t>
            </w:r>
          </w:p>
        </w:tc>
      </w:tr>
      <w:tr>
        <w:trPr>
          <w:trHeight w:val="250"/>
        </w:trPr>
        <w:tc>
          <w:tcPr>
            <w:tcW w:w="360" w:type="dxa"/>
            <w:vAlign w:val="bottom"/>
          </w:tcPr>
          <w:p>
            <w:pPr>
              <w:spacing w:after="0"/>
              <w:rPr>
                <w:sz w:val="21"/>
                <w:szCs w:val="21"/>
                <w:color w:val="auto"/>
              </w:rPr>
            </w:pPr>
          </w:p>
        </w:tc>
        <w:tc>
          <w:tcPr>
            <w:tcW w:w="25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Directors and Executive Officers</w:t>
              </w:r>
            </w:hyperlink>
          </w:p>
        </w:tc>
        <w:tc>
          <w:tcPr>
            <w:tcW w:w="8040" w:type="dxa"/>
            <w:vAlign w:val="bottom"/>
            <w:gridSpan w:val="23"/>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6</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Stock Ownership Guidelines</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8</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66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Section 16(a) Beneficial Ownership Reporting Compliance</w:t>
              </w:r>
            </w:hyperlink>
          </w:p>
        </w:tc>
        <w:tc>
          <w:tcPr>
            <w:tcW w:w="5960" w:type="dxa"/>
            <w:vAlign w:val="bottom"/>
            <w:gridSpan w:val="9"/>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8</w:t>
            </w:r>
          </w:p>
        </w:tc>
      </w:tr>
      <w:tr>
        <w:trPr>
          <w:trHeight w:val="250"/>
        </w:trPr>
        <w:tc>
          <w:tcPr>
            <w:tcW w:w="10980" w:type="dxa"/>
            <w:vAlign w:val="bottom"/>
            <w:gridSpan w:val="4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PROPOSAL ONE—ELECTION OF DIRECTORS</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9</w:t>
            </w:r>
          </w:p>
        </w:tc>
      </w:tr>
      <w:tr>
        <w:trPr>
          <w:trHeight w:val="250"/>
        </w:trPr>
        <w:tc>
          <w:tcPr>
            <w:tcW w:w="360" w:type="dxa"/>
            <w:vAlign w:val="bottom"/>
            <w:tcBorders>
              <w:top w:val="single" w:sz="8" w:color="0000EE"/>
            </w:tcBorders>
          </w:tcPr>
          <w:p>
            <w:pPr>
              <w:spacing w:after="0"/>
              <w:rPr>
                <w:sz w:val="21"/>
                <w:szCs w:val="21"/>
                <w:color w:val="auto"/>
              </w:rPr>
            </w:pPr>
          </w:p>
        </w:tc>
        <w:tc>
          <w:tcPr>
            <w:tcW w:w="2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Number of Directors; Board Structure</w:t>
              </w:r>
            </w:hyperlink>
          </w:p>
        </w:tc>
        <w:tc>
          <w:tcPr>
            <w:tcW w:w="580" w:type="dxa"/>
            <w:vAlign w:val="bottom"/>
            <w:tcBorders>
              <w:top w:val="single" w:sz="8" w:color="0000EE"/>
            </w:tcBorders>
            <w:gridSpan w:val="4"/>
          </w:tcPr>
          <w:p>
            <w:pPr>
              <w:spacing w:after="0"/>
              <w:rPr>
                <w:sz w:val="21"/>
                <w:szCs w:val="21"/>
                <w:color w:val="auto"/>
              </w:rPr>
            </w:pPr>
          </w:p>
        </w:tc>
        <w:tc>
          <w:tcPr>
            <w:tcW w:w="7060" w:type="dxa"/>
            <w:vAlign w:val="bottom"/>
            <w:gridSpan w:val="16"/>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9</w:t>
            </w:r>
          </w:p>
        </w:tc>
      </w:tr>
      <w:tr>
        <w:trPr>
          <w:trHeight w:val="250"/>
        </w:trPr>
        <w:tc>
          <w:tcPr>
            <w:tcW w:w="360" w:type="dxa"/>
            <w:vAlign w:val="bottom"/>
          </w:tcPr>
          <w:p>
            <w:pPr>
              <w:spacing w:after="0"/>
              <w:rPr>
                <w:sz w:val="21"/>
                <w:szCs w:val="21"/>
                <w:color w:val="auto"/>
              </w:rPr>
            </w:pPr>
          </w:p>
        </w:tc>
        <w:tc>
          <w:tcPr>
            <w:tcW w:w="17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Nominees for Director</w:t>
              </w:r>
            </w:hyperlink>
          </w:p>
        </w:tc>
        <w:tc>
          <w:tcPr>
            <w:tcW w:w="8860" w:type="dxa"/>
            <w:vAlign w:val="bottom"/>
            <w:gridSpan w:val="34"/>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9</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Recommendation</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9</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86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Information About Board Nominees and Continuing Directors</w:t>
              </w:r>
            </w:hyperlink>
          </w:p>
        </w:tc>
        <w:tc>
          <w:tcPr>
            <w:tcW w:w="5760" w:type="dxa"/>
            <w:vAlign w:val="bottom"/>
            <w:gridSpan w:val="8"/>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9</w:t>
            </w:r>
          </w:p>
        </w:tc>
      </w:tr>
      <w:tr>
        <w:trPr>
          <w:trHeight w:val="250"/>
        </w:trPr>
        <w:tc>
          <w:tcPr>
            <w:tcW w:w="10980" w:type="dxa"/>
            <w:vAlign w:val="bottom"/>
            <w:gridSpan w:val="4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16</w:t>
            </w:r>
          </w:p>
        </w:tc>
      </w:tr>
      <w:tr>
        <w:trPr>
          <w:trHeight w:val="20"/>
        </w:trPr>
        <w:tc>
          <w:tcPr>
            <w:tcW w:w="36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74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Corporate Governance Guidelines</w:t>
              </w:r>
            </w:hyperlink>
          </w:p>
        </w:tc>
        <w:tc>
          <w:tcPr>
            <w:tcW w:w="7880" w:type="dxa"/>
            <w:vAlign w:val="bottom"/>
            <w:gridSpan w:val="21"/>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16</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Board Leadership Structure</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16</w:t>
            </w:r>
          </w:p>
        </w:tc>
      </w:tr>
      <w:tr>
        <w:trPr>
          <w:trHeight w:val="250"/>
        </w:trPr>
        <w:tc>
          <w:tcPr>
            <w:tcW w:w="360" w:type="dxa"/>
            <w:vAlign w:val="bottom"/>
          </w:tcPr>
          <w:p>
            <w:pPr>
              <w:spacing w:after="0"/>
              <w:rPr>
                <w:sz w:val="21"/>
                <w:szCs w:val="21"/>
                <w:color w:val="auto"/>
              </w:rPr>
            </w:pP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Director Independence</w:t>
              </w:r>
            </w:hyperlink>
          </w:p>
        </w:tc>
        <w:tc>
          <w:tcPr>
            <w:tcW w:w="8360" w:type="dxa"/>
            <w:vAlign w:val="bottom"/>
            <w:gridSpan w:val="28"/>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17</w:t>
            </w:r>
          </w:p>
        </w:tc>
      </w:tr>
      <w:tr>
        <w:trPr>
          <w:trHeight w:val="20"/>
        </w:trPr>
        <w:tc>
          <w:tcPr>
            <w:tcW w:w="36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26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Director Attendance; Executive Sessions</w:t>
              </w:r>
            </w:hyperlink>
          </w:p>
        </w:tc>
        <w:tc>
          <w:tcPr>
            <w:tcW w:w="7360" w:type="dxa"/>
            <w:vAlign w:val="bottom"/>
            <w:gridSpan w:val="17"/>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17</w:t>
            </w:r>
          </w:p>
        </w:tc>
      </w:tr>
      <w:tr>
        <w:trPr>
          <w:trHeight w:val="250"/>
        </w:trPr>
        <w:tc>
          <w:tcPr>
            <w:tcW w:w="360" w:type="dxa"/>
            <w:vAlign w:val="bottom"/>
          </w:tcPr>
          <w:p>
            <w:pPr>
              <w:spacing w:after="0"/>
              <w:rPr>
                <w:sz w:val="21"/>
                <w:szCs w:val="21"/>
                <w:color w:val="auto"/>
              </w:rPr>
            </w:pP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Board Committees</w:t>
              </w:r>
            </w:hyperlink>
          </w:p>
        </w:tc>
        <w:tc>
          <w:tcPr>
            <w:tcW w:w="9120" w:type="dxa"/>
            <w:vAlign w:val="bottom"/>
            <w:gridSpan w:val="35"/>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17</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Board’s Role in Risk Oversight</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19</w:t>
            </w:r>
          </w:p>
        </w:tc>
      </w:tr>
      <w:tr>
        <w:trPr>
          <w:trHeight w:val="20"/>
        </w:trPr>
        <w:tc>
          <w:tcPr>
            <w:tcW w:w="3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7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Executive Compensation Process</w:t>
              </w:r>
            </w:hyperlink>
          </w:p>
        </w:tc>
        <w:tc>
          <w:tcPr>
            <w:tcW w:w="7920" w:type="dxa"/>
            <w:vAlign w:val="bottom"/>
            <w:gridSpan w:val="22"/>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20</w:t>
            </w:r>
          </w:p>
        </w:tc>
      </w:tr>
      <w:tr>
        <w:trPr>
          <w:trHeight w:val="250"/>
        </w:trPr>
        <w:tc>
          <w:tcPr>
            <w:tcW w:w="360" w:type="dxa"/>
            <w:vAlign w:val="bottom"/>
          </w:tcPr>
          <w:p>
            <w:pPr>
              <w:spacing w:after="0"/>
              <w:rPr>
                <w:sz w:val="21"/>
                <w:szCs w:val="21"/>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Director Nomination Process</w:t>
              </w:r>
            </w:hyperlink>
          </w:p>
        </w:tc>
        <w:tc>
          <w:tcPr>
            <w:tcW w:w="8320" w:type="dxa"/>
            <w:vAlign w:val="bottom"/>
            <w:gridSpan w:val="27"/>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21</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Director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22</w:t>
            </w:r>
          </w:p>
        </w:tc>
      </w:tr>
      <w:tr>
        <w:trPr>
          <w:trHeight w:val="20"/>
        </w:trPr>
        <w:tc>
          <w:tcPr>
            <w:tcW w:w="360" w:type="dxa"/>
            <w:vAlign w:val="bottom"/>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2340" w:type="dxa"/>
            <w:vAlign w:val="bottom"/>
            <w:gridSpan w:val="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Related Person Transactions and Policies and Procedures Regarding Related Person Transactions</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25</w:t>
            </w:r>
          </w:p>
        </w:tc>
      </w:tr>
      <w:tr>
        <w:trPr>
          <w:trHeight w:val="250"/>
        </w:trPr>
        <w:tc>
          <w:tcPr>
            <w:tcW w:w="360" w:type="dxa"/>
            <w:vAlign w:val="bottom"/>
          </w:tcPr>
          <w:p>
            <w:pPr>
              <w:spacing w:after="0"/>
              <w:rPr>
                <w:sz w:val="21"/>
                <w:szCs w:val="21"/>
                <w:color w:val="auto"/>
              </w:rPr>
            </w:pPr>
          </w:p>
        </w:tc>
        <w:tc>
          <w:tcPr>
            <w:tcW w:w="4180" w:type="dxa"/>
            <w:vAlign w:val="bottom"/>
            <w:tcBorders>
              <w:top w:val="single" w:sz="8" w:color="0000EE"/>
              <w:bottom w:val="single" w:sz="8" w:color="0000EE"/>
            </w:tcBorders>
            <w:gridSpan w:val="27"/>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Board of Directors Business Ethics Policy Statement</w:t>
              </w:r>
            </w:hyperlink>
          </w:p>
        </w:tc>
        <w:tc>
          <w:tcPr>
            <w:tcW w:w="3720" w:type="dxa"/>
            <w:vAlign w:val="bottom"/>
            <w:tcBorders>
              <w:top w:val="single" w:sz="8" w:color="0000EE"/>
            </w:tcBorders>
            <w:gridSpan w:val="9"/>
          </w:tcPr>
          <w:p>
            <w:pPr>
              <w:spacing w:after="0"/>
              <w:rPr>
                <w:sz w:val="21"/>
                <w:szCs w:val="21"/>
                <w:color w:val="auto"/>
              </w:rPr>
            </w:pPr>
          </w:p>
        </w:tc>
        <w:tc>
          <w:tcPr>
            <w:tcW w:w="2720" w:type="dxa"/>
            <w:vAlign w:val="bottom"/>
            <w:gridSpan w:val="3"/>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26</w:t>
            </w:r>
          </w:p>
        </w:tc>
      </w:tr>
      <w:tr>
        <w:trPr>
          <w:trHeight w:val="250"/>
        </w:trPr>
        <w:tc>
          <w:tcPr>
            <w:tcW w:w="360" w:type="dxa"/>
            <w:vAlign w:val="bottom"/>
          </w:tcPr>
          <w:p>
            <w:pPr>
              <w:spacing w:after="0"/>
              <w:rPr>
                <w:sz w:val="21"/>
                <w:szCs w:val="21"/>
                <w:color w:val="auto"/>
              </w:rPr>
            </w:pPr>
          </w:p>
        </w:tc>
        <w:tc>
          <w:tcPr>
            <w:tcW w:w="650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Code of Conduct and Code of Ethics for our CEO and Senior Financial Personnel</w:t>
              </w:r>
            </w:hyperlink>
          </w:p>
        </w:tc>
        <w:tc>
          <w:tcPr>
            <w:tcW w:w="4120" w:type="dxa"/>
            <w:vAlign w:val="bottom"/>
            <w:gridSpan w:val="6"/>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C20000"/>
              </w:rPr>
              <w:t>26</w:t>
            </w:r>
          </w:p>
        </w:tc>
      </w:tr>
      <w:tr>
        <w:trPr>
          <w:trHeight w:val="250"/>
        </w:trPr>
        <w:tc>
          <w:tcPr>
            <w:tcW w:w="360" w:type="dxa"/>
            <w:vAlign w:val="bottom"/>
          </w:tcPr>
          <w:p>
            <w:pPr>
              <w:spacing w:after="0"/>
              <w:rPr>
                <w:sz w:val="21"/>
                <w:szCs w:val="21"/>
                <w:color w:val="auto"/>
              </w:rPr>
            </w:pPr>
          </w:p>
        </w:tc>
        <w:tc>
          <w:tcPr>
            <w:tcW w:w="10620" w:type="dxa"/>
            <w:vAlign w:val="bottom"/>
            <w:gridSpan w:val="3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Communications with Directors; Complaint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C20000"/>
              </w:rPr>
              <w:t>26</w:t>
            </w:r>
          </w:p>
        </w:tc>
      </w:tr>
      <w:tr>
        <w:trPr>
          <w:trHeight w:val="20"/>
        </w:trPr>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46"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000" w:type="dxa"/>
            <w:vAlign w:val="bottom"/>
            <w:gridSpan w:val="24"/>
          </w:tcPr>
          <w:p>
            <w:pPr>
              <w:spacing w:after="0"/>
              <w:rPr>
                <w:sz w:val="17"/>
                <w:szCs w:val="17"/>
                <w:color w:val="auto"/>
              </w:rPr>
            </w:pPr>
          </w:p>
        </w:tc>
        <w:tc>
          <w:tcPr>
            <w:tcW w:w="1000" w:type="dxa"/>
            <w:vAlign w:val="bottom"/>
          </w:tcPr>
          <w:p>
            <w:pPr>
              <w:spacing w:after="0"/>
              <w:rPr>
                <w:sz w:val="17"/>
                <w:szCs w:val="17"/>
                <w:color w:val="auto"/>
              </w:rPr>
            </w:pPr>
          </w:p>
        </w:tc>
      </w:tr>
      <w:tr>
        <w:trPr>
          <w:trHeight w:val="561"/>
        </w:trPr>
        <w:tc>
          <w:tcPr>
            <w:tcW w:w="9560" w:type="dxa"/>
            <w:vAlign w:val="bottom"/>
            <w:tcBorders>
              <w:bottom w:val="single" w:sz="8" w:color="0000EE"/>
            </w:tcBorders>
            <w:gridSpan w:val="25"/>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PROPOSAL TWO—RATIFICATION OF SELECTION OF INDEPENDENT REGISTERED PUBLIC ACCOUNTING FIRM</w:t>
              </w:r>
            </w:hyperlink>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27</w:t>
            </w:r>
          </w:p>
        </w:tc>
      </w:tr>
      <w:tr>
        <w:trPr>
          <w:trHeight w:val="250"/>
        </w:trPr>
        <w:tc>
          <w:tcPr>
            <w:tcW w:w="360" w:type="dxa"/>
            <w:vAlign w:val="bottom"/>
          </w:tcPr>
          <w:p>
            <w:pPr>
              <w:spacing w:after="0"/>
              <w:rPr>
                <w:sz w:val="21"/>
                <w:szCs w:val="21"/>
                <w:color w:val="auto"/>
              </w:rPr>
            </w:pPr>
          </w:p>
        </w:tc>
        <w:tc>
          <w:tcPr>
            <w:tcW w:w="482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Selection of Independent Registered Public Accounting Firm</w:t>
              </w:r>
            </w:hyperlink>
          </w:p>
        </w:tc>
        <w:tc>
          <w:tcPr>
            <w:tcW w:w="5180" w:type="dxa"/>
            <w:vAlign w:val="bottom"/>
            <w:gridSpan w:val="4"/>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27</w:t>
            </w: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Audit, Audit-Related, Tax and Other Fees</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27</w:t>
            </w:r>
          </w:p>
        </w:tc>
      </w:tr>
      <w:tr>
        <w:trPr>
          <w:trHeight w:val="250"/>
        </w:trPr>
        <w:tc>
          <w:tcPr>
            <w:tcW w:w="360" w:type="dxa"/>
            <w:vAlign w:val="bottom"/>
          </w:tcPr>
          <w:p>
            <w:pPr>
              <w:spacing w:after="0"/>
              <w:rPr>
                <w:sz w:val="21"/>
                <w:szCs w:val="21"/>
                <w:color w:val="auto"/>
              </w:rPr>
            </w:pPr>
          </w:p>
        </w:tc>
        <w:tc>
          <w:tcPr>
            <w:tcW w:w="3280" w:type="dxa"/>
            <w:vAlign w:val="bottom"/>
            <w:tcBorders>
              <w:top w:val="single" w:sz="8" w:color="0000EE"/>
            </w:tcBorders>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Pre-Approval Policies and Procedures</w:t>
              </w:r>
            </w:hyperlink>
          </w:p>
        </w:tc>
        <w:tc>
          <w:tcPr>
            <w:tcW w:w="6720" w:type="dxa"/>
            <w:vAlign w:val="bottom"/>
            <w:gridSpan w:val="13"/>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27</w:t>
            </w:r>
          </w:p>
        </w:tc>
      </w:tr>
      <w:tr>
        <w:trPr>
          <w:trHeight w:val="250"/>
        </w:trPr>
        <w:tc>
          <w:tcPr>
            <w:tcW w:w="360" w:type="dxa"/>
            <w:vAlign w:val="bottom"/>
          </w:tcPr>
          <w:p>
            <w:pPr>
              <w:spacing w:after="0"/>
              <w:rPr>
                <w:sz w:val="21"/>
                <w:szCs w:val="21"/>
                <w:color w:val="auto"/>
              </w:rPr>
            </w:pPr>
          </w:p>
        </w:tc>
        <w:tc>
          <w:tcPr>
            <w:tcW w:w="304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Board Recommendation</w:t>
              </w:r>
            </w:hyperlink>
          </w:p>
        </w:tc>
        <w:tc>
          <w:tcPr>
            <w:tcW w:w="6960" w:type="dxa"/>
            <w:vAlign w:val="bottom"/>
            <w:gridSpan w:val="16"/>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27</w:t>
            </w:r>
          </w:p>
        </w:tc>
      </w:tr>
      <w:tr>
        <w:trPr>
          <w:trHeight w:val="250"/>
        </w:trPr>
        <w:tc>
          <w:tcPr>
            <w:tcW w:w="360" w:type="dxa"/>
            <w:vAlign w:val="bottom"/>
          </w:tcPr>
          <w:p>
            <w:pPr>
              <w:spacing w:after="0"/>
              <w:rPr>
                <w:sz w:val="21"/>
                <w:szCs w:val="21"/>
                <w:color w:val="auto"/>
              </w:rPr>
            </w:pPr>
          </w:p>
        </w:tc>
        <w:tc>
          <w:tcPr>
            <w:tcW w:w="1940" w:type="dxa"/>
            <w:vAlign w:val="bottom"/>
            <w:tcBorders>
              <w:top w:val="single" w:sz="8" w:color="0000EE"/>
            </w:tcBorders>
            <w:gridSpan w:val="5"/>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Audit Committee Report</w:t>
              </w:r>
            </w:hyperlink>
          </w:p>
        </w:tc>
        <w:tc>
          <w:tcPr>
            <w:tcW w:w="8060" w:type="dxa"/>
            <w:vAlign w:val="bottom"/>
            <w:gridSpan w:val="20"/>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28</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PROPOSAL THREE—ADVISORY APPROVAL OF OUR EXECUTIVE COMPENSATION</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29</w:t>
            </w:r>
          </w:p>
        </w:tc>
      </w:tr>
      <w:tr>
        <w:trPr>
          <w:trHeight w:val="250"/>
        </w:trPr>
        <w:tc>
          <w:tcPr>
            <w:tcW w:w="360" w:type="dxa"/>
            <w:vAlign w:val="bottom"/>
            <w:tcBorders>
              <w:top w:val="single" w:sz="8" w:color="0000EE"/>
            </w:tcBorders>
          </w:tcPr>
          <w:p>
            <w:pPr>
              <w:spacing w:after="0"/>
              <w:rPr>
                <w:sz w:val="21"/>
                <w:szCs w:val="21"/>
                <w:color w:val="auto"/>
              </w:rPr>
            </w:pPr>
          </w:p>
        </w:tc>
        <w:tc>
          <w:tcPr>
            <w:tcW w:w="6720" w:type="dxa"/>
            <w:vAlign w:val="bottom"/>
            <w:tcBorders>
              <w:top w:val="single" w:sz="8" w:color="0000EE"/>
            </w:tcBorders>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Board Recommendation</w:t>
              </w:r>
            </w:hyperlink>
          </w:p>
        </w:tc>
        <w:tc>
          <w:tcPr>
            <w:tcW w:w="3280" w:type="dxa"/>
            <w:vAlign w:val="bottom"/>
            <w:gridSpan w:val="2"/>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30</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0360" w:type="dxa"/>
            <w:vAlign w:val="bottom"/>
            <w:gridSpan w:val="2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EXECUTIVE COMPENSATION</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31</w:t>
            </w:r>
          </w:p>
        </w:tc>
      </w:tr>
      <w:tr>
        <w:trPr>
          <w:trHeight w:val="20"/>
        </w:trPr>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Compensation &amp; Human Resources Committee Report</w:t>
              </w:r>
            </w:hyperlink>
          </w:p>
        </w:tc>
        <w:tc>
          <w:tcPr>
            <w:tcW w:w="5600" w:type="dxa"/>
            <w:vAlign w:val="bottom"/>
            <w:gridSpan w:val="7"/>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31</w:t>
            </w:r>
          </w:p>
        </w:tc>
      </w:tr>
      <w:tr>
        <w:trPr>
          <w:trHeight w:val="250"/>
        </w:trPr>
        <w:tc>
          <w:tcPr>
            <w:tcW w:w="360" w:type="dxa"/>
            <w:vAlign w:val="bottom"/>
          </w:tcPr>
          <w:p>
            <w:pPr>
              <w:spacing w:after="0"/>
              <w:rPr>
                <w:sz w:val="21"/>
                <w:szCs w:val="21"/>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Compensation Discussion and Analysis</w:t>
              </w:r>
            </w:hyperlink>
          </w:p>
        </w:tc>
        <w:tc>
          <w:tcPr>
            <w:tcW w:w="6840" w:type="dxa"/>
            <w:vAlign w:val="bottom"/>
            <w:gridSpan w:val="14"/>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31</w:t>
            </w: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Assessment of Risk Related to Compensation Programs</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46</w:t>
            </w:r>
          </w:p>
        </w:tc>
      </w:tr>
      <w:tr>
        <w:trPr>
          <w:trHeight w:val="250"/>
        </w:trPr>
        <w:tc>
          <w:tcPr>
            <w:tcW w:w="360" w:type="dxa"/>
            <w:vAlign w:val="bottom"/>
          </w:tcPr>
          <w:p>
            <w:pPr>
              <w:spacing w:after="0"/>
              <w:rPr>
                <w:sz w:val="21"/>
                <w:szCs w:val="21"/>
                <w:color w:val="auto"/>
              </w:rPr>
            </w:pPr>
          </w:p>
        </w:tc>
        <w:tc>
          <w:tcPr>
            <w:tcW w:w="4500" w:type="dxa"/>
            <w:vAlign w:val="bottom"/>
            <w:tcBorders>
              <w:top w:val="single" w:sz="8" w:color="0000EE"/>
            </w:tcBorders>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Summary Compensation Table</w:t>
              </w:r>
            </w:hyperlink>
          </w:p>
        </w:tc>
        <w:tc>
          <w:tcPr>
            <w:tcW w:w="5500" w:type="dxa"/>
            <w:vAlign w:val="bottom"/>
            <w:gridSpan w:val="6"/>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46</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All Other Compensation for Fiscal 2017</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47</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Grants of Plan-Based Awards for Fiscal 2017</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48</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Outstanding Equity Awards at Fiscal Year-End for 2017</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49</w:t>
            </w:r>
          </w:p>
        </w:tc>
      </w:tr>
      <w:tr>
        <w:trPr>
          <w:trHeight w:val="250"/>
        </w:trPr>
        <w:tc>
          <w:tcPr>
            <w:tcW w:w="360" w:type="dxa"/>
            <w:vAlign w:val="bottom"/>
          </w:tcPr>
          <w:p>
            <w:pPr>
              <w:spacing w:after="0"/>
              <w:rPr>
                <w:sz w:val="21"/>
                <w:szCs w:val="21"/>
                <w:color w:val="auto"/>
              </w:rPr>
            </w:pPr>
          </w:p>
        </w:tc>
        <w:tc>
          <w:tcPr>
            <w:tcW w:w="40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Option Exercises and Stock Vested for Fiscal 2017</w:t>
              </w:r>
            </w:hyperlink>
          </w:p>
        </w:tc>
        <w:tc>
          <w:tcPr>
            <w:tcW w:w="340" w:type="dxa"/>
            <w:vAlign w:val="bottom"/>
            <w:tcBorders>
              <w:top w:val="single" w:sz="8" w:color="0000EE"/>
            </w:tcBorders>
            <w:gridSpan w:val="2"/>
          </w:tcPr>
          <w:p>
            <w:pPr>
              <w:spacing w:after="0"/>
              <w:rPr>
                <w:sz w:val="21"/>
                <w:szCs w:val="21"/>
                <w:color w:val="auto"/>
              </w:rPr>
            </w:pPr>
          </w:p>
        </w:tc>
        <w:tc>
          <w:tcPr>
            <w:tcW w:w="5600" w:type="dxa"/>
            <w:vAlign w:val="bottom"/>
            <w:gridSpan w:val="7"/>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52</w:t>
            </w: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Nonqualified Deferred Compensation for Fiscal 2017</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52</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0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Potential Payments Upon Termination or Change In Control</w:t>
              </w:r>
            </w:hyperlink>
          </w:p>
        </w:tc>
        <w:tc>
          <w:tcPr>
            <w:tcW w:w="1000" w:type="dxa"/>
            <w:vAlign w:val="bottom"/>
          </w:tcPr>
          <w:p>
            <w:pPr>
              <w:jc w:val="right"/>
              <w:spacing w:after="0"/>
              <w:rPr>
                <w:sz w:val="20"/>
                <w:szCs w:val="20"/>
                <w:color w:val="auto"/>
              </w:rPr>
            </w:pPr>
            <w:r>
              <w:rPr>
                <w:rFonts w:ascii="Arial" w:cs="Arial" w:eastAsia="Arial" w:hAnsi="Arial"/>
                <w:sz w:val="18"/>
                <w:szCs w:val="18"/>
                <w:color w:val="C20000"/>
              </w:rPr>
              <w:t>55</w:t>
            </w:r>
          </w:p>
        </w:tc>
      </w:tr>
      <w:tr>
        <w:trPr>
          <w:trHeight w:val="20"/>
        </w:trPr>
        <w:tc>
          <w:tcPr>
            <w:tcW w:w="3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00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EQUITY COMPENSATION PLAN INFORMATION</w:t>
              </w:r>
            </w:hyperlink>
          </w:p>
        </w:tc>
        <w:tc>
          <w:tcPr>
            <w:tcW w:w="6360" w:type="dxa"/>
            <w:vAlign w:val="bottom"/>
            <w:gridSpan w:val="10"/>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61</w:t>
            </w:r>
          </w:p>
        </w:tc>
      </w:tr>
      <w:tr>
        <w:trPr>
          <w:trHeight w:val="250"/>
        </w:trPr>
        <w:tc>
          <w:tcPr>
            <w:tcW w:w="19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OTHER INFORMATION</w:t>
              </w:r>
            </w:hyperlink>
          </w:p>
        </w:tc>
        <w:tc>
          <w:tcPr>
            <w:tcW w:w="8420" w:type="dxa"/>
            <w:vAlign w:val="bottom"/>
            <w:gridSpan w:val="22"/>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62</w:t>
            </w:r>
          </w:p>
        </w:tc>
      </w:tr>
      <w:tr>
        <w:trPr>
          <w:trHeight w:val="250"/>
        </w:trPr>
        <w:tc>
          <w:tcPr>
            <w:tcW w:w="360" w:type="dxa"/>
            <w:vAlign w:val="bottom"/>
          </w:tcPr>
          <w:p>
            <w:pPr>
              <w:spacing w:after="0"/>
              <w:rPr>
                <w:sz w:val="21"/>
                <w:szCs w:val="21"/>
                <w:color w:val="auto"/>
              </w:rPr>
            </w:pPr>
          </w:p>
        </w:tc>
        <w:tc>
          <w:tcPr>
            <w:tcW w:w="62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Shareholder Proposals and Director Nominations for the 2019 Annual Meeting</w:t>
              </w:r>
            </w:hyperlink>
          </w:p>
        </w:tc>
        <w:tc>
          <w:tcPr>
            <w:tcW w:w="3760" w:type="dxa"/>
            <w:vAlign w:val="bottom"/>
            <w:gridSpan w:val="3"/>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62</w:t>
            </w:r>
          </w:p>
        </w:tc>
      </w:tr>
      <w:tr>
        <w:trPr>
          <w:trHeight w:val="250"/>
        </w:trPr>
        <w:tc>
          <w:tcPr>
            <w:tcW w:w="360" w:type="dxa"/>
            <w:vAlign w:val="bottom"/>
          </w:tcPr>
          <w:p>
            <w:pPr>
              <w:spacing w:after="0"/>
              <w:rPr>
                <w:sz w:val="21"/>
                <w:szCs w:val="21"/>
                <w:color w:val="auto"/>
              </w:rPr>
            </w:pPr>
          </w:p>
        </w:tc>
        <w:tc>
          <w:tcPr>
            <w:tcW w:w="34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Householding of Annual Meeting Materials</w:t>
              </w:r>
            </w:hyperlink>
          </w:p>
        </w:tc>
        <w:tc>
          <w:tcPr>
            <w:tcW w:w="6600" w:type="dxa"/>
            <w:vAlign w:val="bottom"/>
            <w:gridSpan w:val="12"/>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62</w:t>
            </w:r>
          </w:p>
        </w:tc>
      </w:tr>
      <w:tr>
        <w:trPr>
          <w:trHeight w:val="250"/>
        </w:trPr>
        <w:tc>
          <w:tcPr>
            <w:tcW w:w="360" w:type="dxa"/>
            <w:vAlign w:val="bottom"/>
          </w:tcPr>
          <w:p>
            <w:pPr>
              <w:spacing w:after="0"/>
              <w:rPr>
                <w:sz w:val="21"/>
                <w:szCs w:val="21"/>
                <w:color w:val="auto"/>
              </w:rPr>
            </w:pPr>
          </w:p>
        </w:tc>
        <w:tc>
          <w:tcPr>
            <w:tcW w:w="11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Annual Report</w:t>
              </w:r>
            </w:hyperlink>
          </w:p>
        </w:tc>
        <w:tc>
          <w:tcPr>
            <w:tcW w:w="8840" w:type="dxa"/>
            <w:vAlign w:val="bottom"/>
            <w:gridSpan w:val="23"/>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62</w:t>
            </w:r>
          </w:p>
        </w:tc>
      </w:tr>
      <w:tr>
        <w:trPr>
          <w:trHeight w:val="250"/>
        </w:trPr>
        <w:tc>
          <w:tcPr>
            <w:tcW w:w="360" w:type="dxa"/>
            <w:vAlign w:val="bottom"/>
          </w:tcPr>
          <w:p>
            <w:pPr>
              <w:spacing w:after="0"/>
              <w:rPr>
                <w:sz w:val="21"/>
                <w:szCs w:val="21"/>
                <w:color w:val="auto"/>
              </w:rPr>
            </w:pPr>
          </w:p>
        </w:tc>
        <w:tc>
          <w:tcPr>
            <w:tcW w:w="25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Cost and Method of Solicitation</w:t>
              </w:r>
            </w:hyperlink>
          </w:p>
        </w:tc>
        <w:tc>
          <w:tcPr>
            <w:tcW w:w="7500" w:type="dxa"/>
            <w:vAlign w:val="bottom"/>
            <w:gridSpan w:val="17"/>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C20000"/>
              </w:rPr>
              <w:t>63</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C20000"/>
        </w:rPr>
        <w:t>NOTE ABOUT FORWARD LOOKING STATEMENTS</w:t>
      </w:r>
    </w:p>
    <w:p>
      <w:pPr>
        <w:spacing w:after="0" w:line="126"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Certain statements in this proxy statement are “forward-looking statements” within the meaning of Section 27A of the Securities Act of 1933, as amended, and Section 21E of the Securities Exchange Act of 1934, as amended, and are subject to the safe harbor created by those sections. Forward-looking statements are based on our current expectations of future events, and are generally identified by words such as “expect,” “strive,” “looking ahead,” “outlook,” “guidance,” “forecast,” “goal,” “optimistic,” “anticipate,” “continue,” “plan,” “estimate,” “project,” “believe,” “should,” “could,” “will,” “would,” “possible,” “may,” “likely,” “intend,” “can,” “seek,” “potential,” “pro forma,” or the negative thereof and similar expressions or future dates. Forward-looking statements involve risks and uncertainties that could cause actual results to differ materially from those projected or implied. The most significant factors known to us that could materially adversely affect our business, reputation, operations, industry, financial position, or future financial performance are described in our most recent Annual Report on Form</w:t>
      </w:r>
    </w:p>
    <w:p>
      <w:pPr>
        <w:spacing w:after="0" w:line="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10-K filed with the Securities and Exchange Commission, or SEC, on December 22, 2017, in Part I, Item 1A, “Risk Factors.” You should not place undue reliance on any forward-looking statement, which speaks only as of the date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on Form 10-K, including in Part I, Item 1A, “Risk Factors,” as well as others that we may consider immaterial or do not anticipate at this time. The risks and uncertainties described in our Annual Report on Form 10-K are not exclusive and further information concerning our company and our businesses, including factors that potentially could materially affect our operating results or financial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95120" cy="1046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9512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3100"/>
        <w:spacing w:after="0"/>
        <w:rPr>
          <w:sz w:val="20"/>
          <w:szCs w:val="20"/>
          <w:color w:val="auto"/>
        </w:rPr>
      </w:pPr>
      <w:r>
        <w:rPr>
          <w:rFonts w:ascii="Arial" w:cs="Arial" w:eastAsia="Arial" w:hAnsi="Arial"/>
          <w:sz w:val="18"/>
          <w:szCs w:val="18"/>
          <w:b w:val="1"/>
          <w:bCs w:val="1"/>
          <w:color w:val="auto"/>
        </w:rPr>
        <w:t>Telephone 952-888-8801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6,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12"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It is my pleasure to invite you to join us for The Toro Company 2018 Annual Meeting of Shareholders to be held on Tuesday, March 20, 2018, at 1:30 p.m., Central Daylight Time, at our corporate offices. A live, listen-only audio webcast of the meeting will be available at www.thetorocompany.com if you are unable to attend in person. Details about the annual meeting, nominees for election to the Board of Directors and other matters to be acted on at the annual meeting are presented in the notice and proxy statement that follow.</w:t>
      </w:r>
    </w:p>
    <w:p>
      <w:pPr>
        <w:spacing w:after="0" w:line="20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your Toro Board of Directors and Management, thank you for your continued interest in and support for our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45796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C00000"/>
        </w:rPr>
        <w:t>RICHARD M. OLSON</w:t>
      </w:r>
    </w:p>
    <w:p>
      <w:pPr>
        <w:spacing w:after="0"/>
        <w:rPr>
          <w:sz w:val="20"/>
          <w:szCs w:val="20"/>
          <w:color w:val="auto"/>
        </w:rPr>
      </w:pPr>
      <w:r>
        <w:rPr>
          <w:rFonts w:ascii="Arial" w:cs="Arial" w:eastAsia="Arial" w:hAnsi="Arial"/>
          <w:sz w:val="18"/>
          <w:szCs w:val="18"/>
          <w:color w:val="auto"/>
        </w:rPr>
        <w:t>Chairman of the Board, President and CEO</w:t>
      </w:r>
    </w:p>
    <w:p>
      <w:pPr>
        <w:spacing w:after="0" w:line="200" w:lineRule="exact"/>
        <w:rPr>
          <w:sz w:val="20"/>
          <w:szCs w:val="20"/>
          <w:color w:val="auto"/>
        </w:rPr>
      </w:pPr>
    </w:p>
    <w:p>
      <w:pPr>
        <w:spacing w:after="0" w:line="206" w:lineRule="exact"/>
        <w:rPr>
          <w:sz w:val="20"/>
          <w:szCs w:val="20"/>
          <w:color w:val="auto"/>
        </w:rPr>
      </w:pPr>
    </w:p>
    <w:p>
      <w:pPr>
        <w:jc w:val="center"/>
        <w:ind w:left="320" w:right="1960"/>
        <w:spacing w:after="0" w:line="244" w:lineRule="auto"/>
        <w:rPr>
          <w:sz w:val="20"/>
          <w:szCs w:val="20"/>
          <w:color w:val="auto"/>
        </w:rPr>
      </w:pPr>
      <w:r>
        <w:rPr>
          <w:rFonts w:ascii="Arial" w:cs="Arial" w:eastAsia="Arial" w:hAnsi="Arial"/>
          <w:sz w:val="18"/>
          <w:szCs w:val="18"/>
          <w:b w:val="1"/>
          <w:bCs w:val="1"/>
          <w:color w:val="C00000"/>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95120" cy="1046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512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40" w:type="dxa"/>
            <w:vAlign w:val="bottom"/>
          </w:tcPr>
          <w:p>
            <w:pPr>
              <w:ind w:left="1580"/>
              <w:spacing w:after="0"/>
              <w:rPr>
                <w:sz w:val="20"/>
                <w:szCs w:val="20"/>
                <w:color w:val="auto"/>
              </w:rPr>
            </w:pPr>
            <w:r>
              <w:rPr>
                <w:rFonts w:ascii="Arial" w:cs="Arial" w:eastAsia="Arial" w:hAnsi="Arial"/>
                <w:sz w:val="18"/>
                <w:szCs w:val="18"/>
                <w:b w:val="1"/>
                <w:bCs w:val="1"/>
                <w:color w:val="C00000"/>
              </w:rPr>
              <w:t>NOTICE OF 2018 ANNUAL MEETING OF SHAREHOLDERS</w:t>
            </w:r>
          </w:p>
        </w:tc>
      </w:tr>
      <w:tr>
        <w:trPr>
          <w:trHeight w:val="567"/>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10080" w:type="dxa"/>
            <w:vAlign w:val="bottom"/>
            <w:gridSpan w:val="2"/>
          </w:tcPr>
          <w:p>
            <w:pPr>
              <w:ind w:left="300"/>
              <w:spacing w:after="0"/>
              <w:rPr>
                <w:sz w:val="20"/>
                <w:szCs w:val="20"/>
                <w:color w:val="auto"/>
              </w:rPr>
            </w:pPr>
            <w:r>
              <w:rPr>
                <w:rFonts w:ascii="Arial" w:cs="Arial" w:eastAsia="Arial" w:hAnsi="Arial"/>
                <w:sz w:val="18"/>
                <w:szCs w:val="18"/>
                <w:color w:val="auto"/>
              </w:rPr>
              <w:t>Tuesday, March 20, 2018</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Time:</w:t>
            </w:r>
          </w:p>
        </w:tc>
        <w:tc>
          <w:tcPr>
            <w:tcW w:w="10080" w:type="dxa"/>
            <w:vAlign w:val="bottom"/>
            <w:gridSpan w:val="2"/>
          </w:tcPr>
          <w:p>
            <w:pPr>
              <w:ind w:left="300"/>
              <w:spacing w:after="0"/>
              <w:rPr>
                <w:sz w:val="20"/>
                <w:szCs w:val="20"/>
                <w:color w:val="auto"/>
              </w:rPr>
            </w:pPr>
            <w:r>
              <w:rPr>
                <w:rFonts w:ascii="Arial" w:cs="Arial" w:eastAsia="Arial" w:hAnsi="Arial"/>
                <w:sz w:val="18"/>
                <w:szCs w:val="18"/>
                <w:color w:val="auto"/>
              </w:rPr>
              <w:t>1:30 p.m., Central Daylight Time</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Location:</w:t>
            </w:r>
          </w:p>
        </w:tc>
        <w:tc>
          <w:tcPr>
            <w:tcW w:w="10080" w:type="dxa"/>
            <w:vAlign w:val="bottom"/>
            <w:gridSpan w:val="2"/>
          </w:tcPr>
          <w:p>
            <w:pPr>
              <w:ind w:left="300"/>
              <w:spacing w:after="0"/>
              <w:rPr>
                <w:sz w:val="20"/>
                <w:szCs w:val="20"/>
                <w:color w:val="auto"/>
              </w:rPr>
            </w:pPr>
            <w:r>
              <w:rPr>
                <w:rFonts w:ascii="Arial" w:cs="Arial" w:eastAsia="Arial" w:hAnsi="Arial"/>
                <w:sz w:val="18"/>
                <w:szCs w:val="18"/>
                <w:color w:val="auto"/>
              </w:rPr>
              <w:t>8111 Lyndale Avenue South, Bloomington, Minnesota, 55420-1196</w:t>
            </w:r>
          </w:p>
        </w:tc>
      </w:tr>
      <w:tr>
        <w:trPr>
          <w:trHeight w:val="270"/>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540" w:type="dxa"/>
            <w:vAlign w:val="bottom"/>
          </w:tcPr>
          <w:p>
            <w:pPr>
              <w:ind w:left="1640"/>
              <w:spacing w:after="0"/>
              <w:rPr>
                <w:sz w:val="20"/>
                <w:szCs w:val="20"/>
                <w:color w:val="auto"/>
              </w:rPr>
            </w:pPr>
            <w:r>
              <w:rPr>
                <w:rFonts w:ascii="Arial" w:cs="Arial" w:eastAsia="Arial" w:hAnsi="Arial"/>
                <w:sz w:val="18"/>
                <w:szCs w:val="18"/>
                <w:color w:val="auto"/>
              </w:rPr>
              <w:t>Or</w:t>
            </w:r>
          </w:p>
        </w:tc>
      </w:tr>
      <w:tr>
        <w:trPr>
          <w:trHeight w:val="311"/>
        </w:trPr>
        <w:tc>
          <w:tcPr>
            <w:tcW w:w="1080" w:type="dxa"/>
            <w:vAlign w:val="bottom"/>
          </w:tcPr>
          <w:p>
            <w:pPr>
              <w:spacing w:after="0"/>
              <w:rPr>
                <w:sz w:val="20"/>
                <w:szCs w:val="20"/>
                <w:color w:val="auto"/>
              </w:rPr>
            </w:pPr>
            <w:r>
              <w:rPr>
                <w:rFonts w:ascii="Arial" w:cs="Arial" w:eastAsia="Arial" w:hAnsi="Arial"/>
                <w:sz w:val="18"/>
                <w:szCs w:val="18"/>
                <w:color w:val="auto"/>
              </w:rPr>
              <w:t>Webcast:</w:t>
            </w:r>
          </w:p>
        </w:tc>
        <w:tc>
          <w:tcPr>
            <w:tcW w:w="10080" w:type="dxa"/>
            <w:vAlign w:val="bottom"/>
            <w:gridSpan w:val="2"/>
          </w:tcPr>
          <w:p>
            <w:pPr>
              <w:ind w:left="300"/>
              <w:spacing w:after="0"/>
              <w:rPr>
                <w:sz w:val="20"/>
                <w:szCs w:val="20"/>
                <w:color w:val="auto"/>
              </w:rPr>
            </w:pPr>
            <w:r>
              <w:rPr>
                <w:rFonts w:ascii="Arial" w:cs="Arial" w:eastAsia="Arial" w:hAnsi="Arial"/>
                <w:sz w:val="18"/>
                <w:szCs w:val="18"/>
                <w:color w:val="auto"/>
              </w:rPr>
              <w:t>www.thetorocompany.com</w:t>
            </w:r>
          </w:p>
        </w:tc>
      </w:tr>
      <w:tr>
        <w:trPr>
          <w:trHeight w:val="512"/>
        </w:trPr>
        <w:tc>
          <w:tcPr>
            <w:tcW w:w="1080" w:type="dxa"/>
            <w:vAlign w:val="bottom"/>
          </w:tcPr>
          <w:p>
            <w:pPr>
              <w:spacing w:after="0"/>
              <w:rPr>
                <w:sz w:val="20"/>
                <w:szCs w:val="20"/>
                <w:color w:val="auto"/>
              </w:rPr>
            </w:pPr>
            <w:r>
              <w:rPr>
                <w:rFonts w:ascii="Arial" w:cs="Arial" w:eastAsia="Arial" w:hAnsi="Arial"/>
                <w:sz w:val="18"/>
                <w:szCs w:val="18"/>
                <w:color w:val="auto"/>
              </w:rPr>
              <w:t>Agenda:</w:t>
            </w:r>
          </w:p>
        </w:tc>
        <w:tc>
          <w:tcPr>
            <w:tcW w:w="540" w:type="dxa"/>
            <w:vAlign w:val="bottom"/>
          </w:tcPr>
          <w:p>
            <w:pPr>
              <w:ind w:left="300"/>
              <w:spacing w:after="0"/>
              <w:rPr>
                <w:sz w:val="20"/>
                <w:szCs w:val="20"/>
                <w:color w:val="auto"/>
              </w:rPr>
            </w:pPr>
            <w:r>
              <w:rPr>
                <w:rFonts w:ascii="Arial" w:cs="Arial" w:eastAsia="Arial" w:hAnsi="Arial"/>
                <w:sz w:val="18"/>
                <w:szCs w:val="18"/>
                <w:color w:val="auto"/>
              </w:rPr>
              <w:t>1.</w:t>
            </w:r>
          </w:p>
        </w:tc>
        <w:tc>
          <w:tcPr>
            <w:tcW w:w="9540" w:type="dxa"/>
            <w:vAlign w:val="bottom"/>
          </w:tcPr>
          <w:p>
            <w:pPr>
              <w:ind w:left="100"/>
              <w:spacing w:after="0"/>
              <w:rPr>
                <w:sz w:val="20"/>
                <w:szCs w:val="20"/>
                <w:color w:val="auto"/>
              </w:rPr>
            </w:pPr>
            <w:r>
              <w:rPr>
                <w:rFonts w:ascii="Arial" w:cs="Arial" w:eastAsia="Arial" w:hAnsi="Arial"/>
                <w:sz w:val="18"/>
                <w:szCs w:val="18"/>
                <w:color w:val="auto"/>
                <w:w w:val="99"/>
              </w:rPr>
              <w:t>To elect as directors the four nominees named in the attached proxy statement, each to serve for a term of three years</w:t>
            </w:r>
          </w:p>
        </w:tc>
      </w:tr>
      <w:tr>
        <w:trPr>
          <w:trHeight w:val="217"/>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ending at the 2021 Annual Meeting of Shareholders;</w:t>
            </w:r>
          </w:p>
        </w:tc>
      </w:tr>
      <w:tr>
        <w:trPr>
          <w:trHeight w:val="256"/>
        </w:trPr>
        <w:tc>
          <w:tcPr>
            <w:tcW w:w="108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2.</w:t>
            </w:r>
          </w:p>
        </w:tc>
        <w:tc>
          <w:tcPr>
            <w:tcW w:w="9540" w:type="dxa"/>
            <w:vAlign w:val="bottom"/>
          </w:tcPr>
          <w:p>
            <w:pPr>
              <w:ind w:left="100"/>
              <w:spacing w:after="0"/>
              <w:rPr>
                <w:sz w:val="20"/>
                <w:szCs w:val="20"/>
                <w:color w:val="auto"/>
              </w:rPr>
            </w:pPr>
            <w:r>
              <w:rPr>
                <w:rFonts w:ascii="Arial" w:cs="Arial" w:eastAsia="Arial" w:hAnsi="Arial"/>
                <w:sz w:val="18"/>
                <w:szCs w:val="18"/>
                <w:color w:val="auto"/>
              </w:rPr>
              <w:t>To ratify the selection of KPMG LLP as our independent registered public accounting firm for our fiscal year ending</w:t>
            </w:r>
          </w:p>
        </w:tc>
      </w:tr>
      <w:tr>
        <w:trPr>
          <w:trHeight w:val="217"/>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October 31, 2018;</w:t>
            </w:r>
          </w:p>
        </w:tc>
      </w:tr>
      <w:tr>
        <w:trPr>
          <w:trHeight w:val="270"/>
        </w:trPr>
        <w:tc>
          <w:tcPr>
            <w:tcW w:w="1080" w:type="dxa"/>
            <w:vAlign w:val="bottom"/>
          </w:tcPr>
          <w:p>
            <w:pPr>
              <w:spacing w:after="0"/>
              <w:rPr>
                <w:sz w:val="23"/>
                <w:szCs w:val="23"/>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3.</w:t>
            </w:r>
          </w:p>
        </w:tc>
        <w:tc>
          <w:tcPr>
            <w:tcW w:w="9540" w:type="dxa"/>
            <w:vAlign w:val="bottom"/>
          </w:tcPr>
          <w:p>
            <w:pPr>
              <w:ind w:left="100"/>
              <w:spacing w:after="0"/>
              <w:rPr>
                <w:sz w:val="20"/>
                <w:szCs w:val="20"/>
                <w:color w:val="auto"/>
              </w:rPr>
            </w:pPr>
            <w:r>
              <w:rPr>
                <w:rFonts w:ascii="Arial" w:cs="Arial" w:eastAsia="Arial" w:hAnsi="Arial"/>
                <w:sz w:val="18"/>
                <w:szCs w:val="18"/>
                <w:color w:val="auto"/>
              </w:rPr>
              <w:t>To approve, on an advisory basis, our executive compensation; and</w:t>
            </w:r>
          </w:p>
        </w:tc>
      </w:tr>
      <w:tr>
        <w:trPr>
          <w:trHeight w:val="256"/>
        </w:trPr>
        <w:tc>
          <w:tcPr>
            <w:tcW w:w="108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4.</w:t>
            </w:r>
          </w:p>
        </w:tc>
        <w:tc>
          <w:tcPr>
            <w:tcW w:w="9540" w:type="dxa"/>
            <w:vAlign w:val="bottom"/>
          </w:tcPr>
          <w:p>
            <w:pPr>
              <w:ind w:left="100"/>
              <w:spacing w:after="0"/>
              <w:rPr>
                <w:sz w:val="20"/>
                <w:szCs w:val="20"/>
                <w:color w:val="auto"/>
              </w:rPr>
            </w:pPr>
            <w:r>
              <w:rPr>
                <w:rFonts w:ascii="Arial" w:cs="Arial" w:eastAsia="Arial" w:hAnsi="Arial"/>
                <w:sz w:val="18"/>
                <w:szCs w:val="18"/>
                <w:color w:val="auto"/>
                <w:w w:val="99"/>
              </w:rPr>
              <w:t>To transact any other business properly brought before the annual meeting or any adjournment or postponement of the</w:t>
            </w:r>
          </w:p>
        </w:tc>
      </w:tr>
      <w:tr>
        <w:trPr>
          <w:trHeight w:val="217"/>
        </w:trPr>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annual meeting.</w:t>
            </w:r>
          </w:p>
        </w:tc>
      </w:tr>
    </w:tbl>
    <w:p>
      <w:pPr>
        <w:spacing w:after="0" w:line="202"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22, 2018, the record date, will be entitled to vote at the annual meeting or at any adjournment or postponement of the annual meeting. A shareholder list will be available at our corporate offices beginning March 9, 2018, during our normal business hours for examination by any shareholder registered on our stock ledger as of the record date for any purpose germane to the annual meeting.</w:t>
      </w:r>
    </w:p>
    <w:p>
      <w:pPr>
        <w:spacing w:after="0" w:line="20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Your vote is important. A majority of the outstanding shares of our common stock must be represented either in person or by proxy to constitute a quorum for the conduct of business. Please promptly vote your shares by following the instructions for voting contained in the Notice Regarding the Availability of Proxy Materials or, if you received a paper or electronic copy of our proxy materials, by completing, signing, dating and returning your proxy card or by Internet, telephone or mobile device voting as described on your proxy card.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February 6,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40815"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C00000"/>
        </w:rPr>
        <w:t>TIMOTHY P. DORDELL</w:t>
      </w:r>
    </w:p>
    <w:p>
      <w:pPr>
        <w:spacing w:after="0"/>
        <w:rPr>
          <w:sz w:val="20"/>
          <w:szCs w:val="20"/>
          <w:color w:val="auto"/>
        </w:rPr>
      </w:pPr>
      <w:r>
        <w:rPr>
          <w:rFonts w:ascii="Arial" w:cs="Arial" w:eastAsia="Arial" w:hAnsi="Arial"/>
          <w:sz w:val="18"/>
          <w:szCs w:val="18"/>
          <w:color w:val="auto"/>
        </w:rPr>
        <w:t>Vice President, Secretary and General Counsel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00000"/>
        </w:rPr>
        <w:t>THE TORO COMPANY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8111 Lyndale Avenue South</w:t>
      </w:r>
    </w:p>
    <w:p>
      <w:pPr>
        <w:jc w:val="center"/>
        <w:spacing w:after="0"/>
        <w:rPr>
          <w:sz w:val="20"/>
          <w:szCs w:val="20"/>
          <w:color w:val="auto"/>
        </w:rPr>
      </w:pPr>
      <w:r>
        <w:rPr>
          <w:rFonts w:ascii="Arial" w:cs="Arial" w:eastAsia="Arial" w:hAnsi="Arial"/>
          <w:sz w:val="18"/>
          <w:szCs w:val="18"/>
          <w:color w:val="auto"/>
        </w:rPr>
        <w:t>Bloomington, Minnesota 55420-1196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00000"/>
        </w:rPr>
        <w:t>PROXY STATEMENT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 ANNUAL MEETING OF SHAREHOLDERS</w:t>
      </w:r>
    </w:p>
    <w:p>
      <w:pPr>
        <w:jc w:val="center"/>
        <w:spacing w:after="0" w:line="234" w:lineRule="auto"/>
        <w:rPr>
          <w:sz w:val="20"/>
          <w:szCs w:val="20"/>
          <w:color w:val="auto"/>
        </w:rPr>
      </w:pPr>
      <w:r>
        <w:rPr>
          <w:rFonts w:ascii="Arial" w:cs="Arial" w:eastAsia="Arial" w:hAnsi="Arial"/>
          <w:sz w:val="18"/>
          <w:szCs w:val="18"/>
          <w:color w:val="auto"/>
        </w:rPr>
        <w:t>TUESDAY, MARCH 20,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 p.m. Central Daylight Time</w:t>
      </w:r>
    </w:p>
    <w:p>
      <w:pPr>
        <w:spacing w:after="0" w:line="21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2018 Annual Meeting of Shareholders to be held at 1:30 p.m., Central Daylight Time, on Tuesday, March 20, 2018.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6, 2018. Please note that references in this proxy statement to “Toro,” our “Company,” “we,” “us,” “our” and similar terms refer to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GENERAL INFORMATION ABOUT THE 2018 ANNUAL MEETING AND VOTING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Important Notice Regarding the Availability of Proxy Materials for the Shareholder Meeting To Be Held on Tuesday, March 20, 2018.</w:t>
      </w:r>
    </w:p>
    <w:p>
      <w:pPr>
        <w:spacing w:after="0" w:line="126"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This proxy statement and our 2017 Annual Report, which includes our Annual Report on Form 10-K for the fiscal year ended October 31, 2017, are available at www.thetorocompany.com/proxy.</w:t>
      </w:r>
    </w:p>
    <w:p>
      <w:pPr>
        <w:spacing w:after="0" w:line="89"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some of our shareholders.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When and Where Will the Annual Meeting Be Held?</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annual meeting will be held on Tuesday, March 20, 2018, at 1:30 p.m., Central Daylight Time, at our corporate offices located at 8111 Lyndale Avenue South, Bloomington, Minnesota, 55420-1196.</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Are the Purposes of the Annual Meeting?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2018 Annual Meeting of Shareholders are to vote on the following items described in this proxy statement: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shd w:val="clear" w:color="auto" w:fill="D9D9D9"/>
          </w:tcPr>
          <w:p>
            <w:pPr>
              <w:spacing w:after="0"/>
              <w:rPr>
                <w:sz w:val="20"/>
                <w:szCs w:val="20"/>
                <w:color w:val="auto"/>
              </w:rPr>
            </w:pPr>
            <w:r>
              <w:rPr>
                <w:rFonts w:ascii="Arial" w:cs="Arial" w:eastAsia="Arial" w:hAnsi="Arial"/>
                <w:sz w:val="18"/>
                <w:szCs w:val="18"/>
                <w:color w:val="auto"/>
              </w:rPr>
              <w:t>Proposal One</w:t>
            </w:r>
          </w:p>
        </w:tc>
        <w:tc>
          <w:tcPr>
            <w:tcW w:w="9760" w:type="dxa"/>
            <w:vAlign w:val="bottom"/>
            <w:shd w:val="clear" w:color="auto" w:fill="D9D9D9"/>
          </w:tcPr>
          <w:p>
            <w:pPr>
              <w:ind w:left="420"/>
              <w:spacing w:after="0"/>
              <w:rPr>
                <w:sz w:val="20"/>
                <w:szCs w:val="20"/>
                <w:color w:val="auto"/>
              </w:rPr>
            </w:pPr>
            <w:r>
              <w:rPr>
                <w:rFonts w:ascii="Arial" w:cs="Arial" w:eastAsia="Arial" w:hAnsi="Arial"/>
                <w:sz w:val="18"/>
                <w:szCs w:val="18"/>
                <w:color w:val="auto"/>
              </w:rPr>
              <w:t>Election of Directors</w:t>
            </w: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Proposal Two</w:t>
            </w:r>
          </w:p>
        </w:tc>
        <w:tc>
          <w:tcPr>
            <w:tcW w:w="9760" w:type="dxa"/>
            <w:vAlign w:val="bottom"/>
          </w:tcPr>
          <w:p>
            <w:pPr>
              <w:ind w:left="420"/>
              <w:spacing w:after="0" w:line="202" w:lineRule="exact"/>
              <w:rPr>
                <w:sz w:val="20"/>
                <w:szCs w:val="20"/>
                <w:color w:val="auto"/>
              </w:rPr>
            </w:pPr>
            <w:r>
              <w:rPr>
                <w:rFonts w:ascii="Arial" w:cs="Arial" w:eastAsia="Arial" w:hAnsi="Arial"/>
                <w:sz w:val="18"/>
                <w:szCs w:val="18"/>
                <w:color w:val="auto"/>
              </w:rPr>
              <w:t>Ratification of Selection of Independent Registered Public Accounting Firm</w:t>
            </w:r>
          </w:p>
        </w:tc>
      </w:tr>
      <w:tr>
        <w:trPr>
          <w:trHeight w:val="203"/>
        </w:trPr>
        <w:tc>
          <w:tcPr>
            <w:tcW w:w="16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Proposal Three</w:t>
            </w:r>
          </w:p>
        </w:tc>
        <w:tc>
          <w:tcPr>
            <w:tcW w:w="9760" w:type="dxa"/>
            <w:vAlign w:val="bottom"/>
            <w:shd w:val="clear" w:color="auto" w:fill="D9D9D9"/>
          </w:tcPr>
          <w:p>
            <w:pPr>
              <w:ind w:left="420"/>
              <w:spacing w:after="0" w:line="202" w:lineRule="exact"/>
              <w:rPr>
                <w:sz w:val="20"/>
                <w:szCs w:val="20"/>
                <w:color w:val="auto"/>
              </w:rPr>
            </w:pPr>
            <w:r>
              <w:rPr>
                <w:rFonts w:ascii="Arial" w:cs="Arial" w:eastAsia="Arial" w:hAnsi="Arial"/>
                <w:sz w:val="18"/>
                <w:szCs w:val="18"/>
                <w:color w:val="auto"/>
              </w:rPr>
              <w:t>Advisory Approval of our Executive Compensation</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Are There Any Matters To Be Voted On at the Annual Meeting that Are Not Included in this Proxy Statement?</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Is Entitled to Vote and How Many Shares Must Be Present to Hold the Annual Meeting?</w:t>
      </w:r>
    </w:p>
    <w:p>
      <w:pPr>
        <w:spacing w:after="0" w:line="126"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Shareholders of record at the close of business on January 22, 2018, the record date, will be entitled to vote at the annual meeting or any adjournment or postponement of the annual meeting. As of January 22, 2018, there were 107,193,878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9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Do I Vote My Shares?</w:t>
      </w:r>
    </w:p>
    <w:p>
      <w:pPr>
        <w:spacing w:after="0" w:line="126"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If your shares are registered in your name, you may vote your shares in person at the annual meeting or by one of the four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59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Vote by Internet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Vote by Telephone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Vote by Mail</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Vote by Mobile Device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87630</wp:posOffset>
            </wp:positionV>
            <wp:extent cx="7246620" cy="591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12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Complete, sign, date and mail your proxy card in the envelope provided if you received a paper copy of these proxy materials. If you vote by Internet, telephone or mobile device, please do not mail your proxy card.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200" w:lineRule="exact"/>
        <w:rPr>
          <w:sz w:val="20"/>
          <w:szCs w:val="20"/>
          <w:color w:val="auto"/>
        </w:rPr>
      </w:pPr>
    </w:p>
    <w:p>
      <w:pPr>
        <w:sectPr>
          <w:pgSz w:w="11900" w:h="16838" w:orient="portrait"/>
          <w:cols w:equalWidth="0" w:num="2">
            <w:col w:w="2180" w:space="720"/>
            <w:col w:w="8520"/>
          </w:cols>
          <w:pgMar w:left="240" w:top="459" w:right="239" w:bottom="1440" w:gutter="0" w:footer="0" w:header="0"/>
          <w:type w:val="continuous"/>
        </w:sectPr>
      </w:pPr>
    </w:p>
    <w:p>
      <w:pPr>
        <w:spacing w:after="0" w:line="20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four methods noted above. If your shares are held in “street name,” you may receive a separate voting instruction form with this proxy statement or you may need to contact your broker, bank or other nominee to determine whether you will be able to vote electronically using the Internet, telephone or mobile device.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Does the Board Recommend that I Vote and What Vote is Required for Each Proposal?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shd w:val="clear" w:color="auto" w:fill="C00000"/>
          </w:tcPr>
          <w:p>
            <w:pPr>
              <w:spacing w:after="0"/>
              <w:rPr>
                <w:sz w:val="14"/>
                <w:szCs w:val="14"/>
                <w:color w:val="auto"/>
              </w:rPr>
            </w:pPr>
          </w:p>
        </w:tc>
        <w:tc>
          <w:tcPr>
            <w:tcW w:w="3400" w:type="dxa"/>
            <w:vAlign w:val="bottom"/>
            <w:shd w:val="clear" w:color="auto" w:fill="C00000"/>
          </w:tcPr>
          <w:p>
            <w:pPr>
              <w:spacing w:after="0"/>
              <w:rPr>
                <w:sz w:val="14"/>
                <w:szCs w:val="14"/>
                <w:color w:val="auto"/>
              </w:rPr>
            </w:pPr>
          </w:p>
        </w:tc>
        <w:tc>
          <w:tcPr>
            <w:tcW w:w="1420" w:type="dxa"/>
            <w:vAlign w:val="bottom"/>
            <w:shd w:val="clear" w:color="auto" w:fill="C00000"/>
          </w:tcPr>
          <w:p>
            <w:pPr>
              <w:spacing w:after="0"/>
              <w:rPr>
                <w:sz w:val="14"/>
                <w:szCs w:val="14"/>
                <w:color w:val="auto"/>
              </w:rPr>
            </w:pPr>
          </w:p>
        </w:tc>
        <w:tc>
          <w:tcPr>
            <w:tcW w:w="2220" w:type="dxa"/>
            <w:vAlign w:val="bottom"/>
            <w:shd w:val="clear" w:color="auto" w:fill="C00000"/>
          </w:tcPr>
          <w:p>
            <w:pPr>
              <w:spacing w:after="0"/>
              <w:rPr>
                <w:sz w:val="14"/>
                <w:szCs w:val="14"/>
                <w:color w:val="auto"/>
              </w:rPr>
            </w:pPr>
          </w:p>
        </w:tc>
        <w:tc>
          <w:tcPr>
            <w:tcW w:w="2180" w:type="dxa"/>
            <w:vAlign w:val="bottom"/>
            <w:shd w:val="clear" w:color="auto" w:fill="C00000"/>
          </w:tcPr>
          <w:p>
            <w:pPr>
              <w:spacing w:after="0"/>
              <w:rPr>
                <w:sz w:val="14"/>
                <w:szCs w:val="14"/>
                <w:color w:val="auto"/>
              </w:rPr>
            </w:pPr>
          </w:p>
        </w:tc>
        <w:tc>
          <w:tcPr>
            <w:tcW w:w="9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Effect of</w:t>
            </w:r>
          </w:p>
        </w:tc>
        <w:tc>
          <w:tcPr>
            <w:tcW w:w="1000" w:type="dxa"/>
            <w:vAlign w:val="bottom"/>
            <w:shd w:val="clear" w:color="auto" w:fill="C00000"/>
          </w:tcPr>
          <w:p>
            <w:pPr>
              <w:ind w:left="100"/>
              <w:spacing w:after="0"/>
              <w:rPr>
                <w:sz w:val="20"/>
                <w:szCs w:val="20"/>
                <w:color w:val="auto"/>
              </w:rPr>
            </w:pPr>
            <w:r>
              <w:rPr>
                <w:rFonts w:ascii="Arial" w:cs="Arial" w:eastAsia="Arial" w:hAnsi="Arial"/>
                <w:sz w:val="14"/>
                <w:szCs w:val="14"/>
                <w:b w:val="1"/>
                <w:bCs w:val="1"/>
                <w:color w:val="FFFFFF"/>
              </w:rPr>
              <w:t>Effect of</w:t>
            </w:r>
          </w:p>
        </w:tc>
      </w:tr>
      <w:tr>
        <w:trPr>
          <w:trHeight w:val="162"/>
        </w:trPr>
        <w:tc>
          <w:tcPr>
            <w:tcW w:w="220" w:type="dxa"/>
            <w:vAlign w:val="bottom"/>
            <w:shd w:val="clear" w:color="auto" w:fill="C00000"/>
          </w:tcPr>
          <w:p>
            <w:pPr>
              <w:spacing w:after="0"/>
              <w:rPr>
                <w:sz w:val="14"/>
                <w:szCs w:val="14"/>
                <w:color w:val="auto"/>
              </w:rPr>
            </w:pPr>
          </w:p>
        </w:tc>
        <w:tc>
          <w:tcPr>
            <w:tcW w:w="3400" w:type="dxa"/>
            <w:vAlign w:val="bottom"/>
            <w:shd w:val="clear" w:color="auto" w:fill="C00000"/>
          </w:tcPr>
          <w:p>
            <w:pPr>
              <w:spacing w:after="0"/>
              <w:rPr>
                <w:sz w:val="14"/>
                <w:szCs w:val="14"/>
                <w:color w:val="auto"/>
              </w:rPr>
            </w:pPr>
          </w:p>
        </w:tc>
        <w:tc>
          <w:tcPr>
            <w:tcW w:w="142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Board</w:t>
            </w:r>
          </w:p>
        </w:tc>
        <w:tc>
          <w:tcPr>
            <w:tcW w:w="2220" w:type="dxa"/>
            <w:vAlign w:val="bottom"/>
            <w:shd w:val="clear" w:color="auto" w:fill="C00000"/>
          </w:tcPr>
          <w:p>
            <w:pPr>
              <w:ind w:left="140"/>
              <w:spacing w:after="0"/>
              <w:rPr>
                <w:sz w:val="20"/>
                <w:szCs w:val="20"/>
                <w:color w:val="auto"/>
              </w:rPr>
            </w:pPr>
            <w:r>
              <w:rPr>
                <w:rFonts w:ascii="Arial" w:cs="Arial" w:eastAsia="Arial" w:hAnsi="Arial"/>
                <w:sz w:val="14"/>
                <w:szCs w:val="14"/>
                <w:b w:val="1"/>
                <w:bCs w:val="1"/>
                <w:color w:val="FFFFFF"/>
              </w:rPr>
              <w:t>Available Voting</w:t>
            </w:r>
          </w:p>
        </w:tc>
        <w:tc>
          <w:tcPr>
            <w:tcW w:w="218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Voting Approval</w:t>
            </w:r>
          </w:p>
        </w:tc>
        <w:tc>
          <w:tcPr>
            <w:tcW w:w="9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Withhold or</w:t>
            </w:r>
          </w:p>
        </w:tc>
        <w:tc>
          <w:tcPr>
            <w:tcW w:w="1000" w:type="dxa"/>
            <w:vAlign w:val="bottom"/>
            <w:shd w:val="clear" w:color="auto" w:fill="C00000"/>
          </w:tcPr>
          <w:p>
            <w:pPr>
              <w:ind w:left="100"/>
              <w:spacing w:after="0"/>
              <w:rPr>
                <w:sz w:val="20"/>
                <w:szCs w:val="20"/>
                <w:color w:val="auto"/>
              </w:rPr>
            </w:pPr>
            <w:r>
              <w:rPr>
                <w:rFonts w:ascii="Arial" w:cs="Arial" w:eastAsia="Arial" w:hAnsi="Arial"/>
                <w:sz w:val="14"/>
                <w:szCs w:val="14"/>
                <w:b w:val="1"/>
                <w:bCs w:val="1"/>
                <w:color w:val="FFFFFF"/>
              </w:rPr>
              <w:t>Broker Non-</w:t>
            </w:r>
          </w:p>
        </w:tc>
      </w:tr>
      <w:tr>
        <w:trPr>
          <w:trHeight w:val="189"/>
        </w:trPr>
        <w:tc>
          <w:tcPr>
            <w:tcW w:w="3620" w:type="dxa"/>
            <w:vAlign w:val="bottom"/>
            <w:gridSpan w:val="2"/>
            <w:shd w:val="clear" w:color="auto" w:fill="C00000"/>
          </w:tcPr>
          <w:p>
            <w:pPr>
              <w:spacing w:after="0"/>
              <w:rPr>
                <w:sz w:val="20"/>
                <w:szCs w:val="20"/>
                <w:color w:val="auto"/>
              </w:rPr>
            </w:pPr>
            <w:r>
              <w:rPr>
                <w:rFonts w:ascii="Arial" w:cs="Arial" w:eastAsia="Arial" w:hAnsi="Arial"/>
                <w:sz w:val="14"/>
                <w:szCs w:val="14"/>
                <w:b w:val="1"/>
                <w:bCs w:val="1"/>
                <w:color w:val="FFFFFF"/>
              </w:rPr>
              <w:t>Proposal</w:t>
            </w:r>
          </w:p>
        </w:tc>
        <w:tc>
          <w:tcPr>
            <w:tcW w:w="142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Recommendation</w:t>
            </w:r>
          </w:p>
        </w:tc>
        <w:tc>
          <w:tcPr>
            <w:tcW w:w="2220" w:type="dxa"/>
            <w:vAlign w:val="bottom"/>
            <w:shd w:val="clear" w:color="auto" w:fill="C00000"/>
          </w:tcPr>
          <w:p>
            <w:pPr>
              <w:ind w:left="140"/>
              <w:spacing w:after="0"/>
              <w:rPr>
                <w:sz w:val="20"/>
                <w:szCs w:val="20"/>
                <w:color w:val="auto"/>
              </w:rPr>
            </w:pPr>
            <w:r>
              <w:rPr>
                <w:rFonts w:ascii="Arial" w:cs="Arial" w:eastAsia="Arial" w:hAnsi="Arial"/>
                <w:sz w:val="14"/>
                <w:szCs w:val="14"/>
                <w:b w:val="1"/>
                <w:bCs w:val="1"/>
                <w:color w:val="FFFFFF"/>
              </w:rPr>
              <w:t>Selections</w:t>
            </w:r>
          </w:p>
        </w:tc>
        <w:tc>
          <w:tcPr>
            <w:tcW w:w="218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Standard</w:t>
            </w:r>
          </w:p>
        </w:tc>
        <w:tc>
          <w:tcPr>
            <w:tcW w:w="98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Abstention</w:t>
            </w:r>
          </w:p>
        </w:tc>
        <w:tc>
          <w:tcPr>
            <w:tcW w:w="1000" w:type="dxa"/>
            <w:vAlign w:val="bottom"/>
            <w:shd w:val="clear" w:color="auto" w:fill="C00000"/>
          </w:tcPr>
          <w:p>
            <w:pPr>
              <w:ind w:left="100"/>
              <w:spacing w:after="0"/>
              <w:rPr>
                <w:sz w:val="20"/>
                <w:szCs w:val="20"/>
                <w:color w:val="auto"/>
              </w:rPr>
            </w:pPr>
            <w:r>
              <w:rPr>
                <w:rFonts w:ascii="Arial" w:cs="Arial" w:eastAsia="Arial" w:hAnsi="Arial"/>
                <w:sz w:val="14"/>
                <w:szCs w:val="14"/>
                <w:b w:val="1"/>
                <w:bCs w:val="1"/>
                <w:color w:val="FFFFFF"/>
              </w:rPr>
              <w:t>Vote</w:t>
            </w:r>
          </w:p>
        </w:tc>
      </w:tr>
      <w:tr>
        <w:trPr>
          <w:trHeight w:val="231"/>
        </w:trPr>
        <w:tc>
          <w:tcPr>
            <w:tcW w:w="220" w:type="dxa"/>
            <w:vAlign w:val="bottom"/>
          </w:tcPr>
          <w:p>
            <w:pPr>
              <w:spacing w:after="0"/>
              <w:rPr>
                <w:sz w:val="20"/>
                <w:szCs w:val="20"/>
                <w:color w:val="auto"/>
              </w:rPr>
            </w:pPr>
            <w:r>
              <w:rPr>
                <w:rFonts w:ascii="Arial" w:cs="Arial" w:eastAsia="Arial" w:hAnsi="Arial"/>
                <w:sz w:val="16"/>
                <w:szCs w:val="16"/>
                <w:color w:val="auto"/>
              </w:rPr>
              <w:t>1.</w:t>
            </w:r>
          </w:p>
        </w:tc>
        <w:tc>
          <w:tcPr>
            <w:tcW w:w="3400" w:type="dxa"/>
            <w:vAlign w:val="bottom"/>
          </w:tcPr>
          <w:p>
            <w:pPr>
              <w:ind w:left="80"/>
              <w:spacing w:after="0"/>
              <w:rPr>
                <w:sz w:val="20"/>
                <w:szCs w:val="20"/>
                <w:color w:val="auto"/>
              </w:rPr>
            </w:pPr>
            <w:r>
              <w:rPr>
                <w:rFonts w:ascii="Arial" w:cs="Arial" w:eastAsia="Arial" w:hAnsi="Arial"/>
                <w:sz w:val="16"/>
                <w:szCs w:val="16"/>
                <w:color w:val="auto"/>
              </w:rPr>
              <w:t>Election of four directors, each to</w:t>
            </w: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four</w:t>
            </w:r>
          </w:p>
        </w:tc>
        <w:tc>
          <w:tcPr>
            <w:tcW w:w="2220" w:type="dxa"/>
            <w:vAlign w:val="bottom"/>
          </w:tcPr>
          <w:p>
            <w:pPr>
              <w:ind w:left="140"/>
              <w:spacing w:after="0"/>
              <w:rPr>
                <w:sz w:val="20"/>
                <w:szCs w:val="20"/>
                <w:color w:val="auto"/>
              </w:rPr>
            </w:pPr>
            <w:r>
              <w:rPr>
                <w:rFonts w:ascii="Arial" w:cs="Arial" w:eastAsia="Arial" w:hAnsi="Arial"/>
                <w:sz w:val="16"/>
                <w:szCs w:val="16"/>
                <w:color w:val="auto"/>
              </w:rPr>
              <w:t>FOR all four nominees;</w:t>
            </w:r>
          </w:p>
        </w:tc>
        <w:tc>
          <w:tcPr>
            <w:tcW w:w="2180" w:type="dxa"/>
            <w:vAlign w:val="bottom"/>
          </w:tcPr>
          <w:p>
            <w:pPr>
              <w:ind w:left="80"/>
              <w:spacing w:after="0"/>
              <w:rPr>
                <w:sz w:val="20"/>
                <w:szCs w:val="20"/>
                <w:color w:val="auto"/>
              </w:rPr>
            </w:pPr>
            <w:r>
              <w:rPr>
                <w:rFonts w:ascii="Arial" w:cs="Arial" w:eastAsia="Arial" w:hAnsi="Arial"/>
                <w:sz w:val="16"/>
                <w:szCs w:val="16"/>
                <w:color w:val="auto"/>
              </w:rPr>
              <w:t>Plurality: the individuals who</w:t>
            </w:r>
          </w:p>
        </w:tc>
        <w:tc>
          <w:tcPr>
            <w:tcW w:w="980" w:type="dxa"/>
            <w:vAlign w:val="bottom"/>
          </w:tcPr>
          <w:p>
            <w:pPr>
              <w:ind w:left="60"/>
              <w:spacing w:after="0"/>
              <w:rPr>
                <w:sz w:val="20"/>
                <w:szCs w:val="20"/>
                <w:color w:val="auto"/>
              </w:rPr>
            </w:pPr>
            <w:r>
              <w:rPr>
                <w:rFonts w:ascii="Arial" w:cs="Arial" w:eastAsia="Arial" w:hAnsi="Arial"/>
                <w:sz w:val="16"/>
                <w:szCs w:val="16"/>
                <w:color w:val="auto"/>
              </w:rPr>
              <w:t>Counted as</w:t>
            </w:r>
          </w:p>
        </w:tc>
        <w:tc>
          <w:tcPr>
            <w:tcW w:w="1000" w:type="dxa"/>
            <w:vAlign w:val="bottom"/>
          </w:tcPr>
          <w:p>
            <w:pPr>
              <w:ind w:left="100"/>
              <w:spacing w:after="0"/>
              <w:rPr>
                <w:sz w:val="20"/>
                <w:szCs w:val="20"/>
                <w:color w:val="auto"/>
              </w:rPr>
            </w:pPr>
            <w:r>
              <w:rPr>
                <w:rFonts w:ascii="Arial" w:cs="Arial" w:eastAsia="Arial" w:hAnsi="Arial"/>
                <w:sz w:val="16"/>
                <w:szCs w:val="16"/>
                <w:color w:val="auto"/>
              </w:rPr>
              <w:t>No effect</w:t>
            </w:r>
          </w:p>
        </w:tc>
      </w:tr>
      <w:tr>
        <w:trPr>
          <w:trHeight w:val="189"/>
        </w:trPr>
        <w:tc>
          <w:tcPr>
            <w:tcW w:w="220" w:type="dxa"/>
            <w:vAlign w:val="bottom"/>
          </w:tcPr>
          <w:p>
            <w:pPr>
              <w:spacing w:after="0"/>
              <w:rPr>
                <w:sz w:val="16"/>
                <w:szCs w:val="16"/>
                <w:color w:val="auto"/>
              </w:rPr>
            </w:pPr>
          </w:p>
        </w:tc>
        <w:tc>
          <w:tcPr>
            <w:tcW w:w="3400" w:type="dxa"/>
            <w:vAlign w:val="bottom"/>
          </w:tcPr>
          <w:p>
            <w:pPr>
              <w:ind w:left="80"/>
              <w:spacing w:after="0"/>
              <w:rPr>
                <w:sz w:val="20"/>
                <w:szCs w:val="20"/>
                <w:color w:val="auto"/>
              </w:rPr>
            </w:pPr>
            <w:r>
              <w:rPr>
                <w:rFonts w:ascii="Arial" w:cs="Arial" w:eastAsia="Arial" w:hAnsi="Arial"/>
                <w:sz w:val="16"/>
                <w:szCs w:val="16"/>
                <w:color w:val="auto"/>
              </w:rPr>
              <w:t>serve for a term of three years ending at the</w:t>
            </w:r>
          </w:p>
        </w:tc>
        <w:tc>
          <w:tcPr>
            <w:tcW w:w="1420" w:type="dxa"/>
            <w:vAlign w:val="bottom"/>
          </w:tcPr>
          <w:p>
            <w:pPr>
              <w:ind w:left="80"/>
              <w:spacing w:after="0"/>
              <w:rPr>
                <w:sz w:val="20"/>
                <w:szCs w:val="20"/>
                <w:color w:val="auto"/>
              </w:rPr>
            </w:pPr>
            <w:r>
              <w:rPr>
                <w:rFonts w:ascii="Arial" w:cs="Arial" w:eastAsia="Arial" w:hAnsi="Arial"/>
                <w:sz w:val="16"/>
                <w:szCs w:val="16"/>
                <w:color w:val="auto"/>
              </w:rPr>
              <w:t>nominees</w:t>
            </w:r>
          </w:p>
        </w:tc>
        <w:tc>
          <w:tcPr>
            <w:tcW w:w="2220" w:type="dxa"/>
            <w:vAlign w:val="bottom"/>
          </w:tcPr>
          <w:p>
            <w:pPr>
              <w:ind w:left="140"/>
              <w:spacing w:after="0"/>
              <w:rPr>
                <w:sz w:val="20"/>
                <w:szCs w:val="20"/>
                <w:color w:val="auto"/>
              </w:rPr>
            </w:pPr>
            <w:r>
              <w:rPr>
                <w:rFonts w:ascii="Arial" w:cs="Arial" w:eastAsia="Arial" w:hAnsi="Arial"/>
                <w:sz w:val="16"/>
                <w:szCs w:val="16"/>
                <w:color w:val="auto"/>
              </w:rPr>
              <w:t>WITHHOLD from all four</w:t>
            </w:r>
          </w:p>
        </w:tc>
        <w:tc>
          <w:tcPr>
            <w:tcW w:w="2180" w:type="dxa"/>
            <w:vAlign w:val="bottom"/>
          </w:tcPr>
          <w:p>
            <w:pPr>
              <w:ind w:left="80"/>
              <w:spacing w:after="0"/>
              <w:rPr>
                <w:sz w:val="20"/>
                <w:szCs w:val="20"/>
                <w:color w:val="auto"/>
              </w:rPr>
            </w:pPr>
            <w:r>
              <w:rPr>
                <w:rFonts w:ascii="Arial" w:cs="Arial" w:eastAsia="Arial" w:hAnsi="Arial"/>
                <w:sz w:val="16"/>
                <w:szCs w:val="16"/>
                <w:color w:val="auto"/>
              </w:rPr>
              <w:t>receive the greatest number</w:t>
            </w:r>
          </w:p>
        </w:tc>
        <w:tc>
          <w:tcPr>
            <w:tcW w:w="980" w:type="dxa"/>
            <w:vAlign w:val="bottom"/>
          </w:tcPr>
          <w:p>
            <w:pPr>
              <w:ind w:left="60"/>
              <w:spacing w:after="0"/>
              <w:rPr>
                <w:sz w:val="20"/>
                <w:szCs w:val="20"/>
                <w:color w:val="auto"/>
              </w:rPr>
            </w:pPr>
            <w:r>
              <w:rPr>
                <w:rFonts w:ascii="Arial" w:cs="Arial" w:eastAsia="Arial" w:hAnsi="Arial"/>
                <w:sz w:val="16"/>
                <w:szCs w:val="16"/>
                <w:color w:val="auto"/>
              </w:rPr>
              <w:t>a vote</w:t>
            </w:r>
          </w:p>
        </w:tc>
        <w:tc>
          <w:tcPr>
            <w:tcW w:w="1000" w:type="dxa"/>
            <w:vAlign w:val="bottom"/>
          </w:tcPr>
          <w:p>
            <w:pPr>
              <w:spacing w:after="0"/>
              <w:rPr>
                <w:sz w:val="16"/>
                <w:szCs w:val="16"/>
                <w:color w:val="auto"/>
              </w:rPr>
            </w:pPr>
          </w:p>
        </w:tc>
      </w:tr>
      <w:tr>
        <w:trPr>
          <w:trHeight w:val="184"/>
        </w:trPr>
        <w:tc>
          <w:tcPr>
            <w:tcW w:w="220" w:type="dxa"/>
            <w:vAlign w:val="bottom"/>
          </w:tcPr>
          <w:p>
            <w:pPr>
              <w:spacing w:after="0"/>
              <w:rPr>
                <w:sz w:val="16"/>
                <w:szCs w:val="16"/>
                <w:color w:val="auto"/>
              </w:rPr>
            </w:pPr>
          </w:p>
        </w:tc>
        <w:tc>
          <w:tcPr>
            <w:tcW w:w="3400" w:type="dxa"/>
            <w:vAlign w:val="bottom"/>
          </w:tcPr>
          <w:p>
            <w:pPr>
              <w:ind w:left="80"/>
              <w:spacing w:after="0"/>
              <w:rPr>
                <w:sz w:val="20"/>
                <w:szCs w:val="20"/>
                <w:color w:val="auto"/>
              </w:rPr>
            </w:pPr>
            <w:r>
              <w:rPr>
                <w:rFonts w:ascii="Arial" w:cs="Arial" w:eastAsia="Arial" w:hAnsi="Arial"/>
                <w:sz w:val="16"/>
                <w:szCs w:val="16"/>
                <w:color w:val="auto"/>
              </w:rPr>
              <w:t>2021 Annual Meeting of Shareholders</w:t>
            </w:r>
          </w:p>
        </w:tc>
        <w:tc>
          <w:tcPr>
            <w:tcW w:w="1420" w:type="dxa"/>
            <w:vAlign w:val="bottom"/>
          </w:tcPr>
          <w:p>
            <w:pPr>
              <w:spacing w:after="0"/>
              <w:rPr>
                <w:sz w:val="16"/>
                <w:szCs w:val="16"/>
                <w:color w:val="auto"/>
              </w:rPr>
            </w:pPr>
          </w:p>
        </w:tc>
        <w:tc>
          <w:tcPr>
            <w:tcW w:w="2220" w:type="dxa"/>
            <w:vAlign w:val="bottom"/>
          </w:tcPr>
          <w:p>
            <w:pPr>
              <w:ind w:left="140"/>
              <w:spacing w:after="0"/>
              <w:rPr>
                <w:sz w:val="20"/>
                <w:szCs w:val="20"/>
                <w:color w:val="auto"/>
              </w:rPr>
            </w:pPr>
            <w:r>
              <w:rPr>
                <w:rFonts w:ascii="Arial" w:cs="Arial" w:eastAsia="Arial" w:hAnsi="Arial"/>
                <w:sz w:val="16"/>
                <w:szCs w:val="16"/>
                <w:color w:val="auto"/>
              </w:rPr>
              <w:t>nominees; or WITHHOLD</w:t>
            </w:r>
          </w:p>
        </w:tc>
        <w:tc>
          <w:tcPr>
            <w:tcW w:w="2180" w:type="dxa"/>
            <w:vAlign w:val="bottom"/>
          </w:tcPr>
          <w:p>
            <w:pPr>
              <w:ind w:left="80"/>
              <w:spacing w:after="0"/>
              <w:rPr>
                <w:sz w:val="20"/>
                <w:szCs w:val="20"/>
                <w:color w:val="auto"/>
              </w:rPr>
            </w:pPr>
            <w:r>
              <w:rPr>
                <w:rFonts w:ascii="Arial" w:cs="Arial" w:eastAsia="Arial" w:hAnsi="Arial"/>
                <w:sz w:val="16"/>
                <w:szCs w:val="16"/>
                <w:color w:val="auto"/>
              </w:rPr>
              <w:t>of votes cast “for” are</w:t>
            </w:r>
          </w:p>
        </w:tc>
        <w:tc>
          <w:tcPr>
            <w:tcW w:w="980" w:type="dxa"/>
            <w:vAlign w:val="bottom"/>
          </w:tcPr>
          <w:p>
            <w:pPr>
              <w:ind w:left="60"/>
              <w:spacing w:after="0"/>
              <w:rPr>
                <w:sz w:val="20"/>
                <w:szCs w:val="20"/>
                <w:color w:val="auto"/>
              </w:rPr>
            </w:pPr>
            <w:r>
              <w:rPr>
                <w:rFonts w:ascii="Arial" w:cs="Arial" w:eastAsia="Arial" w:hAnsi="Arial"/>
                <w:sz w:val="16"/>
                <w:szCs w:val="16"/>
                <w:color w:val="auto"/>
              </w:rPr>
              <w:t>against</w:t>
            </w:r>
          </w:p>
        </w:tc>
        <w:tc>
          <w:tcPr>
            <w:tcW w:w="1000" w:type="dxa"/>
            <w:vAlign w:val="bottom"/>
          </w:tcPr>
          <w:p>
            <w:pPr>
              <w:spacing w:after="0"/>
              <w:rPr>
                <w:sz w:val="16"/>
                <w:szCs w:val="16"/>
                <w:color w:val="auto"/>
              </w:rPr>
            </w:pPr>
          </w:p>
        </w:tc>
      </w:tr>
      <w:tr>
        <w:trPr>
          <w:trHeight w:val="206"/>
        </w:trPr>
        <w:tc>
          <w:tcPr>
            <w:tcW w:w="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20" w:type="dxa"/>
            <w:vAlign w:val="bottom"/>
          </w:tcPr>
          <w:p>
            <w:pPr>
              <w:ind w:left="140"/>
              <w:spacing w:after="0"/>
              <w:rPr>
                <w:sz w:val="20"/>
                <w:szCs w:val="20"/>
                <w:color w:val="auto"/>
              </w:rPr>
            </w:pPr>
            <w:r>
              <w:rPr>
                <w:rFonts w:ascii="Arial" w:cs="Arial" w:eastAsia="Arial" w:hAnsi="Arial"/>
                <w:sz w:val="16"/>
                <w:szCs w:val="16"/>
                <w:color w:val="auto"/>
              </w:rPr>
              <w:t>from one or more nominees</w:t>
            </w:r>
          </w:p>
        </w:tc>
        <w:tc>
          <w:tcPr>
            <w:tcW w:w="2180" w:type="dxa"/>
            <w:vAlign w:val="bottom"/>
          </w:tcPr>
          <w:p>
            <w:pPr>
              <w:ind w:left="80"/>
              <w:spacing w:after="0" w:line="205" w:lineRule="exact"/>
              <w:rPr>
                <w:sz w:val="20"/>
                <w:szCs w:val="20"/>
                <w:color w:val="auto"/>
              </w:rPr>
            </w:pPr>
            <w:r>
              <w:rPr>
                <w:rFonts w:ascii="Arial" w:cs="Arial" w:eastAsia="Arial" w:hAnsi="Arial"/>
                <w:sz w:val="14"/>
                <w:szCs w:val="14"/>
                <w:color w:val="auto"/>
              </w:rPr>
              <w:t>elected as directors</w:t>
            </w:r>
            <w:r>
              <w:rPr>
                <w:rFonts w:ascii="Arial" w:cs="Arial" w:eastAsia="Arial" w:hAnsi="Arial"/>
                <w:sz w:val="23"/>
                <w:szCs w:val="23"/>
                <w:color w:val="auto"/>
                <w:vertAlign w:val="superscript"/>
              </w:rPr>
              <w:t>(1)</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1"/>
        </w:trPr>
        <w:tc>
          <w:tcPr>
            <w:tcW w:w="220" w:type="dxa"/>
            <w:vAlign w:val="bottom"/>
            <w:shd w:val="clear" w:color="auto" w:fill="D9D9D9"/>
          </w:tcPr>
          <w:p>
            <w:pPr>
              <w:spacing w:after="0"/>
              <w:rPr>
                <w:sz w:val="20"/>
                <w:szCs w:val="20"/>
                <w:color w:val="auto"/>
              </w:rPr>
            </w:pPr>
            <w:r>
              <w:rPr>
                <w:rFonts w:ascii="Arial" w:cs="Arial" w:eastAsia="Arial" w:hAnsi="Arial"/>
                <w:sz w:val="16"/>
                <w:szCs w:val="16"/>
                <w:color w:val="auto"/>
              </w:rPr>
              <w:t>2.</w:t>
            </w:r>
          </w:p>
        </w:tc>
        <w:tc>
          <w:tcPr>
            <w:tcW w:w="3400" w:type="dxa"/>
            <w:vAlign w:val="bottom"/>
            <w:shd w:val="clear" w:color="auto" w:fill="D9D9D9"/>
          </w:tcPr>
          <w:p>
            <w:pPr>
              <w:ind w:left="80"/>
              <w:spacing w:after="0"/>
              <w:rPr>
                <w:sz w:val="20"/>
                <w:szCs w:val="20"/>
                <w:color w:val="auto"/>
              </w:rPr>
            </w:pPr>
            <w:r>
              <w:rPr>
                <w:rFonts w:ascii="Arial" w:cs="Arial" w:eastAsia="Arial" w:hAnsi="Arial"/>
                <w:sz w:val="16"/>
                <w:szCs w:val="16"/>
                <w:color w:val="auto"/>
              </w:rPr>
              <w:t>Ratification of the selection of KPMG LLP as</w:t>
            </w:r>
          </w:p>
        </w:tc>
        <w:tc>
          <w:tcPr>
            <w:tcW w:w="1420" w:type="dxa"/>
            <w:vAlign w:val="bottom"/>
            <w:shd w:val="clear" w:color="auto" w:fill="D9D9D9"/>
          </w:tcPr>
          <w:p>
            <w:pPr>
              <w:ind w:left="80"/>
              <w:spacing w:after="0"/>
              <w:rPr>
                <w:sz w:val="20"/>
                <w:szCs w:val="20"/>
                <w:color w:val="auto"/>
              </w:rPr>
            </w:pPr>
            <w:r>
              <w:rPr>
                <w:rFonts w:ascii="Arial" w:cs="Arial" w:eastAsia="Arial" w:hAnsi="Arial"/>
                <w:sz w:val="16"/>
                <w:szCs w:val="16"/>
                <w:b w:val="1"/>
                <w:bCs w:val="1"/>
                <w:color w:val="auto"/>
              </w:rPr>
              <w:t>FOR</w:t>
            </w:r>
          </w:p>
        </w:tc>
        <w:tc>
          <w:tcPr>
            <w:tcW w:w="22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FOR; AGAINST;</w:t>
            </w:r>
          </w:p>
        </w:tc>
        <w:tc>
          <w:tcPr>
            <w:tcW w:w="2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Majority of shares present</w:t>
            </w:r>
          </w:p>
        </w:tc>
        <w:tc>
          <w:tcPr>
            <w:tcW w:w="98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Counted as</w:t>
            </w:r>
          </w:p>
        </w:tc>
        <w:tc>
          <w:tcPr>
            <w:tcW w:w="10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Not</w:t>
            </w:r>
          </w:p>
        </w:tc>
      </w:tr>
      <w:tr>
        <w:trPr>
          <w:trHeight w:val="189"/>
        </w:trPr>
        <w:tc>
          <w:tcPr>
            <w:tcW w:w="220" w:type="dxa"/>
            <w:vAlign w:val="bottom"/>
            <w:shd w:val="clear" w:color="auto" w:fill="D9D9D9"/>
          </w:tcPr>
          <w:p>
            <w:pPr>
              <w:spacing w:after="0"/>
              <w:rPr>
                <w:sz w:val="16"/>
                <w:szCs w:val="16"/>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6"/>
                <w:szCs w:val="16"/>
                <w:color w:val="auto"/>
              </w:rPr>
              <w:t>our independent registered public accounting</w:t>
            </w:r>
          </w:p>
        </w:tc>
        <w:tc>
          <w:tcPr>
            <w:tcW w:w="1420" w:type="dxa"/>
            <w:vAlign w:val="bottom"/>
            <w:shd w:val="clear" w:color="auto" w:fill="D9D9D9"/>
          </w:tcPr>
          <w:p>
            <w:pPr>
              <w:spacing w:after="0"/>
              <w:rPr>
                <w:sz w:val="16"/>
                <w:szCs w:val="16"/>
                <w:color w:val="auto"/>
              </w:rPr>
            </w:pPr>
          </w:p>
        </w:tc>
        <w:tc>
          <w:tcPr>
            <w:tcW w:w="2220" w:type="dxa"/>
            <w:vAlign w:val="bottom"/>
            <w:shd w:val="clear" w:color="auto" w:fill="D9D9D9"/>
          </w:tcPr>
          <w:p>
            <w:pPr>
              <w:ind w:left="140"/>
              <w:spacing w:after="0"/>
              <w:rPr>
                <w:sz w:val="20"/>
                <w:szCs w:val="20"/>
                <w:color w:val="auto"/>
              </w:rPr>
            </w:pPr>
            <w:r>
              <w:rPr>
                <w:rFonts w:ascii="Arial" w:cs="Arial" w:eastAsia="Arial" w:hAnsi="Arial"/>
                <w:sz w:val="16"/>
                <w:szCs w:val="16"/>
                <w:color w:val="auto"/>
              </w:rPr>
              <w:t>or ABSTAIN</w:t>
            </w:r>
          </w:p>
        </w:tc>
        <w:tc>
          <w:tcPr>
            <w:tcW w:w="2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and entitled to vote</w:t>
            </w:r>
          </w:p>
        </w:tc>
        <w:tc>
          <w:tcPr>
            <w:tcW w:w="9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 vote</w:t>
            </w:r>
          </w:p>
        </w:tc>
        <w:tc>
          <w:tcPr>
            <w:tcW w:w="10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applicable</w:t>
            </w:r>
          </w:p>
        </w:tc>
      </w:tr>
      <w:tr>
        <w:trPr>
          <w:trHeight w:val="189"/>
        </w:trPr>
        <w:tc>
          <w:tcPr>
            <w:tcW w:w="220" w:type="dxa"/>
            <w:vAlign w:val="bottom"/>
            <w:shd w:val="clear" w:color="auto" w:fill="D9D9D9"/>
          </w:tcPr>
          <w:p>
            <w:pPr>
              <w:spacing w:after="0"/>
              <w:rPr>
                <w:sz w:val="16"/>
                <w:szCs w:val="16"/>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6"/>
                <w:szCs w:val="16"/>
                <w:color w:val="auto"/>
              </w:rPr>
              <w:t>firm for our fiscal year ending October 31,</w:t>
            </w:r>
          </w:p>
        </w:tc>
        <w:tc>
          <w:tcPr>
            <w:tcW w:w="1420" w:type="dxa"/>
            <w:vAlign w:val="bottom"/>
            <w:shd w:val="clear" w:color="auto" w:fill="D9D9D9"/>
          </w:tcPr>
          <w:p>
            <w:pPr>
              <w:spacing w:after="0"/>
              <w:rPr>
                <w:sz w:val="16"/>
                <w:szCs w:val="16"/>
                <w:color w:val="auto"/>
              </w:rPr>
            </w:pPr>
          </w:p>
        </w:tc>
        <w:tc>
          <w:tcPr>
            <w:tcW w:w="2220" w:type="dxa"/>
            <w:vAlign w:val="bottom"/>
            <w:shd w:val="clear" w:color="auto" w:fill="D9D9D9"/>
          </w:tcPr>
          <w:p>
            <w:pPr>
              <w:spacing w:after="0"/>
              <w:rPr>
                <w:sz w:val="16"/>
                <w:szCs w:val="16"/>
                <w:color w:val="auto"/>
              </w:rPr>
            </w:pPr>
          </w:p>
        </w:tc>
        <w:tc>
          <w:tcPr>
            <w:tcW w:w="2180" w:type="dxa"/>
            <w:vAlign w:val="bottom"/>
            <w:shd w:val="clear" w:color="auto" w:fill="D9D9D9"/>
          </w:tcPr>
          <w:p>
            <w:pPr>
              <w:spacing w:after="0"/>
              <w:rPr>
                <w:sz w:val="16"/>
                <w:szCs w:val="16"/>
                <w:color w:val="auto"/>
              </w:rPr>
            </w:pPr>
          </w:p>
        </w:tc>
        <w:tc>
          <w:tcPr>
            <w:tcW w:w="9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against</w:t>
            </w:r>
          </w:p>
        </w:tc>
        <w:tc>
          <w:tcPr>
            <w:tcW w:w="1000" w:type="dxa"/>
            <w:vAlign w:val="bottom"/>
            <w:shd w:val="clear" w:color="auto" w:fill="D9D9D9"/>
          </w:tcPr>
          <w:p>
            <w:pPr>
              <w:spacing w:after="0"/>
              <w:rPr>
                <w:sz w:val="16"/>
                <w:szCs w:val="16"/>
                <w:color w:val="auto"/>
              </w:rPr>
            </w:pPr>
          </w:p>
        </w:tc>
      </w:tr>
      <w:tr>
        <w:trPr>
          <w:trHeight w:val="201"/>
        </w:trPr>
        <w:tc>
          <w:tcPr>
            <w:tcW w:w="220" w:type="dxa"/>
            <w:vAlign w:val="bottom"/>
            <w:shd w:val="clear" w:color="auto" w:fill="D9D9D9"/>
          </w:tcPr>
          <w:p>
            <w:pPr>
              <w:spacing w:after="0"/>
              <w:rPr>
                <w:sz w:val="17"/>
                <w:szCs w:val="17"/>
                <w:color w:val="auto"/>
              </w:rPr>
            </w:pPr>
          </w:p>
        </w:tc>
        <w:tc>
          <w:tcPr>
            <w:tcW w:w="3400" w:type="dxa"/>
            <w:vAlign w:val="bottom"/>
            <w:shd w:val="clear" w:color="auto" w:fill="D9D9D9"/>
          </w:tcPr>
          <w:p>
            <w:pPr>
              <w:ind w:left="80"/>
              <w:spacing w:after="0"/>
              <w:rPr>
                <w:sz w:val="20"/>
                <w:szCs w:val="20"/>
                <w:color w:val="auto"/>
              </w:rPr>
            </w:pPr>
            <w:r>
              <w:rPr>
                <w:rFonts w:ascii="Arial" w:cs="Arial" w:eastAsia="Arial" w:hAnsi="Arial"/>
                <w:sz w:val="16"/>
                <w:szCs w:val="16"/>
                <w:color w:val="auto"/>
              </w:rPr>
              <w:t>2018</w:t>
            </w:r>
          </w:p>
        </w:tc>
        <w:tc>
          <w:tcPr>
            <w:tcW w:w="1420" w:type="dxa"/>
            <w:vAlign w:val="bottom"/>
            <w:shd w:val="clear" w:color="auto" w:fill="D9D9D9"/>
          </w:tcPr>
          <w:p>
            <w:pPr>
              <w:spacing w:after="0"/>
              <w:rPr>
                <w:sz w:val="17"/>
                <w:szCs w:val="17"/>
                <w:color w:val="auto"/>
              </w:rPr>
            </w:pPr>
          </w:p>
        </w:tc>
        <w:tc>
          <w:tcPr>
            <w:tcW w:w="2220" w:type="dxa"/>
            <w:vAlign w:val="bottom"/>
            <w:shd w:val="clear" w:color="auto" w:fill="D9D9D9"/>
          </w:tcPr>
          <w:p>
            <w:pPr>
              <w:spacing w:after="0"/>
              <w:rPr>
                <w:sz w:val="17"/>
                <w:szCs w:val="17"/>
                <w:color w:val="auto"/>
              </w:rPr>
            </w:pPr>
          </w:p>
        </w:tc>
        <w:tc>
          <w:tcPr>
            <w:tcW w:w="2180" w:type="dxa"/>
            <w:vAlign w:val="bottom"/>
            <w:shd w:val="clear" w:color="auto" w:fill="D9D9D9"/>
          </w:tcPr>
          <w:p>
            <w:pPr>
              <w:spacing w:after="0"/>
              <w:rPr>
                <w:sz w:val="17"/>
                <w:szCs w:val="17"/>
                <w:color w:val="auto"/>
              </w:rPr>
            </w:pPr>
          </w:p>
        </w:tc>
        <w:tc>
          <w:tcPr>
            <w:tcW w:w="9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r>
      <w:tr>
        <w:trPr>
          <w:trHeight w:val="186"/>
        </w:trPr>
        <w:tc>
          <w:tcPr>
            <w:tcW w:w="220" w:type="dxa"/>
            <w:vAlign w:val="bottom"/>
          </w:tcPr>
          <w:p>
            <w:pPr>
              <w:spacing w:after="0"/>
              <w:rPr>
                <w:sz w:val="20"/>
                <w:szCs w:val="20"/>
                <w:color w:val="auto"/>
              </w:rPr>
            </w:pPr>
            <w:r>
              <w:rPr>
                <w:rFonts w:ascii="Arial" w:cs="Arial" w:eastAsia="Arial" w:hAnsi="Arial"/>
                <w:sz w:val="16"/>
                <w:szCs w:val="16"/>
                <w:color w:val="auto"/>
              </w:rPr>
              <w:t>3.</w:t>
            </w:r>
          </w:p>
        </w:tc>
        <w:tc>
          <w:tcPr>
            <w:tcW w:w="3400" w:type="dxa"/>
            <w:vAlign w:val="bottom"/>
          </w:tcPr>
          <w:p>
            <w:pPr>
              <w:ind w:left="80"/>
              <w:spacing w:after="0"/>
              <w:rPr>
                <w:sz w:val="20"/>
                <w:szCs w:val="20"/>
                <w:color w:val="auto"/>
              </w:rPr>
            </w:pPr>
            <w:r>
              <w:rPr>
                <w:rFonts w:ascii="Arial" w:cs="Arial" w:eastAsia="Arial" w:hAnsi="Arial"/>
                <w:sz w:val="16"/>
                <w:szCs w:val="16"/>
                <w:color w:val="auto"/>
              </w:rPr>
              <w:t>Approval of, on an advisory basis, our</w:t>
            </w: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FOR</w:t>
            </w:r>
          </w:p>
        </w:tc>
        <w:tc>
          <w:tcPr>
            <w:tcW w:w="2220" w:type="dxa"/>
            <w:vAlign w:val="bottom"/>
          </w:tcPr>
          <w:p>
            <w:pPr>
              <w:ind w:left="140"/>
              <w:spacing w:after="0"/>
              <w:rPr>
                <w:sz w:val="20"/>
                <w:szCs w:val="20"/>
                <w:color w:val="auto"/>
              </w:rPr>
            </w:pPr>
            <w:r>
              <w:rPr>
                <w:rFonts w:ascii="Arial" w:cs="Arial" w:eastAsia="Arial" w:hAnsi="Arial"/>
                <w:sz w:val="16"/>
                <w:szCs w:val="16"/>
                <w:color w:val="auto"/>
              </w:rPr>
              <w:t>FOR; AGAINST;</w:t>
            </w:r>
          </w:p>
        </w:tc>
        <w:tc>
          <w:tcPr>
            <w:tcW w:w="2180" w:type="dxa"/>
            <w:vAlign w:val="bottom"/>
          </w:tcPr>
          <w:p>
            <w:pPr>
              <w:ind w:left="80"/>
              <w:spacing w:after="0"/>
              <w:rPr>
                <w:sz w:val="20"/>
                <w:szCs w:val="20"/>
                <w:color w:val="auto"/>
              </w:rPr>
            </w:pPr>
            <w:r>
              <w:rPr>
                <w:rFonts w:ascii="Arial" w:cs="Arial" w:eastAsia="Arial" w:hAnsi="Arial"/>
                <w:sz w:val="16"/>
                <w:szCs w:val="16"/>
                <w:color w:val="auto"/>
              </w:rPr>
              <w:t>Majority of shares present</w:t>
            </w:r>
          </w:p>
        </w:tc>
        <w:tc>
          <w:tcPr>
            <w:tcW w:w="980" w:type="dxa"/>
            <w:vAlign w:val="bottom"/>
          </w:tcPr>
          <w:p>
            <w:pPr>
              <w:ind w:left="60"/>
              <w:spacing w:after="0"/>
              <w:rPr>
                <w:sz w:val="20"/>
                <w:szCs w:val="20"/>
                <w:color w:val="auto"/>
              </w:rPr>
            </w:pPr>
            <w:r>
              <w:rPr>
                <w:rFonts w:ascii="Arial" w:cs="Arial" w:eastAsia="Arial" w:hAnsi="Arial"/>
                <w:sz w:val="16"/>
                <w:szCs w:val="16"/>
                <w:color w:val="auto"/>
              </w:rPr>
              <w:t>Counted as</w:t>
            </w:r>
          </w:p>
        </w:tc>
        <w:tc>
          <w:tcPr>
            <w:tcW w:w="1000" w:type="dxa"/>
            <w:vAlign w:val="bottom"/>
          </w:tcPr>
          <w:p>
            <w:pPr>
              <w:ind w:left="100"/>
              <w:spacing w:after="0"/>
              <w:rPr>
                <w:sz w:val="20"/>
                <w:szCs w:val="20"/>
                <w:color w:val="auto"/>
              </w:rPr>
            </w:pPr>
            <w:r>
              <w:rPr>
                <w:rFonts w:ascii="Arial" w:cs="Arial" w:eastAsia="Arial" w:hAnsi="Arial"/>
                <w:sz w:val="16"/>
                <w:szCs w:val="16"/>
                <w:color w:val="auto"/>
              </w:rPr>
              <w:t>No effect</w:t>
            </w:r>
          </w:p>
        </w:tc>
      </w:tr>
      <w:tr>
        <w:trPr>
          <w:trHeight w:val="194"/>
        </w:trPr>
        <w:tc>
          <w:tcPr>
            <w:tcW w:w="220" w:type="dxa"/>
            <w:vAlign w:val="bottom"/>
          </w:tcPr>
          <w:p>
            <w:pPr>
              <w:spacing w:after="0"/>
              <w:rPr>
                <w:sz w:val="16"/>
                <w:szCs w:val="16"/>
                <w:color w:val="auto"/>
              </w:rPr>
            </w:pPr>
          </w:p>
        </w:tc>
        <w:tc>
          <w:tcPr>
            <w:tcW w:w="3400" w:type="dxa"/>
            <w:vAlign w:val="bottom"/>
          </w:tcPr>
          <w:p>
            <w:pPr>
              <w:ind w:left="80"/>
              <w:spacing w:after="0" w:line="194" w:lineRule="exact"/>
              <w:rPr>
                <w:sz w:val="20"/>
                <w:szCs w:val="20"/>
                <w:color w:val="auto"/>
              </w:rPr>
            </w:pPr>
            <w:r>
              <w:rPr>
                <w:rFonts w:ascii="Arial" w:cs="Arial" w:eastAsia="Arial" w:hAnsi="Arial"/>
                <w:sz w:val="14"/>
                <w:szCs w:val="14"/>
                <w:color w:val="auto"/>
              </w:rPr>
              <w:t>executive compensation</w:t>
            </w:r>
            <w:r>
              <w:rPr>
                <w:rFonts w:ascii="Arial" w:cs="Arial" w:eastAsia="Arial" w:hAnsi="Arial"/>
                <w:sz w:val="22"/>
                <w:szCs w:val="22"/>
                <w:color w:val="auto"/>
                <w:vertAlign w:val="superscript"/>
              </w:rPr>
              <w:t>(2)</w:t>
            </w:r>
          </w:p>
        </w:tc>
        <w:tc>
          <w:tcPr>
            <w:tcW w:w="1420" w:type="dxa"/>
            <w:vAlign w:val="bottom"/>
          </w:tcPr>
          <w:p>
            <w:pPr>
              <w:spacing w:after="0"/>
              <w:rPr>
                <w:sz w:val="16"/>
                <w:szCs w:val="16"/>
                <w:color w:val="auto"/>
              </w:rPr>
            </w:pPr>
          </w:p>
        </w:tc>
        <w:tc>
          <w:tcPr>
            <w:tcW w:w="2220" w:type="dxa"/>
            <w:vAlign w:val="bottom"/>
          </w:tcPr>
          <w:p>
            <w:pPr>
              <w:ind w:left="140"/>
              <w:spacing w:after="0"/>
              <w:rPr>
                <w:sz w:val="20"/>
                <w:szCs w:val="20"/>
                <w:color w:val="auto"/>
              </w:rPr>
            </w:pPr>
            <w:r>
              <w:rPr>
                <w:rFonts w:ascii="Arial" w:cs="Arial" w:eastAsia="Arial" w:hAnsi="Arial"/>
                <w:sz w:val="16"/>
                <w:szCs w:val="16"/>
                <w:color w:val="auto"/>
              </w:rPr>
              <w:t>or ABSTAIN</w:t>
            </w:r>
          </w:p>
        </w:tc>
        <w:tc>
          <w:tcPr>
            <w:tcW w:w="2180" w:type="dxa"/>
            <w:vAlign w:val="bottom"/>
          </w:tcPr>
          <w:p>
            <w:pPr>
              <w:ind w:left="80"/>
              <w:spacing w:after="0"/>
              <w:rPr>
                <w:sz w:val="20"/>
                <w:szCs w:val="20"/>
                <w:color w:val="auto"/>
              </w:rPr>
            </w:pPr>
            <w:r>
              <w:rPr>
                <w:rFonts w:ascii="Arial" w:cs="Arial" w:eastAsia="Arial" w:hAnsi="Arial"/>
                <w:sz w:val="16"/>
                <w:szCs w:val="16"/>
                <w:color w:val="auto"/>
              </w:rPr>
              <w:t>and entitled to vote</w:t>
            </w:r>
          </w:p>
        </w:tc>
        <w:tc>
          <w:tcPr>
            <w:tcW w:w="980" w:type="dxa"/>
            <w:vAlign w:val="bottom"/>
          </w:tcPr>
          <w:p>
            <w:pPr>
              <w:ind w:left="60"/>
              <w:spacing w:after="0"/>
              <w:rPr>
                <w:sz w:val="20"/>
                <w:szCs w:val="20"/>
                <w:color w:val="auto"/>
              </w:rPr>
            </w:pPr>
            <w:r>
              <w:rPr>
                <w:rFonts w:ascii="Arial" w:cs="Arial" w:eastAsia="Arial" w:hAnsi="Arial"/>
                <w:sz w:val="16"/>
                <w:szCs w:val="16"/>
                <w:color w:val="auto"/>
              </w:rPr>
              <w:t>a vote</w:t>
            </w:r>
          </w:p>
        </w:tc>
        <w:tc>
          <w:tcPr>
            <w:tcW w:w="1000" w:type="dxa"/>
            <w:vAlign w:val="bottom"/>
          </w:tcPr>
          <w:p>
            <w:pPr>
              <w:spacing w:after="0"/>
              <w:rPr>
                <w:sz w:val="16"/>
                <w:szCs w:val="16"/>
                <w:color w:val="auto"/>
              </w:rPr>
            </w:pPr>
          </w:p>
        </w:tc>
      </w:tr>
      <w:tr>
        <w:trPr>
          <w:trHeight w:val="195"/>
        </w:trPr>
        <w:tc>
          <w:tcPr>
            <w:tcW w:w="2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color w:val="auto"/>
              </w:rPr>
              <w:t>against</w:t>
            </w: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4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Amended and Restated Bylaws, if a majority of the votes of the shares present in person or represented by proxy at the annual meeting are designated to be “withheld” from a nominee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360"/>
        <w:spacing w:after="0"/>
        <w:rPr>
          <w:sz w:val="20"/>
          <w:szCs w:val="20"/>
          <w:color w:val="auto"/>
        </w:rPr>
      </w:pPr>
      <w:r>
        <w:rPr>
          <w:rFonts w:ascii="Arial" w:cs="Arial" w:eastAsia="Arial" w:hAnsi="Arial"/>
          <w:sz w:val="18"/>
          <w:szCs w:val="18"/>
          <w:color w:val="auto"/>
        </w:rPr>
        <w:t>director in an uncontested election, that director must tender his or her resignation for consideration by our Nominating &amp; Governance Committee. Our Nominating &amp; Governance Committee then must evaluate the best interests of our Company and shareholders and recommend the action to be taken by the Board with respect to such tendered resignation.</w:t>
      </w:r>
    </w:p>
    <w:p>
      <w:pPr>
        <w:spacing w:after="0" w:line="108" w:lineRule="exact"/>
        <w:rPr>
          <w:sz w:val="20"/>
          <w:szCs w:val="20"/>
          <w:color w:val="auto"/>
        </w:rPr>
      </w:pPr>
    </w:p>
    <w:p>
      <w:pPr>
        <w:ind w:left="460" w:right="340" w:hanging="452"/>
        <w:spacing w:after="0" w:line="24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the vote when considering future executive compensation.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My Shares Be Voted?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shd w:val="clear" w:color="auto" w:fill="C00000"/>
          </w:tcPr>
          <w:p>
            <w:pPr>
              <w:spacing w:after="0"/>
              <w:rPr>
                <w:sz w:val="16"/>
                <w:szCs w:val="16"/>
                <w:color w:val="auto"/>
              </w:rPr>
            </w:pPr>
          </w:p>
        </w:tc>
        <w:tc>
          <w:tcPr>
            <w:tcW w:w="404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How Your Shares will be Voted If You</w:t>
            </w:r>
          </w:p>
        </w:tc>
        <w:tc>
          <w:tcPr>
            <w:tcW w:w="404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How Your Shares will be Voted If You Do</w:t>
            </w:r>
          </w:p>
        </w:tc>
      </w:tr>
      <w:tr>
        <w:trPr>
          <w:trHeight w:val="189"/>
        </w:trPr>
        <w:tc>
          <w:tcPr>
            <w:tcW w:w="33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How Your Shares are Held</w:t>
            </w:r>
          </w:p>
        </w:tc>
        <w:tc>
          <w:tcPr>
            <w:tcW w:w="404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Specify How to Vote</w:t>
            </w:r>
          </w:p>
        </w:tc>
        <w:tc>
          <w:tcPr>
            <w:tcW w:w="4040" w:type="dxa"/>
            <w:vAlign w:val="bottom"/>
            <w:shd w:val="clear" w:color="auto" w:fill="C00000"/>
          </w:tcPr>
          <w:p>
            <w:pPr>
              <w:ind w:left="60"/>
              <w:spacing w:after="0"/>
              <w:rPr>
                <w:sz w:val="20"/>
                <w:szCs w:val="20"/>
                <w:color w:val="auto"/>
              </w:rPr>
            </w:pPr>
            <w:r>
              <w:rPr>
                <w:rFonts w:ascii="Arial" w:cs="Arial" w:eastAsia="Arial" w:hAnsi="Arial"/>
                <w:sz w:val="14"/>
                <w:szCs w:val="14"/>
                <w:b w:val="1"/>
                <w:bCs w:val="1"/>
                <w:color w:val="FFFFFF"/>
              </w:rPr>
              <w:t>Not Specify How to Vote</w:t>
            </w: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4040" w:type="dxa"/>
            <w:vAlign w:val="bottom"/>
          </w:tcPr>
          <w:p>
            <w:pPr>
              <w:ind w:left="120"/>
              <w:spacing w:after="0"/>
              <w:rPr>
                <w:sz w:val="20"/>
                <w:szCs w:val="20"/>
                <w:color w:val="auto"/>
              </w:rPr>
            </w:pPr>
            <w:r>
              <w:rPr>
                <w:rFonts w:ascii="Arial" w:cs="Arial" w:eastAsia="Arial" w:hAnsi="Arial"/>
                <w:sz w:val="16"/>
                <w:szCs w:val="16"/>
                <w:color w:val="auto"/>
              </w:rPr>
              <w:t>The named proxies will vote your shares as you direct</w:t>
            </w:r>
          </w:p>
        </w:tc>
        <w:tc>
          <w:tcPr>
            <w:tcW w:w="4040" w:type="dxa"/>
            <w:vAlign w:val="bottom"/>
          </w:tcPr>
          <w:p>
            <w:pPr>
              <w:ind w:left="60"/>
              <w:spacing w:after="0"/>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proposals</w:t>
            </w:r>
          </w:p>
        </w:tc>
      </w:tr>
      <w:tr>
        <w:trPr>
          <w:trHeight w:val="186"/>
        </w:trPr>
        <w:tc>
          <w:tcPr>
            <w:tcW w:w="3340" w:type="dxa"/>
            <w:vAlign w:val="bottom"/>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4040" w:type="dxa"/>
            <w:vAlign w:val="bottom"/>
            <w:shd w:val="clear" w:color="auto" w:fill="D9D9D9"/>
          </w:tcPr>
          <w:p>
            <w:pPr>
              <w:ind w:left="120"/>
              <w:spacing w:after="0"/>
              <w:rPr>
                <w:sz w:val="20"/>
                <w:szCs w:val="20"/>
                <w:color w:val="auto"/>
              </w:rPr>
            </w:pPr>
            <w:r>
              <w:rPr>
                <w:rFonts w:ascii="Arial" w:cs="Arial" w:eastAsia="Arial" w:hAnsi="Arial"/>
                <w:sz w:val="16"/>
                <w:szCs w:val="16"/>
                <w:color w:val="auto"/>
              </w:rPr>
              <w:t>Your broker will vote your shares as you direct</w:t>
            </w:r>
          </w:p>
        </w:tc>
        <w:tc>
          <w:tcPr>
            <w:tcW w:w="4040" w:type="dxa"/>
            <w:vAlign w:val="bottom"/>
            <w:shd w:val="clear" w:color="auto" w:fill="D9D9D9"/>
          </w:tcPr>
          <w:p>
            <w:pPr>
              <w:ind w:left="60"/>
              <w:spacing w:after="0"/>
              <w:rPr>
                <w:sz w:val="20"/>
                <w:szCs w:val="20"/>
                <w:color w:val="auto"/>
              </w:rPr>
            </w:pPr>
            <w:r>
              <w:rPr>
                <w:rFonts w:ascii="Arial" w:cs="Arial" w:eastAsia="Arial" w:hAnsi="Arial"/>
                <w:sz w:val="16"/>
                <w:szCs w:val="16"/>
                <w:color w:val="auto"/>
              </w:rPr>
              <w:t>Your broker may vote only on routine items in the</w:t>
            </w:r>
          </w:p>
        </w:tc>
      </w:tr>
      <w:tr>
        <w:trPr>
          <w:trHeight w:val="192"/>
        </w:trPr>
        <w:tc>
          <w:tcPr>
            <w:tcW w:w="3340" w:type="dxa"/>
            <w:vAlign w:val="bottom"/>
            <w:shd w:val="clear" w:color="auto" w:fill="D9D9D9"/>
          </w:tcPr>
          <w:p>
            <w:pPr>
              <w:spacing w:after="0"/>
              <w:rPr>
                <w:sz w:val="16"/>
                <w:szCs w:val="16"/>
                <w:color w:val="auto"/>
              </w:rPr>
            </w:pPr>
          </w:p>
        </w:tc>
        <w:tc>
          <w:tcPr>
            <w:tcW w:w="4040" w:type="dxa"/>
            <w:vAlign w:val="bottom"/>
            <w:shd w:val="clear" w:color="auto" w:fill="D9D9D9"/>
          </w:tcPr>
          <w:p>
            <w:pPr>
              <w:spacing w:after="0"/>
              <w:rPr>
                <w:sz w:val="16"/>
                <w:szCs w:val="16"/>
                <w:color w:val="auto"/>
              </w:rPr>
            </w:pPr>
          </w:p>
        </w:tc>
        <w:tc>
          <w:tcPr>
            <w:tcW w:w="4040" w:type="dxa"/>
            <w:vAlign w:val="bottom"/>
            <w:shd w:val="clear" w:color="auto" w:fill="D9D9D9"/>
          </w:tcPr>
          <w:p>
            <w:pPr>
              <w:ind w:left="60"/>
              <w:spacing w:after="0" w:line="192" w:lineRule="exact"/>
              <w:rPr>
                <w:sz w:val="20"/>
                <w:szCs w:val="20"/>
                <w:color w:val="auto"/>
              </w:rPr>
            </w:pPr>
            <w:r>
              <w:rPr>
                <w:rFonts w:ascii="Arial" w:cs="Arial" w:eastAsia="Arial" w:hAnsi="Arial"/>
                <w:sz w:val="14"/>
                <w:szCs w:val="14"/>
                <w:color w:val="auto"/>
              </w:rPr>
              <w:t>absence of your instruction how to vote</w:t>
            </w:r>
            <w:r>
              <w:rPr>
                <w:rFonts w:ascii="Arial" w:cs="Arial" w:eastAsia="Arial" w:hAnsi="Arial"/>
                <w:sz w:val="22"/>
                <w:szCs w:val="22"/>
                <w:color w:val="auto"/>
                <w:vertAlign w:val="superscript"/>
              </w:rPr>
              <w:t>(1)</w:t>
            </w:r>
          </w:p>
        </w:tc>
      </w:tr>
      <w:tr>
        <w:trPr>
          <w:trHeight w:val="191"/>
        </w:trPr>
        <w:tc>
          <w:tcPr>
            <w:tcW w:w="3340" w:type="dxa"/>
            <w:vAlign w:val="bottom"/>
          </w:tcPr>
          <w:p>
            <w:pPr>
              <w:spacing w:after="0"/>
              <w:rPr>
                <w:sz w:val="20"/>
                <w:szCs w:val="20"/>
                <w:color w:val="auto"/>
              </w:rPr>
            </w:pPr>
            <w:r>
              <w:rPr>
                <w:rFonts w:ascii="Arial" w:cs="Arial" w:eastAsia="Arial" w:hAnsi="Arial"/>
                <w:sz w:val="16"/>
                <w:szCs w:val="16"/>
                <w:color w:val="auto"/>
              </w:rPr>
              <w:t>Shares held in certain Toro employee benefit</w:t>
            </w:r>
          </w:p>
        </w:tc>
        <w:tc>
          <w:tcPr>
            <w:tcW w:w="4040" w:type="dxa"/>
            <w:vAlign w:val="bottom"/>
          </w:tcPr>
          <w:p>
            <w:pPr>
              <w:ind w:left="120"/>
              <w:spacing w:after="0"/>
              <w:rPr>
                <w:sz w:val="20"/>
                <w:szCs w:val="20"/>
                <w:color w:val="auto"/>
              </w:rPr>
            </w:pPr>
            <w:r>
              <w:rPr>
                <w:rFonts w:ascii="Arial" w:cs="Arial" w:eastAsia="Arial" w:hAnsi="Arial"/>
                <w:sz w:val="16"/>
                <w:szCs w:val="16"/>
                <w:color w:val="auto"/>
              </w:rPr>
              <w:t>The plan trustee will vote your shares confidentially</w:t>
            </w:r>
          </w:p>
        </w:tc>
        <w:tc>
          <w:tcPr>
            <w:tcW w:w="4040" w:type="dxa"/>
            <w:vAlign w:val="bottom"/>
          </w:tcPr>
          <w:p>
            <w:pPr>
              <w:ind w:left="60"/>
              <w:spacing w:after="0"/>
              <w:rPr>
                <w:sz w:val="20"/>
                <w:szCs w:val="20"/>
                <w:color w:val="auto"/>
              </w:rPr>
            </w:pPr>
            <w:r>
              <w:rPr>
                <w:rFonts w:ascii="Arial" w:cs="Arial" w:eastAsia="Arial" w:hAnsi="Arial"/>
                <w:sz w:val="16"/>
                <w:szCs w:val="16"/>
                <w:color w:val="auto"/>
              </w:rPr>
              <w:t>The plan trustee will vote your shares in the same</w:t>
            </w:r>
          </w:p>
        </w:tc>
      </w:tr>
      <w:tr>
        <w:trPr>
          <w:trHeight w:val="195"/>
        </w:trPr>
        <w:tc>
          <w:tcPr>
            <w:tcW w:w="3340" w:type="dxa"/>
            <w:vAlign w:val="bottom"/>
          </w:tcPr>
          <w:p>
            <w:pPr>
              <w:spacing w:after="0"/>
              <w:rPr>
                <w:sz w:val="20"/>
                <w:szCs w:val="20"/>
                <w:color w:val="auto"/>
              </w:rPr>
            </w:pPr>
            <w:r>
              <w:rPr>
                <w:rFonts w:ascii="Arial" w:cs="Arial" w:eastAsia="Arial" w:hAnsi="Arial"/>
                <w:sz w:val="16"/>
                <w:szCs w:val="16"/>
                <w:color w:val="auto"/>
              </w:rPr>
              <w:t>plans</w:t>
            </w:r>
          </w:p>
        </w:tc>
        <w:tc>
          <w:tcPr>
            <w:tcW w:w="4040" w:type="dxa"/>
            <w:vAlign w:val="bottom"/>
          </w:tcPr>
          <w:p>
            <w:pPr>
              <w:ind w:left="120"/>
              <w:spacing w:after="0"/>
              <w:rPr>
                <w:sz w:val="20"/>
                <w:szCs w:val="20"/>
                <w:color w:val="auto"/>
              </w:rPr>
            </w:pPr>
            <w:r>
              <w:rPr>
                <w:rFonts w:ascii="Arial" w:cs="Arial" w:eastAsia="Arial" w:hAnsi="Arial"/>
                <w:sz w:val="16"/>
                <w:szCs w:val="16"/>
                <w:color w:val="auto"/>
              </w:rPr>
              <w:t>as you direct</w:t>
            </w:r>
          </w:p>
        </w:tc>
        <w:tc>
          <w:tcPr>
            <w:tcW w:w="4040" w:type="dxa"/>
            <w:vAlign w:val="bottom"/>
          </w:tcPr>
          <w:p>
            <w:pPr>
              <w:ind w:left="60"/>
              <w:spacing w:after="0"/>
              <w:rPr>
                <w:sz w:val="20"/>
                <w:szCs w:val="20"/>
                <w:color w:val="auto"/>
              </w:rPr>
            </w:pPr>
            <w:r>
              <w:rPr>
                <w:rFonts w:ascii="Arial" w:cs="Arial" w:eastAsia="Arial" w:hAnsi="Arial"/>
                <w:sz w:val="16"/>
                <w:szCs w:val="16"/>
                <w:color w:val="auto"/>
              </w:rPr>
              <w:t>proportion as the votes actually cast by participants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865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1" w:lineRule="exact"/>
        <w:rPr>
          <w:sz w:val="20"/>
          <w:szCs w:val="20"/>
          <w:color w:val="auto"/>
        </w:rPr>
      </w:pPr>
    </w:p>
    <w:p>
      <w:pPr>
        <w:ind w:left="460" w:right="100" w:hanging="452"/>
        <w:spacing w:after="0" w:line="23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 your shares only on certain “routine” matters. Proposal One—Election of Directors and Proposal Three—Advisory Approval of our Executive Compensation are not “routine” matters. Accordingly, if you do not direct your broker how to vote on those proposals, your broker may not exercise discretionary voting authority and may not vote your shares on these proposals. This is called a “broker non-vote” and although your shares will be considered to be represented by proxy at the annual meeting, as discussed on page 2, they are not considered to be shares “entitled to vote” at the annual meeting and will not be counted as having been voted on the applicable proposal. Proposal Two—Ratification of Selection of Independent Registered Public Accounting Firm is a “routine” matter and your broker is permitted to exercise discretionary voting authority to vote your shares “for” or “against” the proposal in the absence of your instruction.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What Does It Mean If I Receive More Than One Notice or Set of Proxy Materials?</w:t>
      </w:r>
    </w:p>
    <w:p>
      <w:pPr>
        <w:spacing w:after="0" w:line="126"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 Purchase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all of your shares are voted.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Revoke or Change My Vote?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or change your vote at any time before your shares are voted by one of the following methods: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40" w:type="dxa"/>
            <w:vAlign w:val="bottom"/>
            <w:tcBorders>
              <w:bottom w:val="single" w:sz="8" w:color="C00000"/>
            </w:tcBorders>
            <w:shd w:val="clear" w:color="auto" w:fill="C00000"/>
          </w:tcPr>
          <w:p>
            <w:pPr>
              <w:ind w:left="40"/>
              <w:spacing w:after="0"/>
              <w:rPr>
                <w:sz w:val="20"/>
                <w:szCs w:val="20"/>
                <w:color w:val="auto"/>
              </w:rPr>
            </w:pPr>
            <w:r>
              <w:rPr>
                <w:rFonts w:ascii="Arial" w:cs="Arial" w:eastAsia="Arial" w:hAnsi="Arial"/>
                <w:sz w:val="14"/>
                <w:szCs w:val="14"/>
                <w:b w:val="1"/>
                <w:bCs w:val="1"/>
                <w:color w:val="FFFFFF"/>
              </w:rPr>
              <w:t>How Your Shares are Held</w:t>
            </w:r>
          </w:p>
        </w:tc>
        <w:tc>
          <w:tcPr>
            <w:tcW w:w="8480" w:type="dxa"/>
            <w:vAlign w:val="bottom"/>
            <w:tcBorders>
              <w:bottom w:val="single" w:sz="8" w:color="C00000"/>
            </w:tcBorders>
            <w:shd w:val="clear" w:color="auto" w:fill="C00000"/>
          </w:tcPr>
          <w:p>
            <w:pPr>
              <w:ind w:left="26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191"/>
        </w:trPr>
        <w:tc>
          <w:tcPr>
            <w:tcW w:w="2940" w:type="dxa"/>
            <w:vAlign w:val="bottom"/>
          </w:tcPr>
          <w:p>
            <w:pPr>
              <w:spacing w:after="0"/>
              <w:rPr>
                <w:sz w:val="20"/>
                <w:szCs w:val="20"/>
                <w:color w:val="auto"/>
              </w:rPr>
            </w:pPr>
            <w:r>
              <w:rPr>
                <w:rFonts w:ascii="Arial" w:cs="Arial" w:eastAsia="Arial" w:hAnsi="Arial"/>
                <w:sz w:val="16"/>
                <w:szCs w:val="16"/>
                <w:color w:val="auto"/>
              </w:rPr>
              <w:t>Shares registered in your name</w:t>
            </w:r>
          </w:p>
        </w:tc>
        <w:tc>
          <w:tcPr>
            <w:tcW w:w="8480" w:type="dxa"/>
            <w:vAlign w:val="bottom"/>
          </w:tcPr>
          <w:p>
            <w:pPr>
              <w:ind w:left="260"/>
              <w:spacing w:after="0"/>
              <w:rPr>
                <w:sz w:val="20"/>
                <w:szCs w:val="20"/>
                <w:color w:val="auto"/>
              </w:rPr>
            </w:pPr>
            <w:r>
              <w:rPr>
                <w:rFonts w:ascii="Arial" w:cs="Arial" w:eastAsia="Arial" w:hAnsi="Arial"/>
                <w:sz w:val="16"/>
                <w:szCs w:val="16"/>
                <w:color w:val="auto"/>
              </w:rPr>
              <w:t>•  Submit another proper proxy with a more recent date than that of the proxy first given by following the Internet,</w:t>
            </w:r>
          </w:p>
        </w:tc>
      </w:tr>
      <w:tr>
        <w:trPr>
          <w:trHeight w:val="189"/>
        </w:trPr>
        <w:tc>
          <w:tcPr>
            <w:tcW w:w="2940" w:type="dxa"/>
            <w:vAlign w:val="bottom"/>
          </w:tcPr>
          <w:p>
            <w:pPr>
              <w:spacing w:after="0"/>
              <w:rPr>
                <w:sz w:val="16"/>
                <w:szCs w:val="16"/>
                <w:color w:val="auto"/>
              </w:rPr>
            </w:pPr>
          </w:p>
        </w:tc>
        <w:tc>
          <w:tcPr>
            <w:tcW w:w="8480" w:type="dxa"/>
            <w:vAlign w:val="bottom"/>
          </w:tcPr>
          <w:p>
            <w:pPr>
              <w:ind w:left="44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189"/>
        </w:trPr>
        <w:tc>
          <w:tcPr>
            <w:tcW w:w="2940" w:type="dxa"/>
            <w:vAlign w:val="bottom"/>
          </w:tcPr>
          <w:p>
            <w:pPr>
              <w:spacing w:after="0"/>
              <w:rPr>
                <w:sz w:val="16"/>
                <w:szCs w:val="16"/>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auto"/>
              </w:rPr>
              <w:t>•  Send written notice of revocation to our Vice President, Secretary and General Counsel; or</w:t>
            </w:r>
          </w:p>
        </w:tc>
      </w:tr>
      <w:tr>
        <w:trPr>
          <w:trHeight w:val="198"/>
        </w:trPr>
        <w:tc>
          <w:tcPr>
            <w:tcW w:w="2940" w:type="dxa"/>
            <w:vAlign w:val="bottom"/>
          </w:tcPr>
          <w:p>
            <w:pPr>
              <w:spacing w:after="0"/>
              <w:rPr>
                <w:sz w:val="17"/>
                <w:szCs w:val="17"/>
                <w:color w:val="auto"/>
              </w:rPr>
            </w:pPr>
          </w:p>
        </w:tc>
        <w:tc>
          <w:tcPr>
            <w:tcW w:w="8480" w:type="dxa"/>
            <w:vAlign w:val="bottom"/>
          </w:tcPr>
          <w:p>
            <w:pPr>
              <w:ind w:left="260"/>
              <w:spacing w:after="0"/>
              <w:rPr>
                <w:sz w:val="20"/>
                <w:szCs w:val="20"/>
                <w:color w:val="auto"/>
              </w:rPr>
            </w:pPr>
            <w:r>
              <w:rPr>
                <w:rFonts w:ascii="Arial" w:cs="Arial" w:eastAsia="Arial" w:hAnsi="Arial"/>
                <w:sz w:val="16"/>
                <w:szCs w:val="16"/>
                <w:color w:val="auto"/>
              </w:rPr>
              <w:t>• Attend the annual meeting in person and vote by ballot</w:t>
            </w:r>
          </w:p>
        </w:tc>
      </w:tr>
      <w:tr>
        <w:trPr>
          <w:trHeight w:val="192"/>
        </w:trPr>
        <w:tc>
          <w:tcPr>
            <w:tcW w:w="2940" w:type="dxa"/>
            <w:vAlign w:val="bottom"/>
            <w:shd w:val="clear" w:color="auto" w:fill="D9D9D9"/>
          </w:tcPr>
          <w:p>
            <w:pPr>
              <w:spacing w:after="0"/>
              <w:rPr>
                <w:sz w:val="20"/>
                <w:szCs w:val="20"/>
                <w:color w:val="auto"/>
              </w:rPr>
            </w:pPr>
            <w:r>
              <w:rPr>
                <w:rFonts w:ascii="Arial" w:cs="Arial" w:eastAsia="Arial" w:hAnsi="Arial"/>
                <w:sz w:val="16"/>
                <w:szCs w:val="16"/>
                <w:color w:val="auto"/>
              </w:rPr>
              <w:t>Shares held in street name</w:t>
            </w:r>
          </w:p>
        </w:tc>
        <w:tc>
          <w:tcPr>
            <w:tcW w:w="8480" w:type="dxa"/>
            <w:vAlign w:val="bottom"/>
            <w:shd w:val="clear" w:color="auto" w:fill="D9D9D9"/>
          </w:tcPr>
          <w:p>
            <w:pPr>
              <w:ind w:left="26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191"/>
        </w:trPr>
        <w:tc>
          <w:tcPr>
            <w:tcW w:w="2940" w:type="dxa"/>
            <w:vAlign w:val="bottom"/>
          </w:tcPr>
          <w:p>
            <w:pPr>
              <w:spacing w:after="0"/>
              <w:rPr>
                <w:sz w:val="20"/>
                <w:szCs w:val="20"/>
                <w:color w:val="auto"/>
              </w:rPr>
            </w:pPr>
            <w:r>
              <w:rPr>
                <w:rFonts w:ascii="Arial" w:cs="Arial" w:eastAsia="Arial" w:hAnsi="Arial"/>
                <w:sz w:val="16"/>
                <w:szCs w:val="16"/>
                <w:color w:val="auto"/>
              </w:rPr>
              <w:t>Shares held in certain Toro employee</w:t>
            </w:r>
          </w:p>
        </w:tc>
        <w:tc>
          <w:tcPr>
            <w:tcW w:w="8480" w:type="dxa"/>
            <w:vAlign w:val="bottom"/>
          </w:tcPr>
          <w:p>
            <w:pPr>
              <w:ind w:left="26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195"/>
        </w:trPr>
        <w:tc>
          <w:tcPr>
            <w:tcW w:w="2940" w:type="dxa"/>
            <w:vAlign w:val="bottom"/>
          </w:tcPr>
          <w:p>
            <w:pPr>
              <w:spacing w:after="0"/>
              <w:rPr>
                <w:sz w:val="20"/>
                <w:szCs w:val="20"/>
                <w:color w:val="auto"/>
              </w:rPr>
            </w:pPr>
            <w:r>
              <w:rPr>
                <w:rFonts w:ascii="Arial" w:cs="Arial" w:eastAsia="Arial" w:hAnsi="Arial"/>
                <w:sz w:val="16"/>
                <w:szCs w:val="16"/>
                <w:color w:val="auto"/>
              </w:rPr>
              <w:t>benefit plans</w:t>
            </w:r>
          </w:p>
        </w:tc>
        <w:tc>
          <w:tcPr>
            <w:tcW w:w="8480" w:type="dxa"/>
            <w:vAlign w:val="bottom"/>
          </w:tcPr>
          <w:p>
            <w:pPr>
              <w:ind w:left="26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Who Will Count the Votes?</w:t>
      </w:r>
    </w:p>
    <w:p>
      <w:pPr>
        <w:spacing w:after="0" w:line="126" w:lineRule="exact"/>
        <w:rPr>
          <w:sz w:val="20"/>
          <w:szCs w:val="20"/>
          <w:color w:val="auto"/>
        </w:rPr>
      </w:pPr>
    </w:p>
    <w:p>
      <w:pPr>
        <w:jc w:val="both"/>
        <w:ind w:firstLine="456"/>
        <w:spacing w:after="0" w:line="246" w:lineRule="auto"/>
        <w:rPr>
          <w:sz w:val="20"/>
          <w:szCs w:val="20"/>
          <w:color w:val="auto"/>
        </w:rPr>
      </w:pPr>
      <w:r>
        <w:rPr>
          <w:rFonts w:ascii="Arial" w:cs="Arial" w:eastAsia="Arial" w:hAnsi="Arial"/>
          <w:sz w:val="18"/>
          <w:szCs w:val="18"/>
          <w:color w:val="auto"/>
        </w:rPr>
        <w:t>Broadridge Financial Solutions, Inc. has been engaged to tabulate shareholder votes. An agent of Broadridge Financial Solutions, Inc. will act as our independent inspector of elections for the annual meeting.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Will Business Be Conducted at the Annual Meeting?</w:t>
      </w:r>
    </w:p>
    <w:p>
      <w:pPr>
        <w:spacing w:after="0" w:line="126" w:lineRule="exact"/>
        <w:rPr>
          <w:sz w:val="20"/>
          <w:szCs w:val="20"/>
          <w:color w:val="auto"/>
        </w:rPr>
      </w:pPr>
    </w:p>
    <w:p>
      <w:pPr>
        <w:ind w:right="340" w:firstLine="456"/>
        <w:spacing w:after="0"/>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How Can I Attend the Annual Meeting?</w:t>
      </w:r>
    </w:p>
    <w:p>
      <w:pPr>
        <w:spacing w:after="0" w:line="126"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provide the opportunity for our shareholders to attend the annual meeting in person. Only registered shareholders of our common stock or beneficial shareholders holding shares in street name at the close of business on the record date (January 22, 2018), or their duly appointed proxies, may attend the annual meeting in person. Doors will open approximately fifteen minutes prior to the start of the annual meeting and will close once the meeting has started, at which time admission to the annual meeting will no longer be permitted. For admission to the meeting you may be asked to provide identification and establish proof of ownership. If you are a registered shareholder, your name may be verified against our list of registered shareholders. If you hold your shares in street name, please bring one of the following: an account statement showing your ownership as of the record date; a voting instruction form provided by your broker, trustee, bank or nominee holding your shares containing a valid control number; the Notice of Internet Availability of Proxy Materials that you received in the mail containing a valid control number; a copy of the email you received with instructions containing a link to the website where our proxy materials are available or a link to the proxy voting website and a valid control number; or a letter from a broker, trustee, bank or nominee holding your shares confirming your ownership as of the record date. If you are serving as a legal proxy, please bring a legal proxy containing a valid control number or a letter from a registered shareholder naming you as proxy. Rules governing the conduct of the annual meeting will be distributed at the annual meeting along with an agenda.</w:t>
      </w:r>
    </w:p>
    <w:p>
      <w:pPr>
        <w:spacing w:after="0" w:line="9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Shareholders unable to attend the annual meeting in person have the opportunity to listen to our live, listen-only audio webcast of the annual meeting. A link to the webcast may be found on our website at www.thetorocompany.com.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STOCK OWNERSHIP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Significant Beneficial Owners</w:t>
      </w:r>
    </w:p>
    <w:p>
      <w:pPr>
        <w:spacing w:after="0" w:line="126" w:lineRule="exact"/>
        <w:rPr>
          <w:sz w:val="20"/>
          <w:szCs w:val="20"/>
          <w:color w:val="auto"/>
        </w:rPr>
      </w:pPr>
    </w:p>
    <w:p>
      <w:pPr>
        <w:ind w:right="640" w:firstLine="456"/>
        <w:spacing w:after="0"/>
        <w:rPr>
          <w:sz w:val="20"/>
          <w:szCs w:val="20"/>
          <w:color w:val="auto"/>
        </w:rPr>
      </w:pPr>
      <w:r>
        <w:rPr>
          <w:rFonts w:ascii="Arial" w:cs="Arial" w:eastAsia="Arial" w:hAnsi="Arial"/>
          <w:sz w:val="18"/>
          <w:szCs w:val="18"/>
          <w:color w:val="auto"/>
        </w:rPr>
        <w:t>The following table sets forth information known to us as of January 26, 2018, as to entities that have reported to the SEC or have otherwise advised us that they are a beneficial owner, as defined by the SEC’s rules and regulations, of more than five percent of our outstanding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80" w:type="dxa"/>
            <w:vAlign w:val="bottom"/>
            <w:shd w:val="clear" w:color="auto" w:fill="C00000"/>
          </w:tcPr>
          <w:p>
            <w:pPr>
              <w:spacing w:after="0"/>
              <w:rPr>
                <w:sz w:val="16"/>
                <w:szCs w:val="16"/>
                <w:color w:val="auto"/>
              </w:rPr>
            </w:pPr>
          </w:p>
        </w:tc>
        <w:tc>
          <w:tcPr>
            <w:tcW w:w="4520" w:type="dxa"/>
            <w:vAlign w:val="bottom"/>
            <w:shd w:val="clear" w:color="auto" w:fill="C00000"/>
          </w:tcPr>
          <w:p>
            <w:pPr>
              <w:ind w:left="880"/>
              <w:spacing w:after="0"/>
              <w:rPr>
                <w:sz w:val="20"/>
                <w:szCs w:val="20"/>
                <w:color w:val="auto"/>
              </w:rPr>
            </w:pPr>
            <w:r>
              <w:rPr>
                <w:rFonts w:ascii="Arial" w:cs="Arial" w:eastAsia="Arial" w:hAnsi="Arial"/>
                <w:sz w:val="14"/>
                <w:szCs w:val="14"/>
                <w:b w:val="1"/>
                <w:bCs w:val="1"/>
                <w:color w:val="FFFFFF"/>
              </w:rPr>
              <w:t>Name and Address</w:t>
            </w:r>
          </w:p>
        </w:tc>
        <w:tc>
          <w:tcPr>
            <w:tcW w:w="3580" w:type="dxa"/>
            <w:vAlign w:val="bottom"/>
            <w:shd w:val="clear" w:color="auto" w:fill="C00000"/>
          </w:tcPr>
          <w:p>
            <w:pPr>
              <w:jc w:val="center"/>
              <w:ind w:left="1050"/>
              <w:spacing w:after="0"/>
              <w:rPr>
                <w:sz w:val="20"/>
                <w:szCs w:val="20"/>
                <w:color w:val="auto"/>
              </w:rPr>
            </w:pPr>
            <w:r>
              <w:rPr>
                <w:rFonts w:ascii="Arial" w:cs="Arial" w:eastAsia="Arial" w:hAnsi="Arial"/>
                <w:sz w:val="14"/>
                <w:szCs w:val="14"/>
                <w:b w:val="1"/>
                <w:bCs w:val="1"/>
                <w:color w:val="FFFFFF"/>
              </w:rPr>
              <w:t>Amount and Nature</w:t>
            </w:r>
          </w:p>
        </w:tc>
        <w:tc>
          <w:tcPr>
            <w:tcW w:w="1340" w:type="dxa"/>
            <w:vAlign w:val="bottom"/>
            <w:shd w:val="clear" w:color="auto" w:fill="C00000"/>
          </w:tcPr>
          <w:p>
            <w:pPr>
              <w:jc w:val="center"/>
              <w:ind w:left="84"/>
              <w:spacing w:after="0"/>
              <w:rPr>
                <w:sz w:val="20"/>
                <w:szCs w:val="20"/>
                <w:color w:val="auto"/>
              </w:rPr>
            </w:pPr>
            <w:r>
              <w:rPr>
                <w:rFonts w:ascii="Arial" w:cs="Arial" w:eastAsia="Arial" w:hAnsi="Arial"/>
                <w:sz w:val="14"/>
                <w:szCs w:val="14"/>
                <w:b w:val="1"/>
                <w:bCs w:val="1"/>
                <w:color w:val="FFFFFF"/>
              </w:rPr>
              <w:t>Percent</w:t>
            </w:r>
          </w:p>
        </w:tc>
      </w:tr>
      <w:tr>
        <w:trPr>
          <w:trHeight w:val="192"/>
        </w:trPr>
        <w:tc>
          <w:tcPr>
            <w:tcW w:w="19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Title of Class</w:t>
            </w:r>
          </w:p>
        </w:tc>
        <w:tc>
          <w:tcPr>
            <w:tcW w:w="4520" w:type="dxa"/>
            <w:vAlign w:val="bottom"/>
            <w:shd w:val="clear" w:color="auto" w:fill="C00000"/>
          </w:tcPr>
          <w:p>
            <w:pPr>
              <w:ind w:left="880"/>
              <w:spacing w:after="0"/>
              <w:rPr>
                <w:sz w:val="20"/>
                <w:szCs w:val="20"/>
                <w:color w:val="auto"/>
              </w:rPr>
            </w:pPr>
            <w:r>
              <w:rPr>
                <w:rFonts w:ascii="Arial" w:cs="Arial" w:eastAsia="Arial" w:hAnsi="Arial"/>
                <w:sz w:val="14"/>
                <w:szCs w:val="14"/>
                <w:b w:val="1"/>
                <w:bCs w:val="1"/>
                <w:color w:val="FFFFFF"/>
              </w:rPr>
              <w:t>of Beneficial Owner</w:t>
            </w:r>
          </w:p>
        </w:tc>
        <w:tc>
          <w:tcPr>
            <w:tcW w:w="3580" w:type="dxa"/>
            <w:vAlign w:val="bottom"/>
            <w:shd w:val="clear" w:color="auto" w:fill="C00000"/>
          </w:tcPr>
          <w:p>
            <w:pPr>
              <w:jc w:val="center"/>
              <w:ind w:left="1070"/>
              <w:spacing w:after="0"/>
              <w:rPr>
                <w:sz w:val="20"/>
                <w:szCs w:val="20"/>
                <w:color w:val="auto"/>
              </w:rPr>
            </w:pPr>
            <w:r>
              <w:rPr>
                <w:rFonts w:ascii="Arial" w:cs="Arial" w:eastAsia="Arial" w:hAnsi="Arial"/>
                <w:sz w:val="14"/>
                <w:szCs w:val="14"/>
                <w:b w:val="1"/>
                <w:bCs w:val="1"/>
                <w:color w:val="FFFFFF"/>
              </w:rPr>
              <w:t>of Beneficial Ownership</w:t>
            </w:r>
          </w:p>
        </w:tc>
        <w:tc>
          <w:tcPr>
            <w:tcW w:w="1340" w:type="dxa"/>
            <w:vAlign w:val="bottom"/>
            <w:shd w:val="clear" w:color="auto" w:fill="C00000"/>
          </w:tcPr>
          <w:p>
            <w:pPr>
              <w:jc w:val="center"/>
              <w:ind w:left="84"/>
              <w:spacing w:after="0" w:line="192" w:lineRule="exact"/>
              <w:rPr>
                <w:sz w:val="20"/>
                <w:szCs w:val="20"/>
                <w:color w:val="auto"/>
              </w:rPr>
            </w:pPr>
            <w:r>
              <w:rPr>
                <w:rFonts w:ascii="Arial" w:cs="Arial" w:eastAsia="Arial" w:hAnsi="Arial"/>
                <w:sz w:val="13"/>
                <w:szCs w:val="13"/>
                <w:b w:val="1"/>
                <w:bCs w:val="1"/>
                <w:color w:val="FFFFFF"/>
              </w:rPr>
              <w:t>of Class</w:t>
            </w:r>
            <w:r>
              <w:rPr>
                <w:rFonts w:ascii="Arial" w:cs="Arial" w:eastAsia="Arial" w:hAnsi="Arial"/>
                <w:sz w:val="22"/>
                <w:szCs w:val="22"/>
                <w:b w:val="1"/>
                <w:bCs w:val="1"/>
                <w:color w:val="FFFFFF"/>
                <w:vertAlign w:val="superscript"/>
              </w:rPr>
              <w:t>(1)</w:t>
            </w:r>
          </w:p>
        </w:tc>
      </w:tr>
      <w:tr>
        <w:trPr>
          <w:trHeight w:val="191"/>
        </w:trPr>
        <w:tc>
          <w:tcPr>
            <w:tcW w:w="1980" w:type="dxa"/>
            <w:vAlign w:val="bottom"/>
          </w:tcPr>
          <w:p>
            <w:pPr>
              <w:spacing w:after="0"/>
              <w:rPr>
                <w:sz w:val="20"/>
                <w:szCs w:val="20"/>
                <w:color w:val="auto"/>
              </w:rPr>
            </w:pPr>
            <w:r>
              <w:rPr>
                <w:rFonts w:ascii="Arial" w:cs="Arial" w:eastAsia="Arial" w:hAnsi="Arial"/>
                <w:sz w:val="16"/>
                <w:szCs w:val="16"/>
                <w:color w:val="auto"/>
              </w:rPr>
              <w:t>Common Stock</w:t>
            </w:r>
          </w:p>
        </w:tc>
        <w:tc>
          <w:tcPr>
            <w:tcW w:w="4520" w:type="dxa"/>
            <w:vAlign w:val="bottom"/>
          </w:tcPr>
          <w:p>
            <w:pPr>
              <w:ind w:left="880"/>
              <w:spacing w:after="0"/>
              <w:rPr>
                <w:sz w:val="20"/>
                <w:szCs w:val="20"/>
                <w:color w:val="auto"/>
              </w:rPr>
            </w:pPr>
            <w:r>
              <w:rPr>
                <w:rFonts w:ascii="Arial" w:cs="Arial" w:eastAsia="Arial" w:hAnsi="Arial"/>
                <w:sz w:val="16"/>
                <w:szCs w:val="16"/>
                <w:color w:val="auto"/>
              </w:rPr>
              <w:t>The Vanguard Group, Inc.</w:t>
            </w:r>
          </w:p>
        </w:tc>
        <w:tc>
          <w:tcPr>
            <w:tcW w:w="3580" w:type="dxa"/>
            <w:vAlign w:val="bottom"/>
          </w:tcPr>
          <w:p>
            <w:pPr>
              <w:jc w:val="center"/>
              <w:ind w:left="1050"/>
              <w:spacing w:after="0" w:line="191" w:lineRule="exact"/>
              <w:rPr>
                <w:sz w:val="20"/>
                <w:szCs w:val="20"/>
                <w:color w:val="auto"/>
              </w:rPr>
            </w:pPr>
            <w:r>
              <w:rPr>
                <w:rFonts w:ascii="Arial" w:cs="Arial" w:eastAsia="Arial" w:hAnsi="Arial"/>
                <w:sz w:val="14"/>
                <w:szCs w:val="14"/>
                <w:color w:val="auto"/>
              </w:rPr>
              <w:t>9,981,856</w:t>
            </w:r>
            <w:r>
              <w:rPr>
                <w:rFonts w:ascii="Arial" w:cs="Arial" w:eastAsia="Arial" w:hAnsi="Arial"/>
                <w:sz w:val="22"/>
                <w:szCs w:val="22"/>
                <w:color w:val="auto"/>
                <w:vertAlign w:val="superscript"/>
              </w:rPr>
              <w:t>(2)</w:t>
            </w:r>
          </w:p>
        </w:tc>
        <w:tc>
          <w:tcPr>
            <w:tcW w:w="1340" w:type="dxa"/>
            <w:vAlign w:val="bottom"/>
          </w:tcPr>
          <w:p>
            <w:pPr>
              <w:jc w:val="center"/>
              <w:ind w:left="84"/>
              <w:spacing w:after="0"/>
              <w:rPr>
                <w:sz w:val="20"/>
                <w:szCs w:val="20"/>
                <w:color w:val="auto"/>
              </w:rPr>
            </w:pPr>
            <w:r>
              <w:rPr>
                <w:rFonts w:ascii="Arial" w:cs="Arial" w:eastAsia="Arial" w:hAnsi="Arial"/>
                <w:sz w:val="16"/>
                <w:szCs w:val="16"/>
                <w:color w:val="auto"/>
              </w:rPr>
              <w:t>9.31%</w:t>
            </w:r>
          </w:p>
        </w:tc>
      </w:tr>
      <w:tr>
        <w:trPr>
          <w:trHeight w:val="189"/>
        </w:trPr>
        <w:tc>
          <w:tcPr>
            <w:tcW w:w="1980" w:type="dxa"/>
            <w:vAlign w:val="bottom"/>
          </w:tcPr>
          <w:p>
            <w:pPr>
              <w:spacing w:after="0"/>
              <w:rPr>
                <w:sz w:val="16"/>
                <w:szCs w:val="16"/>
                <w:color w:val="auto"/>
              </w:rPr>
            </w:pPr>
          </w:p>
        </w:tc>
        <w:tc>
          <w:tcPr>
            <w:tcW w:w="4520" w:type="dxa"/>
            <w:vAlign w:val="bottom"/>
          </w:tcPr>
          <w:p>
            <w:pPr>
              <w:ind w:left="880"/>
              <w:spacing w:after="0"/>
              <w:rPr>
                <w:sz w:val="20"/>
                <w:szCs w:val="20"/>
                <w:color w:val="auto"/>
              </w:rPr>
            </w:pPr>
            <w:r>
              <w:rPr>
                <w:rFonts w:ascii="Arial" w:cs="Arial" w:eastAsia="Arial" w:hAnsi="Arial"/>
                <w:sz w:val="16"/>
                <w:szCs w:val="16"/>
                <w:color w:val="auto"/>
              </w:rPr>
              <w:t>100 Vanguard Blvd.</w:t>
            </w:r>
          </w:p>
        </w:tc>
        <w:tc>
          <w:tcPr>
            <w:tcW w:w="3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8"/>
        </w:trPr>
        <w:tc>
          <w:tcPr>
            <w:tcW w:w="1980" w:type="dxa"/>
            <w:vAlign w:val="bottom"/>
          </w:tcPr>
          <w:p>
            <w:pPr>
              <w:spacing w:after="0"/>
              <w:rPr>
                <w:sz w:val="17"/>
                <w:szCs w:val="17"/>
                <w:color w:val="auto"/>
              </w:rPr>
            </w:pPr>
          </w:p>
        </w:tc>
        <w:tc>
          <w:tcPr>
            <w:tcW w:w="4520" w:type="dxa"/>
            <w:vAlign w:val="bottom"/>
          </w:tcPr>
          <w:p>
            <w:pPr>
              <w:ind w:left="880"/>
              <w:spacing w:after="0"/>
              <w:rPr>
                <w:sz w:val="20"/>
                <w:szCs w:val="20"/>
                <w:color w:val="auto"/>
              </w:rPr>
            </w:pPr>
            <w:r>
              <w:rPr>
                <w:rFonts w:ascii="Arial" w:cs="Arial" w:eastAsia="Arial" w:hAnsi="Arial"/>
                <w:sz w:val="16"/>
                <w:szCs w:val="16"/>
                <w:color w:val="auto"/>
              </w:rPr>
              <w:t>Malvern, PA 19355</w:t>
            </w:r>
          </w:p>
        </w:tc>
        <w:tc>
          <w:tcPr>
            <w:tcW w:w="3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4"/>
        </w:trPr>
        <w:tc>
          <w:tcPr>
            <w:tcW w:w="19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4520" w:type="dxa"/>
            <w:vAlign w:val="bottom"/>
            <w:shd w:val="clear" w:color="auto" w:fill="D9D9D9"/>
          </w:tcPr>
          <w:p>
            <w:pPr>
              <w:ind w:left="880"/>
              <w:spacing w:after="0"/>
              <w:rPr>
                <w:sz w:val="20"/>
                <w:szCs w:val="20"/>
                <w:color w:val="auto"/>
              </w:rPr>
            </w:pPr>
            <w:r>
              <w:rPr>
                <w:rFonts w:ascii="Arial" w:cs="Arial" w:eastAsia="Arial" w:hAnsi="Arial"/>
                <w:sz w:val="16"/>
                <w:szCs w:val="16"/>
                <w:color w:val="auto"/>
              </w:rPr>
              <w:t>BlackRock, Inc.</w:t>
            </w:r>
          </w:p>
        </w:tc>
        <w:tc>
          <w:tcPr>
            <w:tcW w:w="3580" w:type="dxa"/>
            <w:vAlign w:val="bottom"/>
            <w:shd w:val="clear" w:color="auto" w:fill="D9D9D9"/>
          </w:tcPr>
          <w:p>
            <w:pPr>
              <w:jc w:val="center"/>
              <w:ind w:left="1050"/>
              <w:spacing w:after="0" w:line="194" w:lineRule="exact"/>
              <w:rPr>
                <w:sz w:val="20"/>
                <w:szCs w:val="20"/>
                <w:color w:val="auto"/>
              </w:rPr>
            </w:pPr>
            <w:r>
              <w:rPr>
                <w:rFonts w:ascii="Arial" w:cs="Arial" w:eastAsia="Arial" w:hAnsi="Arial"/>
                <w:sz w:val="14"/>
                <w:szCs w:val="14"/>
                <w:color w:val="auto"/>
              </w:rPr>
              <w:t>9,024,224</w:t>
            </w:r>
            <w:r>
              <w:rPr>
                <w:rFonts w:ascii="Arial" w:cs="Arial" w:eastAsia="Arial" w:hAnsi="Arial"/>
                <w:sz w:val="22"/>
                <w:szCs w:val="22"/>
                <w:color w:val="auto"/>
                <w:vertAlign w:val="superscript"/>
              </w:rPr>
              <w:t>(3)</w:t>
            </w:r>
          </w:p>
        </w:tc>
        <w:tc>
          <w:tcPr>
            <w:tcW w:w="1340" w:type="dxa"/>
            <w:vAlign w:val="bottom"/>
            <w:shd w:val="clear" w:color="auto" w:fill="D9D9D9"/>
          </w:tcPr>
          <w:p>
            <w:pPr>
              <w:jc w:val="center"/>
              <w:ind w:left="84"/>
              <w:spacing w:after="0"/>
              <w:rPr>
                <w:sz w:val="20"/>
                <w:szCs w:val="20"/>
                <w:color w:val="auto"/>
              </w:rPr>
            </w:pPr>
            <w:r>
              <w:rPr>
                <w:rFonts w:ascii="Arial" w:cs="Arial" w:eastAsia="Arial" w:hAnsi="Arial"/>
                <w:sz w:val="16"/>
                <w:szCs w:val="16"/>
                <w:color w:val="auto"/>
              </w:rPr>
              <w:t>8.42%</w:t>
            </w:r>
          </w:p>
        </w:tc>
      </w:tr>
      <w:tr>
        <w:trPr>
          <w:trHeight w:val="189"/>
        </w:trPr>
        <w:tc>
          <w:tcPr>
            <w:tcW w:w="1980" w:type="dxa"/>
            <w:vAlign w:val="bottom"/>
            <w:shd w:val="clear" w:color="auto" w:fill="D9D9D9"/>
          </w:tcPr>
          <w:p>
            <w:pPr>
              <w:spacing w:after="0"/>
              <w:rPr>
                <w:sz w:val="16"/>
                <w:szCs w:val="16"/>
                <w:color w:val="auto"/>
              </w:rPr>
            </w:pPr>
          </w:p>
        </w:tc>
        <w:tc>
          <w:tcPr>
            <w:tcW w:w="4520" w:type="dxa"/>
            <w:vAlign w:val="bottom"/>
            <w:shd w:val="clear" w:color="auto" w:fill="D9D9D9"/>
          </w:tcPr>
          <w:p>
            <w:pPr>
              <w:ind w:left="880"/>
              <w:spacing w:after="0"/>
              <w:rPr>
                <w:sz w:val="20"/>
                <w:szCs w:val="20"/>
                <w:color w:val="auto"/>
              </w:rPr>
            </w:pPr>
            <w:r>
              <w:rPr>
                <w:rFonts w:ascii="Arial" w:cs="Arial" w:eastAsia="Arial" w:hAnsi="Arial"/>
                <w:sz w:val="16"/>
                <w:szCs w:val="16"/>
                <w:color w:val="auto"/>
              </w:rPr>
              <w:t>55 East 52nd St.</w:t>
            </w:r>
          </w:p>
        </w:tc>
        <w:tc>
          <w:tcPr>
            <w:tcW w:w="358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r>
      <w:tr>
        <w:trPr>
          <w:trHeight w:val="201"/>
        </w:trPr>
        <w:tc>
          <w:tcPr>
            <w:tcW w:w="1980" w:type="dxa"/>
            <w:vAlign w:val="bottom"/>
            <w:shd w:val="clear" w:color="auto" w:fill="D9D9D9"/>
          </w:tcPr>
          <w:p>
            <w:pPr>
              <w:spacing w:after="0"/>
              <w:rPr>
                <w:sz w:val="17"/>
                <w:szCs w:val="17"/>
                <w:color w:val="auto"/>
              </w:rPr>
            </w:pPr>
          </w:p>
        </w:tc>
        <w:tc>
          <w:tcPr>
            <w:tcW w:w="4520" w:type="dxa"/>
            <w:vAlign w:val="bottom"/>
            <w:shd w:val="clear" w:color="auto" w:fill="D9D9D9"/>
          </w:tcPr>
          <w:p>
            <w:pPr>
              <w:ind w:left="880"/>
              <w:spacing w:after="0"/>
              <w:rPr>
                <w:sz w:val="20"/>
                <w:szCs w:val="20"/>
                <w:color w:val="auto"/>
              </w:rPr>
            </w:pPr>
            <w:r>
              <w:rPr>
                <w:rFonts w:ascii="Arial" w:cs="Arial" w:eastAsia="Arial" w:hAnsi="Arial"/>
                <w:sz w:val="16"/>
                <w:szCs w:val="16"/>
                <w:color w:val="auto"/>
              </w:rPr>
              <w:t>New York, NY 10055</w:t>
            </w:r>
          </w:p>
        </w:tc>
        <w:tc>
          <w:tcPr>
            <w:tcW w:w="358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r>
      <w:tr>
        <w:trPr>
          <w:trHeight w:val="191"/>
        </w:trPr>
        <w:tc>
          <w:tcPr>
            <w:tcW w:w="1980" w:type="dxa"/>
            <w:vAlign w:val="bottom"/>
          </w:tcPr>
          <w:p>
            <w:pPr>
              <w:spacing w:after="0"/>
              <w:rPr>
                <w:sz w:val="20"/>
                <w:szCs w:val="20"/>
                <w:color w:val="auto"/>
              </w:rPr>
            </w:pPr>
            <w:r>
              <w:rPr>
                <w:rFonts w:ascii="Arial" w:cs="Arial" w:eastAsia="Arial" w:hAnsi="Arial"/>
                <w:sz w:val="16"/>
                <w:szCs w:val="16"/>
                <w:color w:val="auto"/>
              </w:rPr>
              <w:t>Common Stock</w:t>
            </w:r>
          </w:p>
        </w:tc>
        <w:tc>
          <w:tcPr>
            <w:tcW w:w="4520" w:type="dxa"/>
            <w:vAlign w:val="bottom"/>
          </w:tcPr>
          <w:p>
            <w:pPr>
              <w:ind w:left="880"/>
              <w:spacing w:after="0"/>
              <w:rPr>
                <w:sz w:val="20"/>
                <w:szCs w:val="20"/>
                <w:color w:val="auto"/>
              </w:rPr>
            </w:pPr>
            <w:r>
              <w:rPr>
                <w:rFonts w:ascii="Arial" w:cs="Arial" w:eastAsia="Arial" w:hAnsi="Arial"/>
                <w:sz w:val="16"/>
                <w:szCs w:val="16"/>
                <w:color w:val="auto"/>
              </w:rPr>
              <w:t>T Rowe Price Associates Inc.</w:t>
            </w:r>
          </w:p>
        </w:tc>
        <w:tc>
          <w:tcPr>
            <w:tcW w:w="3580" w:type="dxa"/>
            <w:vAlign w:val="bottom"/>
          </w:tcPr>
          <w:p>
            <w:pPr>
              <w:jc w:val="center"/>
              <w:ind w:left="1050"/>
              <w:spacing w:after="0" w:line="191" w:lineRule="exact"/>
              <w:rPr>
                <w:sz w:val="20"/>
                <w:szCs w:val="20"/>
                <w:color w:val="auto"/>
              </w:rPr>
            </w:pPr>
            <w:r>
              <w:rPr>
                <w:rFonts w:ascii="Arial" w:cs="Arial" w:eastAsia="Arial" w:hAnsi="Arial"/>
                <w:sz w:val="14"/>
                <w:szCs w:val="14"/>
                <w:color w:val="auto"/>
              </w:rPr>
              <w:t>5,444,304</w:t>
            </w:r>
            <w:r>
              <w:rPr>
                <w:rFonts w:ascii="Arial" w:cs="Arial" w:eastAsia="Arial" w:hAnsi="Arial"/>
                <w:sz w:val="22"/>
                <w:szCs w:val="22"/>
                <w:color w:val="auto"/>
                <w:vertAlign w:val="superscript"/>
              </w:rPr>
              <w:t>(4)</w:t>
            </w:r>
          </w:p>
        </w:tc>
        <w:tc>
          <w:tcPr>
            <w:tcW w:w="1340" w:type="dxa"/>
            <w:vAlign w:val="bottom"/>
          </w:tcPr>
          <w:p>
            <w:pPr>
              <w:jc w:val="center"/>
              <w:ind w:left="84"/>
              <w:spacing w:after="0"/>
              <w:rPr>
                <w:sz w:val="20"/>
                <w:szCs w:val="20"/>
                <w:color w:val="auto"/>
              </w:rPr>
            </w:pPr>
            <w:r>
              <w:rPr>
                <w:rFonts w:ascii="Arial" w:cs="Arial" w:eastAsia="Arial" w:hAnsi="Arial"/>
                <w:sz w:val="16"/>
                <w:szCs w:val="16"/>
                <w:color w:val="auto"/>
              </w:rPr>
              <w:t>5.08%</w:t>
            </w:r>
          </w:p>
        </w:tc>
      </w:tr>
      <w:tr>
        <w:trPr>
          <w:trHeight w:val="189"/>
        </w:trPr>
        <w:tc>
          <w:tcPr>
            <w:tcW w:w="1980" w:type="dxa"/>
            <w:vAlign w:val="bottom"/>
          </w:tcPr>
          <w:p>
            <w:pPr>
              <w:spacing w:after="0"/>
              <w:rPr>
                <w:sz w:val="16"/>
                <w:szCs w:val="16"/>
                <w:color w:val="auto"/>
              </w:rPr>
            </w:pPr>
          </w:p>
        </w:tc>
        <w:tc>
          <w:tcPr>
            <w:tcW w:w="4520" w:type="dxa"/>
            <w:vAlign w:val="bottom"/>
          </w:tcPr>
          <w:p>
            <w:pPr>
              <w:ind w:left="880"/>
              <w:spacing w:after="0"/>
              <w:rPr>
                <w:sz w:val="20"/>
                <w:szCs w:val="20"/>
                <w:color w:val="auto"/>
              </w:rPr>
            </w:pPr>
            <w:r>
              <w:rPr>
                <w:rFonts w:ascii="Arial" w:cs="Arial" w:eastAsia="Arial" w:hAnsi="Arial"/>
                <w:sz w:val="16"/>
                <w:szCs w:val="16"/>
                <w:color w:val="auto"/>
              </w:rPr>
              <w:t>100 East Pratt St.</w:t>
            </w:r>
          </w:p>
        </w:tc>
        <w:tc>
          <w:tcPr>
            <w:tcW w:w="3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1980" w:type="dxa"/>
            <w:vAlign w:val="bottom"/>
          </w:tcPr>
          <w:p>
            <w:pPr>
              <w:spacing w:after="0"/>
              <w:rPr>
                <w:sz w:val="16"/>
                <w:szCs w:val="16"/>
                <w:color w:val="auto"/>
              </w:rPr>
            </w:pPr>
          </w:p>
        </w:tc>
        <w:tc>
          <w:tcPr>
            <w:tcW w:w="4520" w:type="dxa"/>
            <w:vAlign w:val="bottom"/>
          </w:tcPr>
          <w:p>
            <w:pPr>
              <w:ind w:left="880"/>
              <w:spacing w:after="0"/>
              <w:rPr>
                <w:sz w:val="20"/>
                <w:szCs w:val="20"/>
                <w:color w:val="auto"/>
              </w:rPr>
            </w:pPr>
            <w:r>
              <w:rPr>
                <w:rFonts w:ascii="Arial" w:cs="Arial" w:eastAsia="Arial" w:hAnsi="Arial"/>
                <w:sz w:val="16"/>
                <w:szCs w:val="16"/>
                <w:color w:val="auto"/>
              </w:rPr>
              <w:t>Baltimore, MD 21202</w:t>
            </w:r>
          </w:p>
        </w:tc>
        <w:tc>
          <w:tcPr>
            <w:tcW w:w="358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is based on 107,193,878 shares outstanding as of our record date.</w:t>
      </w:r>
    </w:p>
    <w:p>
      <w:pPr>
        <w:spacing w:after="0" w:line="76" w:lineRule="exact"/>
        <w:rPr>
          <w:rFonts w:ascii="Arial" w:cs="Arial" w:eastAsia="Arial" w:hAnsi="Arial"/>
          <w:sz w:val="18"/>
          <w:szCs w:val="18"/>
          <w:color w:val="auto"/>
        </w:rPr>
      </w:pPr>
    </w:p>
    <w:p>
      <w:pPr>
        <w:ind w:left="460" w:right="180" w:hanging="452"/>
        <w:spacing w:after="0" w:line="23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The Vanguard Group, Inc., an investment adviser, filed with the SEC on November 14, 2017, reflecting beneficial ownership as of September 30, 2017, with sole investment discretion but no voting authority with respect to 9,908,090 shares, sole investment discretion and voting authority with respect to 8,078 shares, shared investment discretion but sole voting authority with respect to 52,851 shares and shared discretion and voting authority with respect to 12,837 shares.</w:t>
      </w:r>
    </w:p>
    <w:p>
      <w:pPr>
        <w:spacing w:after="0" w:line="67"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23, 2018, reflecting beneficial ownership as of December 31, 2017, with sole investment discretion and voting authority with respect to 8,600,679 shares and sole investment discretion but no voting authority with respect 423,545 shares. BlackRock, Inc. does not have shared voting or dispositive power over any of the shares.</w:t>
      </w:r>
    </w:p>
    <w:p>
      <w:pPr>
        <w:spacing w:after="0" w:line="66"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solely on information contained in the most recently filed Schedule 13F of T Rowe Price Associates Inc., an investment adviser, filed with the SEC on November 14, 2017, reflecting beneficial ownership as of September 30, 2017, with sole investment discretion with respect to all such shares, sole voting authority with respect to 1,146,025 shares and no voting authority with respect to 4,298,279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26, 2018, by</w:t>
      </w:r>
    </w:p>
    <w:p>
      <w:pPr>
        <w:ind w:right="180" w:firstLine="8"/>
        <w:spacing w:after="0" w:line="239"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current non-employee directors (including our non-employee director nominees), (ii) individuals who served as our “principal executive officer” or “principal financial officer” during fiscal 2017 and the next three most highly compensated executive officers named in the “Summary Compensation Table” beginning on page 46 (we collectively refer to these persons as our “named executive officers”), and our employee director, and (iii) all directors and executive officers as a group.</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80" w:type="dxa"/>
            <w:vAlign w:val="bottom"/>
            <w:shd w:val="clear" w:color="auto" w:fill="C00000"/>
          </w:tcPr>
          <w:p>
            <w:pPr>
              <w:spacing w:after="0"/>
              <w:rPr>
                <w:sz w:val="16"/>
                <w:szCs w:val="16"/>
                <w:color w:val="auto"/>
              </w:rPr>
            </w:pPr>
          </w:p>
        </w:tc>
        <w:tc>
          <w:tcPr>
            <w:tcW w:w="1700" w:type="dxa"/>
            <w:vAlign w:val="bottom"/>
            <w:shd w:val="clear" w:color="auto" w:fill="C00000"/>
          </w:tcPr>
          <w:p>
            <w:pPr>
              <w:spacing w:after="0"/>
              <w:rPr>
                <w:sz w:val="16"/>
                <w:szCs w:val="16"/>
                <w:color w:val="auto"/>
              </w:rPr>
            </w:pPr>
          </w:p>
        </w:tc>
        <w:tc>
          <w:tcPr>
            <w:tcW w:w="3780" w:type="dxa"/>
            <w:vAlign w:val="bottom"/>
            <w:shd w:val="clear" w:color="auto" w:fill="C00000"/>
          </w:tcPr>
          <w:p>
            <w:pPr>
              <w:spacing w:after="0"/>
              <w:rPr>
                <w:sz w:val="16"/>
                <w:szCs w:val="16"/>
                <w:color w:val="auto"/>
              </w:rPr>
            </w:pPr>
          </w:p>
        </w:tc>
        <w:tc>
          <w:tcPr>
            <w:tcW w:w="3480" w:type="dxa"/>
            <w:vAlign w:val="bottom"/>
            <w:shd w:val="clear" w:color="auto" w:fill="C00000"/>
          </w:tcPr>
          <w:p>
            <w:pPr>
              <w:jc w:val="center"/>
              <w:ind w:left="1161"/>
              <w:spacing w:after="0"/>
              <w:rPr>
                <w:sz w:val="20"/>
                <w:szCs w:val="20"/>
                <w:color w:val="auto"/>
              </w:rPr>
            </w:pPr>
            <w:r>
              <w:rPr>
                <w:rFonts w:ascii="Arial" w:cs="Arial" w:eastAsia="Arial" w:hAnsi="Arial"/>
                <w:sz w:val="14"/>
                <w:szCs w:val="14"/>
                <w:b w:val="1"/>
                <w:bCs w:val="1"/>
                <w:color w:val="FFFFFF"/>
              </w:rPr>
              <w:t>Amount and Nature of</w:t>
            </w:r>
          </w:p>
        </w:tc>
        <w:tc>
          <w:tcPr>
            <w:tcW w:w="1180" w:type="dxa"/>
            <w:vAlign w:val="bottom"/>
            <w:shd w:val="clear" w:color="auto" w:fill="C00000"/>
          </w:tcPr>
          <w:p>
            <w:pPr>
              <w:spacing w:after="0"/>
              <w:rPr>
                <w:sz w:val="16"/>
                <w:szCs w:val="16"/>
                <w:color w:val="auto"/>
              </w:rPr>
            </w:pPr>
          </w:p>
        </w:tc>
      </w:tr>
      <w:tr>
        <w:trPr>
          <w:trHeight w:val="159"/>
        </w:trPr>
        <w:tc>
          <w:tcPr>
            <w:tcW w:w="1280" w:type="dxa"/>
            <w:vAlign w:val="bottom"/>
            <w:shd w:val="clear" w:color="auto" w:fill="C00000"/>
          </w:tcPr>
          <w:p>
            <w:pPr>
              <w:spacing w:after="0"/>
              <w:rPr>
                <w:sz w:val="13"/>
                <w:szCs w:val="13"/>
                <w:color w:val="auto"/>
              </w:rPr>
            </w:pPr>
          </w:p>
        </w:tc>
        <w:tc>
          <w:tcPr>
            <w:tcW w:w="1700" w:type="dxa"/>
            <w:vAlign w:val="bottom"/>
            <w:shd w:val="clear" w:color="auto" w:fill="C00000"/>
          </w:tcPr>
          <w:p>
            <w:pPr>
              <w:spacing w:after="0"/>
              <w:rPr>
                <w:sz w:val="13"/>
                <w:szCs w:val="13"/>
                <w:color w:val="auto"/>
              </w:rPr>
            </w:pPr>
          </w:p>
        </w:tc>
        <w:tc>
          <w:tcPr>
            <w:tcW w:w="3780" w:type="dxa"/>
            <w:vAlign w:val="bottom"/>
            <w:shd w:val="clear" w:color="auto" w:fill="C00000"/>
          </w:tcPr>
          <w:p>
            <w:pPr>
              <w:spacing w:after="0"/>
              <w:rPr>
                <w:sz w:val="13"/>
                <w:szCs w:val="13"/>
                <w:color w:val="auto"/>
              </w:rPr>
            </w:pPr>
          </w:p>
        </w:tc>
        <w:tc>
          <w:tcPr>
            <w:tcW w:w="3480" w:type="dxa"/>
            <w:vAlign w:val="bottom"/>
            <w:shd w:val="clear" w:color="auto" w:fill="C00000"/>
          </w:tcPr>
          <w:p>
            <w:pPr>
              <w:jc w:val="center"/>
              <w:ind w:left="1181"/>
              <w:spacing w:after="0" w:line="159" w:lineRule="exact"/>
              <w:rPr>
                <w:sz w:val="20"/>
                <w:szCs w:val="20"/>
                <w:color w:val="auto"/>
              </w:rPr>
            </w:pPr>
            <w:r>
              <w:rPr>
                <w:rFonts w:ascii="Arial" w:cs="Arial" w:eastAsia="Arial" w:hAnsi="Arial"/>
                <w:sz w:val="14"/>
                <w:szCs w:val="14"/>
                <w:b w:val="1"/>
                <w:bCs w:val="1"/>
                <w:color w:val="FFFFFF"/>
              </w:rPr>
              <w:t>Beneficial Ownership</w:t>
            </w:r>
          </w:p>
        </w:tc>
        <w:tc>
          <w:tcPr>
            <w:tcW w:w="118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Percent of</w:t>
            </w:r>
          </w:p>
        </w:tc>
      </w:tr>
      <w:tr>
        <w:trPr>
          <w:trHeight w:val="192"/>
        </w:trPr>
        <w:tc>
          <w:tcPr>
            <w:tcW w:w="12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Title of Class</w:t>
            </w:r>
          </w:p>
        </w:tc>
        <w:tc>
          <w:tcPr>
            <w:tcW w:w="5480" w:type="dxa"/>
            <w:vAlign w:val="bottom"/>
            <w:gridSpan w:val="2"/>
            <w:shd w:val="clear" w:color="auto" w:fill="C00000"/>
          </w:tcPr>
          <w:p>
            <w:pPr>
              <w:ind w:left="160"/>
              <w:spacing w:after="0"/>
              <w:rPr>
                <w:sz w:val="20"/>
                <w:szCs w:val="20"/>
                <w:color w:val="auto"/>
              </w:rPr>
            </w:pPr>
            <w:r>
              <w:rPr>
                <w:rFonts w:ascii="Arial" w:cs="Arial" w:eastAsia="Arial" w:hAnsi="Arial"/>
                <w:sz w:val="14"/>
                <w:szCs w:val="14"/>
                <w:b w:val="1"/>
                <w:bCs w:val="1"/>
                <w:color w:val="FFFFFF"/>
              </w:rPr>
              <w:t>Name of Beneficial Owner</w:t>
            </w:r>
          </w:p>
        </w:tc>
        <w:tc>
          <w:tcPr>
            <w:tcW w:w="3480" w:type="dxa"/>
            <w:vAlign w:val="bottom"/>
            <w:shd w:val="clear" w:color="auto" w:fill="C00000"/>
          </w:tcPr>
          <w:p>
            <w:pPr>
              <w:jc w:val="center"/>
              <w:ind w:left="1161"/>
              <w:spacing w:after="0"/>
              <w:rPr>
                <w:sz w:val="20"/>
                <w:szCs w:val="20"/>
                <w:color w:val="auto"/>
              </w:rPr>
            </w:pPr>
            <w:r>
              <w:rPr>
                <w:rFonts w:ascii="Arial" w:cs="Arial" w:eastAsia="Arial" w:hAnsi="Arial"/>
                <w:sz w:val="12"/>
                <w:szCs w:val="12"/>
                <w:b w:val="1"/>
                <w:bCs w:val="1"/>
                <w:color w:val="FFFFFF"/>
              </w:rPr>
              <w:t>(1)(2)(3)(4)</w:t>
            </w:r>
          </w:p>
        </w:tc>
        <w:tc>
          <w:tcPr>
            <w:tcW w:w="1180" w:type="dxa"/>
            <w:vAlign w:val="bottom"/>
            <w:shd w:val="clear" w:color="auto" w:fill="C00000"/>
          </w:tcPr>
          <w:p>
            <w:pPr>
              <w:jc w:val="center"/>
              <w:spacing w:after="0" w:line="192" w:lineRule="exact"/>
              <w:rPr>
                <w:sz w:val="20"/>
                <w:szCs w:val="20"/>
                <w:color w:val="auto"/>
              </w:rPr>
            </w:pPr>
            <w:r>
              <w:rPr>
                <w:rFonts w:ascii="Arial" w:cs="Arial" w:eastAsia="Arial" w:hAnsi="Arial"/>
                <w:sz w:val="13"/>
                <w:szCs w:val="13"/>
                <w:b w:val="1"/>
                <w:bCs w:val="1"/>
                <w:color w:val="FFFFFF"/>
              </w:rPr>
              <w:t>Class</w:t>
            </w:r>
            <w:r>
              <w:rPr>
                <w:rFonts w:ascii="Arial" w:cs="Arial" w:eastAsia="Arial" w:hAnsi="Arial"/>
                <w:sz w:val="22"/>
                <w:szCs w:val="22"/>
                <w:b w:val="1"/>
                <w:bCs w:val="1"/>
                <w:color w:val="FFFFFF"/>
                <w:vertAlign w:val="superscript"/>
              </w:rPr>
              <w:t>(5)</w:t>
            </w:r>
          </w:p>
        </w:tc>
      </w:tr>
      <w:tr>
        <w:trPr>
          <w:trHeight w:val="189"/>
        </w:trPr>
        <w:tc>
          <w:tcPr>
            <w:tcW w:w="1280" w:type="dxa"/>
            <w:vAlign w:val="bottom"/>
          </w:tcPr>
          <w:p>
            <w:pPr>
              <w:spacing w:after="0"/>
              <w:rPr>
                <w:sz w:val="16"/>
                <w:szCs w:val="16"/>
                <w:color w:val="auto"/>
              </w:rPr>
            </w:pPr>
          </w:p>
        </w:tc>
        <w:tc>
          <w:tcPr>
            <w:tcW w:w="5480" w:type="dxa"/>
            <w:vAlign w:val="bottom"/>
            <w:gridSpan w:val="2"/>
          </w:tcPr>
          <w:p>
            <w:pPr>
              <w:ind w:left="160"/>
              <w:spacing w:after="0"/>
              <w:rPr>
                <w:sz w:val="20"/>
                <w:szCs w:val="20"/>
                <w:color w:val="auto"/>
              </w:rPr>
            </w:pPr>
            <w:r>
              <w:rPr>
                <w:rFonts w:ascii="Arial" w:cs="Arial" w:eastAsia="Arial" w:hAnsi="Arial"/>
                <w:sz w:val="16"/>
                <w:szCs w:val="16"/>
                <w:color w:val="auto"/>
              </w:rPr>
              <w:t>Non-Employee Directors:</w:t>
            </w:r>
          </w:p>
        </w:tc>
        <w:tc>
          <w:tcPr>
            <w:tcW w:w="34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Robert C. Buhrmaster</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121,371</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Janet K. Cooper</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125,418</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Gary L. Ellis</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101,360</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Jeffrey M. Ettinger</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77,833</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Katherine J. Harless</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124,618</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D. Christian Koch</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3,850</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James C. O’Rourke</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24,720</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Gregg W. Steinhafel</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65,883</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Christopher A. Twomey</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109,615</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Michael G. Vale</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16"/>
                <w:szCs w:val="16"/>
                <w:color w:val="auto"/>
              </w:rPr>
            </w:pPr>
          </w:p>
        </w:tc>
        <w:tc>
          <w:tcPr>
            <w:tcW w:w="548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Employee Director and Named Executive Officers:</w:t>
            </w:r>
          </w:p>
        </w:tc>
        <w:tc>
          <w:tcPr>
            <w:tcW w:w="348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Richard M. Olson</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200,929</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Renee J. Peterson</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328,611</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line="189" w:lineRule="exact"/>
              <w:rPr>
                <w:sz w:val="20"/>
                <w:szCs w:val="20"/>
                <w:color w:val="auto"/>
              </w:rPr>
            </w:pPr>
            <w:r>
              <w:rPr>
                <w:rFonts w:ascii="Arial" w:cs="Arial" w:eastAsia="Arial" w:hAnsi="Arial"/>
                <w:sz w:val="13"/>
                <w:szCs w:val="13"/>
                <w:color w:val="auto"/>
              </w:rPr>
              <w:t>Michael J. Hoffman</w:t>
            </w:r>
            <w:r>
              <w:rPr>
                <w:rFonts w:ascii="Arial" w:cs="Arial" w:eastAsia="Arial" w:hAnsi="Arial"/>
                <w:sz w:val="21"/>
                <w:szCs w:val="21"/>
                <w:color w:val="auto"/>
                <w:vertAlign w:val="superscript"/>
              </w:rPr>
              <w:t>(6)</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2,975,504</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6"/>
              </w:rPr>
              <w:t>2.74%</w:t>
            </w:r>
          </w:p>
        </w:tc>
      </w:tr>
      <w:tr>
        <w:trPr>
          <w:trHeight w:val="189"/>
        </w:trPr>
        <w:tc>
          <w:tcPr>
            <w:tcW w:w="1280" w:type="dxa"/>
            <w:vAlign w:val="bottom"/>
            <w:shd w:val="clear" w:color="auto" w:fill="D9D9D9"/>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William E. Brown, Jr.</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343,950</w:t>
            </w:r>
          </w:p>
        </w:tc>
        <w:tc>
          <w:tcPr>
            <w:tcW w:w="1180" w:type="dxa"/>
            <w:vAlign w:val="bottom"/>
            <w:shd w:val="clear" w:color="auto" w:fill="D9D9D9"/>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tcPr>
          <w:p>
            <w:pPr>
              <w:spacing w:after="0"/>
              <w:rPr>
                <w:sz w:val="20"/>
                <w:szCs w:val="20"/>
                <w:color w:val="auto"/>
              </w:rPr>
            </w:pPr>
            <w:r>
              <w:rPr>
                <w:rFonts w:ascii="Arial" w:cs="Arial" w:eastAsia="Arial" w:hAnsi="Arial"/>
                <w:sz w:val="16"/>
                <w:szCs w:val="16"/>
                <w:color w:val="auto"/>
              </w:rPr>
              <w:t>Common Stock</w:t>
            </w:r>
          </w:p>
        </w:tc>
        <w:tc>
          <w:tcPr>
            <w:tcW w:w="5480" w:type="dxa"/>
            <w:vAlign w:val="bottom"/>
            <w:gridSpan w:val="2"/>
          </w:tcPr>
          <w:p>
            <w:pPr>
              <w:ind w:left="340"/>
              <w:spacing w:after="0"/>
              <w:rPr>
                <w:sz w:val="20"/>
                <w:szCs w:val="20"/>
                <w:color w:val="auto"/>
              </w:rPr>
            </w:pPr>
            <w:r>
              <w:rPr>
                <w:rFonts w:ascii="Arial" w:cs="Arial" w:eastAsia="Arial" w:hAnsi="Arial"/>
                <w:sz w:val="16"/>
                <w:szCs w:val="16"/>
                <w:color w:val="auto"/>
              </w:rPr>
              <w:t>Timothy P. Dordell</w:t>
            </w:r>
          </w:p>
        </w:tc>
        <w:tc>
          <w:tcPr>
            <w:tcW w:w="3480" w:type="dxa"/>
            <w:vAlign w:val="bottom"/>
          </w:tcPr>
          <w:p>
            <w:pPr>
              <w:jc w:val="right"/>
              <w:ind w:right="201"/>
              <w:spacing w:after="0"/>
              <w:rPr>
                <w:sz w:val="20"/>
                <w:szCs w:val="20"/>
                <w:color w:val="auto"/>
              </w:rPr>
            </w:pPr>
            <w:r>
              <w:rPr>
                <w:rFonts w:ascii="Arial" w:cs="Arial" w:eastAsia="Arial" w:hAnsi="Arial"/>
                <w:sz w:val="16"/>
                <w:szCs w:val="16"/>
                <w:color w:val="auto"/>
              </w:rPr>
              <w:t>247,214</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w w:val="95"/>
              </w:rPr>
              <w:t>*</w:t>
            </w:r>
          </w:p>
        </w:tc>
      </w:tr>
      <w:tr>
        <w:trPr>
          <w:trHeight w:val="189"/>
        </w:trPr>
        <w:tc>
          <w:tcPr>
            <w:tcW w:w="1280" w:type="dxa"/>
            <w:vAlign w:val="bottom"/>
            <w:shd w:val="clear" w:color="auto" w:fill="D9D9D9"/>
          </w:tcPr>
          <w:p>
            <w:pPr>
              <w:spacing w:after="0"/>
              <w:rPr>
                <w:sz w:val="16"/>
                <w:szCs w:val="16"/>
                <w:color w:val="auto"/>
              </w:rPr>
            </w:pPr>
          </w:p>
        </w:tc>
        <w:tc>
          <w:tcPr>
            <w:tcW w:w="548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All Directors and Executive Officers as a Group (23)</w:t>
            </w:r>
          </w:p>
        </w:tc>
        <w:tc>
          <w:tcPr>
            <w:tcW w:w="3480" w:type="dxa"/>
            <w:vAlign w:val="bottom"/>
            <w:shd w:val="clear" w:color="auto" w:fill="D9D9D9"/>
          </w:tcPr>
          <w:p>
            <w:pPr>
              <w:jc w:val="right"/>
              <w:ind w:right="201"/>
              <w:spacing w:after="0"/>
              <w:rPr>
                <w:sz w:val="20"/>
                <w:szCs w:val="20"/>
                <w:color w:val="auto"/>
              </w:rPr>
            </w:pPr>
            <w:r>
              <w:rPr>
                <w:rFonts w:ascii="Arial" w:cs="Arial" w:eastAsia="Arial" w:hAnsi="Arial"/>
                <w:sz w:val="16"/>
                <w:szCs w:val="16"/>
                <w:color w:val="auto"/>
              </w:rPr>
              <w:t>5,855,005</w:t>
            </w:r>
          </w:p>
        </w:tc>
        <w:tc>
          <w:tcPr>
            <w:tcW w:w="1180" w:type="dxa"/>
            <w:vAlign w:val="bottom"/>
            <w:shd w:val="clear" w:color="auto" w:fill="D9D9D9"/>
          </w:tcPr>
          <w:p>
            <w:pPr>
              <w:jc w:val="center"/>
              <w:ind w:left="60"/>
              <w:spacing w:after="0"/>
              <w:rPr>
                <w:sz w:val="20"/>
                <w:szCs w:val="20"/>
                <w:color w:val="auto"/>
              </w:rPr>
            </w:pPr>
            <w:r>
              <w:rPr>
                <w:rFonts w:ascii="Arial" w:cs="Arial" w:eastAsia="Arial" w:hAnsi="Arial"/>
                <w:sz w:val="16"/>
                <w:szCs w:val="16"/>
                <w:color w:val="auto"/>
                <w:w w:val="96"/>
              </w:rPr>
              <w:t>5.32%</w:t>
            </w:r>
          </w:p>
        </w:tc>
      </w:tr>
      <w:tr>
        <w:trPr>
          <w:trHeight w:val="149"/>
        </w:trPr>
        <w:tc>
          <w:tcPr>
            <w:tcW w:w="1280" w:type="dxa"/>
            <w:vAlign w:val="bottom"/>
            <w:tcBorders>
              <w:bottom w:val="single" w:sz="8" w:color="C00000"/>
            </w:tcBorders>
          </w:tcPr>
          <w:p>
            <w:pPr>
              <w:spacing w:after="0"/>
              <w:rPr>
                <w:sz w:val="12"/>
                <w:szCs w:val="12"/>
                <w:color w:val="auto"/>
              </w:rPr>
            </w:pPr>
          </w:p>
        </w:tc>
        <w:tc>
          <w:tcPr>
            <w:tcW w:w="1700" w:type="dxa"/>
            <w:vAlign w:val="bottom"/>
            <w:tcBorders>
              <w:bottom w:val="single" w:sz="8" w:color="C00000"/>
            </w:tcBorders>
          </w:tcPr>
          <w:p>
            <w:pPr>
              <w:spacing w:after="0"/>
              <w:rPr>
                <w:sz w:val="12"/>
                <w:szCs w:val="12"/>
                <w:color w:val="auto"/>
              </w:rPr>
            </w:pPr>
          </w:p>
        </w:tc>
        <w:tc>
          <w:tcPr>
            <w:tcW w:w="37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80" w:type="dxa"/>
            <w:vAlign w:val="bottom"/>
          </w:tcPr>
          <w:p>
            <w:pPr>
              <w:spacing w:after="0"/>
              <w:rPr>
                <w:sz w:val="12"/>
                <w:szCs w:val="12"/>
                <w:color w:val="auto"/>
              </w:rPr>
            </w:pPr>
          </w:p>
        </w:tc>
      </w:tr>
    </w:tbl>
    <w:p>
      <w:pPr>
        <w:spacing w:after="0" w:line="1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460" w:right="140" w:hanging="452"/>
        <w:spacing w:after="0" w:line="23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66" w:lineRule="exact"/>
        <w:rPr>
          <w:rFonts w:ascii="Arial" w:cs="Arial" w:eastAsia="Arial" w:hAnsi="Arial"/>
          <w:sz w:val="18"/>
          <w:szCs w:val="18"/>
          <w:color w:val="auto"/>
        </w:rPr>
      </w:pPr>
    </w:p>
    <w:p>
      <w:pPr>
        <w:ind w:left="460" w:right="60" w:hanging="452"/>
        <w:spacing w:after="0" w:line="23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26, 2018, and, as such, includes shares that may be acquired upon exercise of stock options within 60 days of January 26, 2018; (b) shares allocated to executive officers under The Toro Company Investment, Savings and Employee Stock Ownership Plan, or IS&amp;ESOP; and (c) common stock units and performance share units, collectively referred to as units, credited under The Toro Company Deferred Compensation Plan for Non-Employee Directors, or the Deferred Plan for Directors, and The Toro Company Deferred Compensation Plan for Officers, or the Deferred Plan for Officers. The following table reflects the beneficial ownership by type of security held by our non-employee directors, named executive officers and employee director, and all current directors and executive officers as a group:</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2960" w:type="dxa"/>
            <w:vAlign w:val="bottom"/>
            <w:shd w:val="clear" w:color="auto" w:fill="C00000"/>
          </w:tcPr>
          <w:p>
            <w:pPr>
              <w:spacing w:after="0"/>
              <w:rPr>
                <w:sz w:val="16"/>
                <w:szCs w:val="16"/>
                <w:color w:val="auto"/>
              </w:rPr>
            </w:pPr>
          </w:p>
        </w:tc>
        <w:tc>
          <w:tcPr>
            <w:tcW w:w="2260" w:type="dxa"/>
            <w:vAlign w:val="bottom"/>
            <w:shd w:val="clear" w:color="auto" w:fill="C00000"/>
          </w:tcPr>
          <w:p>
            <w:pPr>
              <w:spacing w:after="0"/>
              <w:rPr>
                <w:sz w:val="16"/>
                <w:szCs w:val="16"/>
                <w:color w:val="auto"/>
              </w:rPr>
            </w:pPr>
          </w:p>
        </w:tc>
        <w:tc>
          <w:tcPr>
            <w:tcW w:w="2540" w:type="dxa"/>
            <w:vAlign w:val="bottom"/>
            <w:shd w:val="clear" w:color="auto" w:fill="C00000"/>
          </w:tcPr>
          <w:p>
            <w:pPr>
              <w:spacing w:after="0"/>
              <w:rPr>
                <w:sz w:val="16"/>
                <w:szCs w:val="16"/>
                <w:color w:val="auto"/>
              </w:rPr>
            </w:pPr>
          </w:p>
        </w:tc>
        <w:tc>
          <w:tcPr>
            <w:tcW w:w="780" w:type="dxa"/>
            <w:vAlign w:val="bottom"/>
            <w:shd w:val="clear" w:color="auto" w:fill="C00000"/>
          </w:tcPr>
          <w:p>
            <w:pPr>
              <w:spacing w:after="0"/>
              <w:rPr>
                <w:sz w:val="16"/>
                <w:szCs w:val="16"/>
                <w:color w:val="auto"/>
              </w:rPr>
            </w:pP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under</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Units under</w:t>
            </w:r>
          </w:p>
        </w:tc>
      </w:tr>
      <w:tr>
        <w:trPr>
          <w:trHeight w:val="162"/>
        </w:trPr>
        <w:tc>
          <w:tcPr>
            <w:tcW w:w="2960" w:type="dxa"/>
            <w:vAlign w:val="bottom"/>
            <w:shd w:val="clear" w:color="auto" w:fill="C00000"/>
          </w:tcPr>
          <w:p>
            <w:pPr>
              <w:spacing w:after="0"/>
              <w:rPr>
                <w:sz w:val="14"/>
                <w:szCs w:val="14"/>
                <w:color w:val="auto"/>
              </w:rPr>
            </w:pPr>
          </w:p>
        </w:tc>
        <w:tc>
          <w:tcPr>
            <w:tcW w:w="2260" w:type="dxa"/>
            <w:vAlign w:val="bottom"/>
            <w:shd w:val="clear" w:color="auto" w:fill="C00000"/>
          </w:tcPr>
          <w:p>
            <w:pPr>
              <w:spacing w:after="0"/>
              <w:rPr>
                <w:sz w:val="14"/>
                <w:szCs w:val="14"/>
                <w:color w:val="auto"/>
              </w:rPr>
            </w:pPr>
          </w:p>
        </w:tc>
        <w:tc>
          <w:tcPr>
            <w:tcW w:w="254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the Deferred</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the Deferred</w:t>
            </w:r>
          </w:p>
        </w:tc>
      </w:tr>
      <w:tr>
        <w:trPr>
          <w:trHeight w:val="162"/>
        </w:trPr>
        <w:tc>
          <w:tcPr>
            <w:tcW w:w="2960" w:type="dxa"/>
            <w:vAlign w:val="bottom"/>
            <w:shd w:val="clear" w:color="auto" w:fill="C00000"/>
          </w:tcPr>
          <w:p>
            <w:pPr>
              <w:spacing w:after="0"/>
              <w:rPr>
                <w:sz w:val="14"/>
                <w:szCs w:val="14"/>
                <w:color w:val="auto"/>
              </w:rPr>
            </w:pPr>
          </w:p>
        </w:tc>
        <w:tc>
          <w:tcPr>
            <w:tcW w:w="2260" w:type="dxa"/>
            <w:vAlign w:val="bottom"/>
            <w:shd w:val="clear" w:color="auto" w:fill="C00000"/>
          </w:tcPr>
          <w:p>
            <w:pPr>
              <w:spacing w:after="0"/>
              <w:rPr>
                <w:sz w:val="14"/>
                <w:szCs w:val="14"/>
                <w:color w:val="auto"/>
              </w:rPr>
            </w:pPr>
          </w:p>
        </w:tc>
        <w:tc>
          <w:tcPr>
            <w:tcW w:w="254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Plan for</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9"/>
              </w:rPr>
              <w:t>Plan for</w:t>
            </w:r>
          </w:p>
        </w:tc>
      </w:tr>
      <w:tr>
        <w:trPr>
          <w:trHeight w:val="189"/>
        </w:trPr>
        <w:tc>
          <w:tcPr>
            <w:tcW w:w="5220" w:type="dxa"/>
            <w:vAlign w:val="bottom"/>
            <w:gridSpan w:val="2"/>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254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Stock Options</w:t>
            </w:r>
          </w:p>
        </w:tc>
        <w:tc>
          <w:tcPr>
            <w:tcW w:w="78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IS&amp;ESOP</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Directors</w:t>
            </w:r>
          </w:p>
        </w:tc>
        <w:tc>
          <w:tcPr>
            <w:tcW w:w="9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Officers</w:t>
            </w:r>
          </w:p>
        </w:tc>
      </w:tr>
      <w:tr>
        <w:trPr>
          <w:trHeight w:val="189"/>
        </w:trPr>
        <w:tc>
          <w:tcPr>
            <w:tcW w:w="5220" w:type="dxa"/>
            <w:vAlign w:val="bottom"/>
            <w:gridSpan w:val="2"/>
          </w:tcPr>
          <w:p>
            <w:pPr>
              <w:spacing w:after="0"/>
              <w:rPr>
                <w:sz w:val="20"/>
                <w:szCs w:val="20"/>
                <w:color w:val="auto"/>
              </w:rPr>
            </w:pPr>
            <w:r>
              <w:rPr>
                <w:rFonts w:ascii="Arial" w:cs="Arial" w:eastAsia="Arial" w:hAnsi="Arial"/>
                <w:sz w:val="16"/>
                <w:szCs w:val="16"/>
                <w:color w:val="auto"/>
              </w:rPr>
              <w:t>Non-Employee Directors:</w:t>
            </w:r>
          </w:p>
        </w:tc>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Robert C. Buhrmaster</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69,894</w:t>
            </w:r>
          </w:p>
        </w:tc>
        <w:tc>
          <w:tcPr>
            <w:tcW w:w="780" w:type="dxa"/>
            <w:vAlign w:val="bottom"/>
            <w:shd w:val="clear" w:color="auto" w:fill="D9D9D9"/>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18,083</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Janet K. Cooper</w:t>
            </w:r>
          </w:p>
        </w:tc>
        <w:tc>
          <w:tcPr>
            <w:tcW w:w="2540" w:type="dxa"/>
            <w:vAlign w:val="bottom"/>
          </w:tcPr>
          <w:p>
            <w:pPr>
              <w:jc w:val="right"/>
              <w:spacing w:after="0"/>
              <w:rPr>
                <w:sz w:val="20"/>
                <w:szCs w:val="20"/>
                <w:color w:val="auto"/>
              </w:rPr>
            </w:pPr>
            <w:r>
              <w:rPr>
                <w:rFonts w:ascii="Arial" w:cs="Arial" w:eastAsia="Arial" w:hAnsi="Arial"/>
                <w:sz w:val="16"/>
                <w:szCs w:val="16"/>
                <w:color w:val="auto"/>
              </w:rPr>
              <w:t>56,546</w:t>
            </w:r>
          </w:p>
        </w:tc>
        <w:tc>
          <w:tcPr>
            <w:tcW w:w="7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44,742</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Gary L. Ellis</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69,894</w:t>
            </w:r>
          </w:p>
        </w:tc>
        <w:tc>
          <w:tcPr>
            <w:tcW w:w="780" w:type="dxa"/>
            <w:vAlign w:val="bottom"/>
            <w:shd w:val="clear" w:color="auto" w:fill="D9D9D9"/>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3,722</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Jeffrey M. Ettinger</w:t>
            </w:r>
          </w:p>
        </w:tc>
        <w:tc>
          <w:tcPr>
            <w:tcW w:w="2540" w:type="dxa"/>
            <w:vAlign w:val="bottom"/>
          </w:tcPr>
          <w:p>
            <w:pPr>
              <w:jc w:val="right"/>
              <w:spacing w:after="0"/>
              <w:rPr>
                <w:sz w:val="20"/>
                <w:szCs w:val="20"/>
                <w:color w:val="auto"/>
              </w:rPr>
            </w:pPr>
            <w:r>
              <w:rPr>
                <w:rFonts w:ascii="Arial" w:cs="Arial" w:eastAsia="Arial" w:hAnsi="Arial"/>
                <w:sz w:val="16"/>
                <w:szCs w:val="16"/>
                <w:color w:val="auto"/>
              </w:rPr>
              <w:t>41,438</w:t>
            </w:r>
          </w:p>
        </w:tc>
        <w:tc>
          <w:tcPr>
            <w:tcW w:w="7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Katherine J. Harless</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45,546</w:t>
            </w:r>
          </w:p>
        </w:tc>
        <w:tc>
          <w:tcPr>
            <w:tcW w:w="780" w:type="dxa"/>
            <w:vAlign w:val="bottom"/>
            <w:shd w:val="clear" w:color="auto" w:fill="D9D9D9"/>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5,549</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D. Christian Koch</w:t>
            </w:r>
          </w:p>
        </w:tc>
        <w:tc>
          <w:tcPr>
            <w:tcW w:w="2540" w:type="dxa"/>
            <w:vAlign w:val="bottom"/>
          </w:tcPr>
          <w:p>
            <w:pPr>
              <w:jc w:val="right"/>
              <w:spacing w:after="0"/>
              <w:rPr>
                <w:sz w:val="20"/>
                <w:szCs w:val="20"/>
                <w:color w:val="auto"/>
              </w:rPr>
            </w:pPr>
            <w:r>
              <w:rPr>
                <w:rFonts w:ascii="Arial" w:cs="Arial" w:eastAsia="Arial" w:hAnsi="Arial"/>
                <w:sz w:val="16"/>
                <w:szCs w:val="16"/>
                <w:color w:val="auto"/>
              </w:rPr>
              <w:t>1,650</w:t>
            </w:r>
          </w:p>
        </w:tc>
        <w:tc>
          <w:tcPr>
            <w:tcW w:w="7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James C. O’Rourke</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15,304</w:t>
            </w:r>
          </w:p>
        </w:tc>
        <w:tc>
          <w:tcPr>
            <w:tcW w:w="780" w:type="dxa"/>
            <w:vAlign w:val="bottom"/>
            <w:shd w:val="clear" w:color="auto" w:fill="D9D9D9"/>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Gregg W. Steinhafel</w:t>
            </w:r>
          </w:p>
        </w:tc>
        <w:tc>
          <w:tcPr>
            <w:tcW w:w="2540" w:type="dxa"/>
            <w:vAlign w:val="bottom"/>
          </w:tcPr>
          <w:p>
            <w:pPr>
              <w:jc w:val="right"/>
              <w:spacing w:after="0"/>
              <w:rPr>
                <w:sz w:val="20"/>
                <w:szCs w:val="20"/>
                <w:color w:val="auto"/>
              </w:rPr>
            </w:pPr>
            <w:r>
              <w:rPr>
                <w:rFonts w:ascii="Arial" w:cs="Arial" w:eastAsia="Arial" w:hAnsi="Arial"/>
                <w:sz w:val="16"/>
                <w:szCs w:val="16"/>
                <w:color w:val="auto"/>
              </w:rPr>
              <w:t>10,200</w:t>
            </w:r>
          </w:p>
        </w:tc>
        <w:tc>
          <w:tcPr>
            <w:tcW w:w="7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5,564</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Christopher A. Twomey</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41,438</w:t>
            </w:r>
          </w:p>
        </w:tc>
        <w:tc>
          <w:tcPr>
            <w:tcW w:w="780" w:type="dxa"/>
            <w:vAlign w:val="bottom"/>
            <w:shd w:val="clear" w:color="auto" w:fill="D9D9D9"/>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9,737</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Michael G. Vale</w:t>
            </w:r>
          </w:p>
        </w:tc>
        <w:tc>
          <w:tcPr>
            <w:tcW w:w="2540" w:type="dxa"/>
            <w:vAlign w:val="bottom"/>
          </w:tcPr>
          <w:p>
            <w:pPr>
              <w:jc w:val="right"/>
              <w:spacing w:after="0"/>
              <w:rPr>
                <w:sz w:val="20"/>
                <w:szCs w:val="20"/>
                <w:color w:val="auto"/>
              </w:rPr>
            </w:pPr>
            <w:r>
              <w:rPr>
                <w:rFonts w:ascii="Arial" w:cs="Arial" w:eastAsia="Arial" w:hAnsi="Arial"/>
                <w:sz w:val="16"/>
                <w:szCs w:val="16"/>
                <w:color w:val="auto"/>
              </w:rPr>
              <w:t>0</w:t>
            </w:r>
          </w:p>
        </w:tc>
        <w:tc>
          <w:tcPr>
            <w:tcW w:w="78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Employee Director and Named Executive Officers:</w:t>
            </w:r>
          </w:p>
        </w:tc>
        <w:tc>
          <w:tcPr>
            <w:tcW w:w="2540" w:type="dxa"/>
            <w:vAlign w:val="bottom"/>
            <w:shd w:val="clear" w:color="auto" w:fill="D9D9D9"/>
          </w:tcPr>
          <w:p>
            <w:pPr>
              <w:spacing w:after="0"/>
              <w:rPr>
                <w:sz w:val="16"/>
                <w:szCs w:val="16"/>
                <w:color w:val="auto"/>
              </w:rPr>
            </w:pPr>
          </w:p>
        </w:tc>
        <w:tc>
          <w:tcPr>
            <w:tcW w:w="78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Richard M. Olson</w:t>
            </w:r>
          </w:p>
        </w:tc>
        <w:tc>
          <w:tcPr>
            <w:tcW w:w="2540" w:type="dxa"/>
            <w:vAlign w:val="bottom"/>
          </w:tcPr>
          <w:p>
            <w:pPr>
              <w:jc w:val="right"/>
              <w:spacing w:after="0"/>
              <w:rPr>
                <w:sz w:val="20"/>
                <w:szCs w:val="20"/>
                <w:color w:val="auto"/>
              </w:rPr>
            </w:pPr>
            <w:r>
              <w:rPr>
                <w:rFonts w:ascii="Arial" w:cs="Arial" w:eastAsia="Arial" w:hAnsi="Arial"/>
                <w:sz w:val="16"/>
                <w:szCs w:val="16"/>
                <w:color w:val="auto"/>
              </w:rPr>
              <w:t>148,980</w:t>
            </w:r>
          </w:p>
        </w:tc>
        <w:tc>
          <w:tcPr>
            <w:tcW w:w="780" w:type="dxa"/>
            <w:vAlign w:val="bottom"/>
          </w:tcPr>
          <w:p>
            <w:pPr>
              <w:jc w:val="right"/>
              <w:spacing w:after="0"/>
              <w:rPr>
                <w:sz w:val="20"/>
                <w:szCs w:val="20"/>
                <w:color w:val="auto"/>
              </w:rPr>
            </w:pPr>
            <w:r>
              <w:rPr>
                <w:rFonts w:ascii="Arial" w:cs="Arial" w:eastAsia="Arial" w:hAnsi="Arial"/>
                <w:sz w:val="16"/>
                <w:szCs w:val="16"/>
                <w:color w:val="auto"/>
              </w:rPr>
              <w:t>15,755</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31,156</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Renee J. Peterson</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193,166</w:t>
            </w:r>
          </w:p>
        </w:tc>
        <w:tc>
          <w:tcPr>
            <w:tcW w:w="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574</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81,899</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Michael J. Hoffman</w:t>
            </w:r>
          </w:p>
        </w:tc>
        <w:tc>
          <w:tcPr>
            <w:tcW w:w="2540" w:type="dxa"/>
            <w:vAlign w:val="bottom"/>
          </w:tcPr>
          <w:p>
            <w:pPr>
              <w:jc w:val="right"/>
              <w:spacing w:after="0"/>
              <w:rPr>
                <w:sz w:val="20"/>
                <w:szCs w:val="20"/>
                <w:color w:val="auto"/>
              </w:rPr>
            </w:pPr>
            <w:r>
              <w:rPr>
                <w:rFonts w:ascii="Arial" w:cs="Arial" w:eastAsia="Arial" w:hAnsi="Arial"/>
                <w:sz w:val="16"/>
                <w:szCs w:val="16"/>
                <w:color w:val="auto"/>
              </w:rPr>
              <w:t>1,449,733</w:t>
            </w:r>
          </w:p>
        </w:tc>
        <w:tc>
          <w:tcPr>
            <w:tcW w:w="780" w:type="dxa"/>
            <w:vAlign w:val="bottom"/>
          </w:tcPr>
          <w:p>
            <w:pPr>
              <w:jc w:val="right"/>
              <w:spacing w:after="0"/>
              <w:rPr>
                <w:sz w:val="20"/>
                <w:szCs w:val="20"/>
                <w:color w:val="auto"/>
              </w:rPr>
            </w:pPr>
            <w:r>
              <w:rPr>
                <w:rFonts w:ascii="Arial" w:cs="Arial" w:eastAsia="Arial" w:hAnsi="Arial"/>
                <w:sz w:val="16"/>
                <w:szCs w:val="16"/>
                <w:color w:val="auto"/>
              </w:rPr>
              <w:t>138,991</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5220" w:type="dxa"/>
            <w:vAlign w:val="bottom"/>
            <w:gridSpan w:val="2"/>
            <w:shd w:val="clear" w:color="auto" w:fill="D9D9D9"/>
          </w:tcPr>
          <w:p>
            <w:pPr>
              <w:ind w:left="160"/>
              <w:spacing w:after="0"/>
              <w:rPr>
                <w:sz w:val="20"/>
                <w:szCs w:val="20"/>
                <w:color w:val="auto"/>
              </w:rPr>
            </w:pPr>
            <w:r>
              <w:rPr>
                <w:rFonts w:ascii="Arial" w:cs="Arial" w:eastAsia="Arial" w:hAnsi="Arial"/>
                <w:sz w:val="16"/>
                <w:szCs w:val="16"/>
                <w:color w:val="auto"/>
              </w:rPr>
              <w:t>William E. Brown, Jr.</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153,466</w:t>
            </w:r>
          </w:p>
        </w:tc>
        <w:tc>
          <w:tcPr>
            <w:tcW w:w="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121</w:t>
            </w:r>
          </w:p>
        </w:tc>
        <w:tc>
          <w:tcPr>
            <w:tcW w:w="980" w:type="dxa"/>
            <w:vAlign w:val="bottom"/>
            <w:shd w:val="clear" w:color="auto" w:fill="D9D9D9"/>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9,131</w:t>
            </w:r>
          </w:p>
        </w:tc>
      </w:tr>
      <w:tr>
        <w:trPr>
          <w:trHeight w:val="189"/>
        </w:trPr>
        <w:tc>
          <w:tcPr>
            <w:tcW w:w="5220" w:type="dxa"/>
            <w:vAlign w:val="bottom"/>
            <w:gridSpan w:val="2"/>
          </w:tcPr>
          <w:p>
            <w:pPr>
              <w:ind w:left="160"/>
              <w:spacing w:after="0"/>
              <w:rPr>
                <w:sz w:val="20"/>
                <w:szCs w:val="20"/>
                <w:color w:val="auto"/>
              </w:rPr>
            </w:pPr>
            <w:r>
              <w:rPr>
                <w:rFonts w:ascii="Arial" w:cs="Arial" w:eastAsia="Arial" w:hAnsi="Arial"/>
                <w:sz w:val="16"/>
                <w:szCs w:val="16"/>
                <w:color w:val="auto"/>
              </w:rPr>
              <w:t>Timothy P. Dordell</w:t>
            </w:r>
          </w:p>
        </w:tc>
        <w:tc>
          <w:tcPr>
            <w:tcW w:w="2540" w:type="dxa"/>
            <w:vAlign w:val="bottom"/>
          </w:tcPr>
          <w:p>
            <w:pPr>
              <w:jc w:val="right"/>
              <w:spacing w:after="0"/>
              <w:rPr>
                <w:sz w:val="20"/>
                <w:szCs w:val="20"/>
                <w:color w:val="auto"/>
              </w:rPr>
            </w:pPr>
            <w:r>
              <w:rPr>
                <w:rFonts w:ascii="Arial" w:cs="Arial" w:eastAsia="Arial" w:hAnsi="Arial"/>
                <w:sz w:val="16"/>
                <w:szCs w:val="16"/>
                <w:color w:val="auto"/>
              </w:rPr>
              <w:t>147,300</w:t>
            </w: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9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99,550</w:t>
            </w:r>
          </w:p>
        </w:tc>
      </w:tr>
      <w:tr>
        <w:trPr>
          <w:trHeight w:val="189"/>
        </w:trPr>
        <w:tc>
          <w:tcPr>
            <w:tcW w:w="5220" w:type="dxa"/>
            <w:vAlign w:val="bottom"/>
            <w:gridSpan w:val="2"/>
            <w:shd w:val="clear" w:color="auto" w:fill="D9D9D9"/>
          </w:tcPr>
          <w:p>
            <w:pPr>
              <w:spacing w:after="0"/>
              <w:rPr>
                <w:sz w:val="20"/>
                <w:szCs w:val="20"/>
                <w:color w:val="auto"/>
              </w:rPr>
            </w:pPr>
            <w:r>
              <w:rPr>
                <w:rFonts w:ascii="Arial" w:cs="Arial" w:eastAsia="Arial" w:hAnsi="Arial"/>
                <w:sz w:val="16"/>
                <w:szCs w:val="16"/>
                <w:color w:val="auto"/>
              </w:rPr>
              <w:t>All Directors and Executive Officers as a Group (23)</w:t>
            </w:r>
          </w:p>
        </w:tc>
        <w:tc>
          <w:tcPr>
            <w:tcW w:w="2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2,935,859</w:t>
            </w:r>
          </w:p>
        </w:tc>
        <w:tc>
          <w:tcPr>
            <w:tcW w:w="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291,301</w:t>
            </w:r>
          </w:p>
        </w:tc>
        <w:tc>
          <w:tcPr>
            <w:tcW w:w="980" w:type="dxa"/>
            <w:vAlign w:val="bottom"/>
            <w:shd w:val="clear" w:color="auto" w:fill="D9D9D9"/>
          </w:tcPr>
          <w:p>
            <w:pPr>
              <w:jc w:val="right"/>
              <w:ind w:right="121"/>
              <w:spacing w:after="0"/>
              <w:rPr>
                <w:sz w:val="20"/>
                <w:szCs w:val="20"/>
                <w:color w:val="auto"/>
              </w:rPr>
            </w:pPr>
            <w:r>
              <w:rPr>
                <w:rFonts w:ascii="Arial" w:cs="Arial" w:eastAsia="Arial" w:hAnsi="Arial"/>
                <w:sz w:val="16"/>
                <w:szCs w:val="16"/>
                <w:color w:val="auto"/>
              </w:rPr>
              <w:t>87,397</w:t>
            </w:r>
          </w:p>
        </w:tc>
        <w:tc>
          <w:tcPr>
            <w:tcW w:w="9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365,373</w:t>
            </w:r>
          </w:p>
        </w:tc>
      </w:tr>
      <w:tr>
        <w:trPr>
          <w:trHeight w:val="149"/>
        </w:trPr>
        <w:tc>
          <w:tcPr>
            <w:tcW w:w="2960" w:type="dxa"/>
            <w:vAlign w:val="bottom"/>
            <w:tcBorders>
              <w:bottom w:val="single" w:sz="8" w:color="C00000"/>
            </w:tcBorders>
          </w:tcPr>
          <w:p>
            <w:pPr>
              <w:spacing w:after="0"/>
              <w:rPr>
                <w:sz w:val="12"/>
                <w:szCs w:val="12"/>
                <w:color w:val="auto"/>
              </w:rPr>
            </w:pPr>
          </w:p>
        </w:tc>
        <w:tc>
          <w:tcPr>
            <w:tcW w:w="2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spacing w:after="0" w:line="148" w:lineRule="exact"/>
        <w:rPr>
          <w:sz w:val="20"/>
          <w:szCs w:val="20"/>
          <w:color w:val="auto"/>
        </w:rPr>
      </w:pPr>
    </w:p>
    <w:p>
      <w:pPr>
        <w:ind w:left="460" w:hanging="452"/>
        <w:spacing w:after="0" w:line="23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17,302 shares for Mr. Buhrmaster, 21,930 shares for Ms. Cooper, 61,869 shares for Ms. Harless, 2,200 shares for Mr. Koch, 57,508 shares for Mr. Twomey, 253,182 shares for Mr. Hoffman, 302 shares for Mr. Dordell and 422,475 shares for all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her spouse with respect to the shares held in trust. Mr. Twomey has shared voting and investment power with respect to the shares held in trust. In addition, includes 2,312 shares for Mr. Buhrmaster that are held by a family foundation and Mr. Buhrmaster has shared voting and investment power with respect to the shares held by the family foundation; and 932 shares for Mr. Twomey that are held by a family foundation and Mr. Twomey has shared voting and investment power with respect to the shares held by the family foundation.</w:t>
      </w:r>
    </w:p>
    <w:p>
      <w:pPr>
        <w:spacing w:after="0" w:line="72"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43,096 shares for Mr. Steinhafel, 48,597 shares for Mr. Brown and 91,693 shares for all directors and executive officers as a group. In addition, includes 40 shares for Mr. Hoffman that are held by his son and Mr. Hoffman’s spouse has shared voting and investment power for these shares.</w:t>
      </w:r>
    </w:p>
    <w:p>
      <w:pPr>
        <w:spacing w:after="0" w:line="66" w:lineRule="exact"/>
        <w:rPr>
          <w:rFonts w:ascii="Arial" w:cs="Arial" w:eastAsia="Arial" w:hAnsi="Arial"/>
          <w:sz w:val="18"/>
          <w:szCs w:val="18"/>
          <w:color w:val="auto"/>
        </w:rPr>
      </w:pPr>
    </w:p>
    <w:p>
      <w:pPr>
        <w:ind w:left="460" w:hanging="452"/>
        <w:spacing w:after="0" w:line="23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Securities Exchange Act of 1934, as amended, or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26, 2018,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7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Hoffman retired as Executive Chairman on November 3,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Stock Ownership Guidelines</w:t>
      </w:r>
    </w:p>
    <w:p>
      <w:pPr>
        <w:spacing w:after="0" w:line="126"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We maintain stock ownership guidelines described in the table below to align the interests of our non-employee directors and executive officers with those of our shareholders. Non-employee directors are expected to meet this guideline within five years of joining the Board. Executive officers are expected to meet the guideline within five years of the date of hire or promotion. As of January 26, 2018, each of our non-employee directors and executive officers who is required to meet a stock ownership guideline met such guideline.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shd w:val="clear" w:color="auto" w:fill="C00000"/>
          </w:tcPr>
          <w:p>
            <w:pPr>
              <w:spacing w:after="0"/>
              <w:rPr>
                <w:sz w:val="17"/>
                <w:szCs w:val="17"/>
                <w:color w:val="auto"/>
              </w:rPr>
            </w:pPr>
          </w:p>
        </w:tc>
        <w:tc>
          <w:tcPr>
            <w:tcW w:w="4180" w:type="dxa"/>
            <w:vAlign w:val="bottom"/>
            <w:shd w:val="clear" w:color="auto" w:fill="C00000"/>
          </w:tcPr>
          <w:p>
            <w:pPr>
              <w:ind w:left="760"/>
              <w:spacing w:after="0"/>
              <w:rPr>
                <w:sz w:val="20"/>
                <w:szCs w:val="20"/>
                <w:color w:val="auto"/>
              </w:rPr>
            </w:pPr>
            <w:r>
              <w:rPr>
                <w:rFonts w:ascii="Arial" w:cs="Arial" w:eastAsia="Arial" w:hAnsi="Arial"/>
                <w:sz w:val="14"/>
                <w:szCs w:val="14"/>
                <w:b w:val="1"/>
                <w:bCs w:val="1"/>
                <w:color w:val="FFFFFF"/>
              </w:rPr>
              <w:t>Stock Ownership Guidelines by Position</w:t>
            </w:r>
          </w:p>
        </w:tc>
        <w:tc>
          <w:tcPr>
            <w:tcW w:w="3660" w:type="dxa"/>
            <w:vAlign w:val="bottom"/>
            <w:shd w:val="clear" w:color="auto" w:fill="C00000"/>
          </w:tcPr>
          <w:p>
            <w:pPr>
              <w:spacing w:after="0"/>
              <w:rPr>
                <w:sz w:val="17"/>
                <w:szCs w:val="17"/>
                <w:color w:val="auto"/>
              </w:rPr>
            </w:pPr>
          </w:p>
        </w:tc>
      </w:tr>
      <w:tr>
        <w:trPr>
          <w:trHeight w:val="189"/>
        </w:trPr>
        <w:tc>
          <w:tcPr>
            <w:tcW w:w="3580" w:type="dxa"/>
            <w:vAlign w:val="bottom"/>
            <w:shd w:val="clear" w:color="auto" w:fill="C00000"/>
          </w:tcPr>
          <w:p>
            <w:pPr>
              <w:jc w:val="center"/>
              <w:ind w:left="19"/>
              <w:spacing w:after="0"/>
              <w:rPr>
                <w:sz w:val="20"/>
                <w:szCs w:val="20"/>
                <w:color w:val="auto"/>
              </w:rPr>
            </w:pPr>
            <w:r>
              <w:rPr>
                <w:rFonts w:ascii="Arial" w:cs="Arial" w:eastAsia="Arial" w:hAnsi="Arial"/>
                <w:sz w:val="14"/>
                <w:szCs w:val="14"/>
                <w:b w:val="1"/>
                <w:bCs w:val="1"/>
                <w:color w:val="FFFFFF"/>
              </w:rPr>
              <w:t>Non-Employee Directors</w:t>
            </w:r>
          </w:p>
        </w:tc>
        <w:tc>
          <w:tcPr>
            <w:tcW w:w="41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Chairman and CEO</w:t>
            </w:r>
          </w:p>
        </w:tc>
        <w:tc>
          <w:tcPr>
            <w:tcW w:w="3660" w:type="dxa"/>
            <w:vAlign w:val="bottom"/>
            <w:shd w:val="clear" w:color="auto" w:fill="C00000"/>
          </w:tcPr>
          <w:p>
            <w:pPr>
              <w:jc w:val="center"/>
              <w:ind w:right="19"/>
              <w:spacing w:after="0"/>
              <w:rPr>
                <w:sz w:val="20"/>
                <w:szCs w:val="20"/>
                <w:color w:val="auto"/>
              </w:rPr>
            </w:pPr>
            <w:r>
              <w:rPr>
                <w:rFonts w:ascii="Arial" w:cs="Arial" w:eastAsia="Arial" w:hAnsi="Arial"/>
                <w:sz w:val="14"/>
                <w:szCs w:val="14"/>
                <w:b w:val="1"/>
                <w:bCs w:val="1"/>
                <w:color w:val="FFFFFF"/>
              </w:rPr>
              <w:t>Other Executive Officers</w:t>
            </w:r>
          </w:p>
        </w:tc>
      </w:tr>
      <w:tr>
        <w:trPr>
          <w:trHeight w:val="217"/>
        </w:trPr>
        <w:tc>
          <w:tcPr>
            <w:tcW w:w="3580" w:type="dxa"/>
            <w:vAlign w:val="bottom"/>
          </w:tcPr>
          <w:p>
            <w:pPr>
              <w:jc w:val="center"/>
              <w:ind w:left="19"/>
              <w:spacing w:after="0"/>
              <w:rPr>
                <w:sz w:val="20"/>
                <w:szCs w:val="20"/>
                <w:color w:val="auto"/>
              </w:rPr>
            </w:pPr>
            <w:r>
              <w:rPr>
                <w:rFonts w:ascii="Arial" w:cs="Arial" w:eastAsia="Arial" w:hAnsi="Arial"/>
                <w:sz w:val="18"/>
                <w:szCs w:val="18"/>
                <w:color w:val="auto"/>
              </w:rPr>
              <w:t>5x annual board retainer</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5x annual base salary</w:t>
            </w:r>
          </w:p>
        </w:tc>
        <w:tc>
          <w:tcPr>
            <w:tcW w:w="3660" w:type="dxa"/>
            <w:vAlign w:val="bottom"/>
          </w:tcPr>
          <w:p>
            <w:pPr>
              <w:jc w:val="center"/>
              <w:ind w:right="19"/>
              <w:spacing w:after="0"/>
              <w:rPr>
                <w:sz w:val="20"/>
                <w:szCs w:val="20"/>
                <w:color w:val="auto"/>
              </w:rPr>
            </w:pPr>
            <w:r>
              <w:rPr>
                <w:rFonts w:ascii="Arial" w:cs="Arial" w:eastAsia="Arial" w:hAnsi="Arial"/>
                <w:sz w:val="18"/>
                <w:szCs w:val="18"/>
                <w:color w:val="auto"/>
                <w:w w:val="99"/>
              </w:rPr>
              <w:t>2x or 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-266065</wp:posOffset>
            </wp:positionV>
            <wp:extent cx="25692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921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Section 16(a) Beneficial Ownership Reporting Compliance</w:t>
      </w:r>
    </w:p>
    <w:p>
      <w:pPr>
        <w:spacing w:after="0" w:line="126"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2017, or fiscal 2017.</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ONE—ELECTION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Number of Directors; Board Structure</w:t>
      </w:r>
    </w:p>
    <w:p>
      <w:pPr>
        <w:spacing w:after="0" w:line="12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eleven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Current Term Ending at 2018</w:t>
            </w:r>
          </w:p>
        </w:tc>
        <w:tc>
          <w:tcPr>
            <w:tcW w:w="3880" w:type="dxa"/>
            <w:vAlign w:val="bottom"/>
            <w:shd w:val="clear" w:color="auto" w:fill="C00000"/>
          </w:tcPr>
          <w:p>
            <w:pPr>
              <w:jc w:val="center"/>
              <w:ind w:left="42"/>
              <w:spacing w:after="0"/>
              <w:rPr>
                <w:sz w:val="20"/>
                <w:szCs w:val="20"/>
                <w:color w:val="auto"/>
              </w:rPr>
            </w:pPr>
            <w:r>
              <w:rPr>
                <w:rFonts w:ascii="Arial" w:cs="Arial" w:eastAsia="Arial" w:hAnsi="Arial"/>
                <w:sz w:val="14"/>
                <w:szCs w:val="14"/>
                <w:b w:val="1"/>
                <w:bCs w:val="1"/>
                <w:color w:val="FFFFFF"/>
              </w:rPr>
              <w:t>Current Term Ending at 2019</w:t>
            </w:r>
          </w:p>
        </w:tc>
        <w:tc>
          <w:tcPr>
            <w:tcW w:w="3760" w:type="dxa"/>
            <w:vAlign w:val="bottom"/>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Current Term Ending at 2020</w:t>
            </w:r>
          </w:p>
        </w:tc>
      </w:tr>
      <w:tr>
        <w:trPr>
          <w:trHeight w:val="209"/>
        </w:trPr>
        <w:tc>
          <w:tcPr>
            <w:tcW w:w="378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4"/>
                <w:szCs w:val="14"/>
                <w:b w:val="1"/>
                <w:bCs w:val="1"/>
                <w:color w:val="FFFFFF"/>
              </w:rPr>
              <w:t>Annual Meeting</w:t>
            </w:r>
          </w:p>
        </w:tc>
        <w:tc>
          <w:tcPr>
            <w:tcW w:w="3880" w:type="dxa"/>
            <w:vAlign w:val="bottom"/>
            <w:tcBorders>
              <w:bottom w:val="single" w:sz="8" w:color="C00000"/>
            </w:tcBorders>
            <w:shd w:val="clear" w:color="auto" w:fill="C00000"/>
          </w:tcPr>
          <w:p>
            <w:pPr>
              <w:jc w:val="center"/>
              <w:ind w:left="42"/>
              <w:spacing w:after="0"/>
              <w:rPr>
                <w:sz w:val="20"/>
                <w:szCs w:val="20"/>
                <w:color w:val="auto"/>
              </w:rPr>
            </w:pPr>
            <w:r>
              <w:rPr>
                <w:rFonts w:ascii="Arial" w:cs="Arial" w:eastAsia="Arial" w:hAnsi="Arial"/>
                <w:sz w:val="14"/>
                <w:szCs w:val="14"/>
                <w:b w:val="1"/>
                <w:bCs w:val="1"/>
                <w:color w:val="FFFFFF"/>
              </w:rPr>
              <w:t>Annual Meeting</w:t>
            </w:r>
          </w:p>
        </w:tc>
        <w:tc>
          <w:tcPr>
            <w:tcW w:w="3760" w:type="dxa"/>
            <w:vAlign w:val="bottom"/>
            <w:tcBorders>
              <w:bottom w:val="single" w:sz="8" w:color="C00000"/>
            </w:tcBorders>
            <w:shd w:val="clear" w:color="auto" w:fill="C00000"/>
          </w:tcPr>
          <w:p>
            <w:pPr>
              <w:jc w:val="center"/>
              <w:ind w:left="43"/>
              <w:spacing w:after="0"/>
              <w:rPr>
                <w:sz w:val="20"/>
                <w:szCs w:val="20"/>
                <w:color w:val="auto"/>
              </w:rPr>
            </w:pPr>
            <w:r>
              <w:rPr>
                <w:rFonts w:ascii="Arial" w:cs="Arial" w:eastAsia="Arial" w:hAnsi="Arial"/>
                <w:sz w:val="14"/>
                <w:szCs w:val="14"/>
                <w:b w:val="1"/>
                <w:bCs w:val="1"/>
                <w:color w:val="FFFFFF"/>
              </w:rPr>
              <w:t>Annual Meeting</w:t>
            </w:r>
          </w:p>
        </w:tc>
      </w:tr>
      <w:tr>
        <w:trPr>
          <w:trHeight w:val="189"/>
        </w:trPr>
        <w:tc>
          <w:tcPr>
            <w:tcW w:w="37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Janet K. Cooper</w:t>
            </w:r>
          </w:p>
        </w:tc>
        <w:tc>
          <w:tcPr>
            <w:tcW w:w="3880" w:type="dxa"/>
            <w:vAlign w:val="bottom"/>
          </w:tcPr>
          <w:p>
            <w:pPr>
              <w:jc w:val="center"/>
              <w:ind w:left="42"/>
              <w:spacing w:after="0"/>
              <w:rPr>
                <w:sz w:val="20"/>
                <w:szCs w:val="20"/>
                <w:color w:val="auto"/>
              </w:rPr>
            </w:pPr>
            <w:r>
              <w:rPr>
                <w:rFonts w:ascii="Arial" w:cs="Arial" w:eastAsia="Arial" w:hAnsi="Arial"/>
                <w:sz w:val="16"/>
                <w:szCs w:val="16"/>
                <w:color w:val="auto"/>
              </w:rPr>
              <w:t>Robert C. Buhrmaster</w:t>
            </w:r>
          </w:p>
        </w:tc>
        <w:tc>
          <w:tcPr>
            <w:tcW w:w="3760" w:type="dxa"/>
            <w:vAlign w:val="bottom"/>
            <w:shd w:val="clear" w:color="auto" w:fill="D9D9D9"/>
          </w:tcPr>
          <w:p>
            <w:pPr>
              <w:jc w:val="center"/>
              <w:ind w:left="43"/>
              <w:spacing w:after="0"/>
              <w:rPr>
                <w:sz w:val="20"/>
                <w:szCs w:val="20"/>
                <w:color w:val="auto"/>
              </w:rPr>
            </w:pPr>
            <w:r>
              <w:rPr>
                <w:rFonts w:ascii="Arial" w:cs="Arial" w:eastAsia="Arial" w:hAnsi="Arial"/>
                <w:sz w:val="16"/>
                <w:szCs w:val="16"/>
                <w:color w:val="auto"/>
              </w:rPr>
              <w:t>Jeffrey M. Ettinger</w:t>
            </w:r>
          </w:p>
        </w:tc>
      </w:tr>
      <w:tr>
        <w:trPr>
          <w:trHeight w:val="191"/>
        </w:trPr>
        <w:tc>
          <w:tcPr>
            <w:tcW w:w="37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Gary L. Ellis</w:t>
            </w:r>
          </w:p>
        </w:tc>
        <w:tc>
          <w:tcPr>
            <w:tcW w:w="3880" w:type="dxa"/>
            <w:vAlign w:val="bottom"/>
          </w:tcPr>
          <w:p>
            <w:pPr>
              <w:jc w:val="center"/>
              <w:ind w:left="42"/>
              <w:spacing w:after="0"/>
              <w:rPr>
                <w:sz w:val="20"/>
                <w:szCs w:val="20"/>
                <w:color w:val="auto"/>
              </w:rPr>
            </w:pPr>
            <w:r>
              <w:rPr>
                <w:rFonts w:ascii="Arial" w:cs="Arial" w:eastAsia="Arial" w:hAnsi="Arial"/>
                <w:sz w:val="16"/>
                <w:szCs w:val="16"/>
                <w:color w:val="auto"/>
              </w:rPr>
              <w:t>Richard M. Olson</w:t>
            </w:r>
          </w:p>
        </w:tc>
        <w:tc>
          <w:tcPr>
            <w:tcW w:w="3760" w:type="dxa"/>
            <w:vAlign w:val="bottom"/>
            <w:shd w:val="clear" w:color="auto" w:fill="D9D9D9"/>
          </w:tcPr>
          <w:p>
            <w:pPr>
              <w:jc w:val="center"/>
              <w:ind w:left="23"/>
              <w:spacing w:after="0"/>
              <w:rPr>
                <w:sz w:val="20"/>
                <w:szCs w:val="20"/>
                <w:color w:val="auto"/>
              </w:rPr>
            </w:pPr>
            <w:r>
              <w:rPr>
                <w:rFonts w:ascii="Arial" w:cs="Arial" w:eastAsia="Arial" w:hAnsi="Arial"/>
                <w:sz w:val="16"/>
                <w:szCs w:val="16"/>
                <w:color w:val="auto"/>
              </w:rPr>
              <w:t>Katherine J. Harless</w:t>
            </w:r>
          </w:p>
        </w:tc>
      </w:tr>
      <w:tr>
        <w:trPr>
          <w:trHeight w:val="189"/>
        </w:trPr>
        <w:tc>
          <w:tcPr>
            <w:tcW w:w="37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Gregg W. Steinhafel</w:t>
            </w:r>
          </w:p>
        </w:tc>
        <w:tc>
          <w:tcPr>
            <w:tcW w:w="3880" w:type="dxa"/>
            <w:vAlign w:val="bottom"/>
          </w:tcPr>
          <w:p>
            <w:pPr>
              <w:jc w:val="center"/>
              <w:ind w:left="42"/>
              <w:spacing w:after="0"/>
              <w:rPr>
                <w:sz w:val="20"/>
                <w:szCs w:val="20"/>
                <w:color w:val="auto"/>
              </w:rPr>
            </w:pPr>
            <w:r>
              <w:rPr>
                <w:rFonts w:ascii="Arial" w:cs="Arial" w:eastAsia="Arial" w:hAnsi="Arial"/>
                <w:sz w:val="16"/>
                <w:szCs w:val="16"/>
                <w:color w:val="auto"/>
              </w:rPr>
              <w:t>James C. O’Rourke</w:t>
            </w:r>
          </w:p>
        </w:tc>
        <w:tc>
          <w:tcPr>
            <w:tcW w:w="3760" w:type="dxa"/>
            <w:vAlign w:val="bottom"/>
            <w:shd w:val="clear" w:color="auto" w:fill="D9D9D9"/>
          </w:tcPr>
          <w:p>
            <w:pPr>
              <w:jc w:val="center"/>
              <w:ind w:left="23"/>
              <w:spacing w:after="0"/>
              <w:rPr>
                <w:sz w:val="20"/>
                <w:szCs w:val="20"/>
                <w:color w:val="auto"/>
              </w:rPr>
            </w:pPr>
            <w:r>
              <w:rPr>
                <w:rFonts w:ascii="Arial" w:cs="Arial" w:eastAsia="Arial" w:hAnsi="Arial"/>
                <w:sz w:val="16"/>
                <w:szCs w:val="16"/>
                <w:color w:val="auto"/>
              </w:rPr>
              <w:t>D. Christian Koch</w:t>
            </w:r>
          </w:p>
        </w:tc>
      </w:tr>
      <w:tr>
        <w:trPr>
          <w:trHeight w:val="187"/>
        </w:trPr>
        <w:tc>
          <w:tcPr>
            <w:tcW w:w="37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Michael G. Vale</w:t>
            </w:r>
          </w:p>
        </w:tc>
        <w:tc>
          <w:tcPr>
            <w:tcW w:w="3880" w:type="dxa"/>
            <w:vAlign w:val="bottom"/>
          </w:tcPr>
          <w:p>
            <w:pPr>
              <w:jc w:val="center"/>
              <w:ind w:left="42"/>
              <w:spacing w:after="0"/>
              <w:rPr>
                <w:sz w:val="20"/>
                <w:szCs w:val="20"/>
                <w:color w:val="auto"/>
              </w:rPr>
            </w:pPr>
            <w:r>
              <w:rPr>
                <w:rFonts w:ascii="Arial" w:cs="Arial" w:eastAsia="Arial" w:hAnsi="Arial"/>
                <w:sz w:val="16"/>
                <w:szCs w:val="16"/>
                <w:color w:val="auto"/>
              </w:rPr>
              <w:t>Christopher A. Twomey</w:t>
            </w:r>
          </w:p>
        </w:tc>
        <w:tc>
          <w:tcPr>
            <w:tcW w:w="3760" w:type="dxa"/>
            <w:vAlign w:val="bottom"/>
            <w:shd w:val="clear" w:color="auto" w:fill="D9D9D9"/>
          </w:tcPr>
          <w:p>
            <w:pPr>
              <w:spacing w:after="0"/>
              <w:rPr>
                <w:sz w:val="16"/>
                <w:szCs w:val="16"/>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Nominees for Director</w:t>
      </w:r>
    </w:p>
    <w:p>
      <w:pPr>
        <w:spacing w:after="0" w:line="126"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Board has nominated each of Janet K. Cooper, Gary L. Ellis, Gregg W. Steinhafel and Michael G. Vale for election to the Board to serve for a three-year term ending at the 2021 Annual Meeting of Shareholders. Each of these nominees is a current member of the Board and has consented to serve if elected. Proxies only can be voted for the number of persons named as nominees in this proxy statement, which is four.</w:t>
      </w:r>
    </w:p>
    <w:p>
      <w:pPr>
        <w:spacing w:after="0" w:line="9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8940" w:type="dxa"/>
            <w:vAlign w:val="bottom"/>
            <w:vMerge w:val="restart"/>
            <w:shd w:val="clear" w:color="auto" w:fill="C00000"/>
          </w:tcPr>
          <w:p>
            <w:pPr>
              <w:ind w:left="700"/>
              <w:spacing w:after="0"/>
              <w:rPr>
                <w:sz w:val="20"/>
                <w:szCs w:val="20"/>
                <w:color w:val="auto"/>
              </w:rPr>
            </w:pPr>
            <w:r>
              <w:rPr>
                <w:rFonts w:ascii="Arial" w:cs="Arial" w:eastAsia="Arial" w:hAnsi="Arial"/>
                <w:sz w:val="18"/>
                <w:szCs w:val="18"/>
                <w:b w:val="1"/>
                <w:bCs w:val="1"/>
                <w:color w:val="FFFFFF"/>
              </w:rPr>
              <w:t>The Board of Directors Recommends a Vote FOR Each Nominee for Director</w:t>
            </w:r>
          </w:p>
        </w:tc>
        <w:tc>
          <w:tcPr>
            <w:tcW w:w="2480" w:type="dxa"/>
            <w:vAlign w:val="bottom"/>
            <w:shd w:val="clear" w:color="auto" w:fill="C00000"/>
          </w:tcPr>
          <w:p>
            <w:pPr>
              <w:ind w:left="1740"/>
              <w:spacing w:after="0" w:line="501" w:lineRule="exact"/>
              <w:rPr>
                <w:sz w:val="20"/>
                <w:szCs w:val="20"/>
                <w:color w:val="auto"/>
              </w:rPr>
            </w:pPr>
            <w:r>
              <w:rPr>
                <w:rFonts w:ascii="MS PGothic" w:cs="MS PGothic" w:eastAsia="MS PGothic" w:hAnsi="MS PGothic"/>
                <w:sz w:val="50"/>
                <w:szCs w:val="50"/>
                <w:color w:val="FFFFFF"/>
              </w:rPr>
              <w:t>☑</w:t>
            </w:r>
          </w:p>
        </w:tc>
        <w:tc>
          <w:tcPr>
            <w:tcW w:w="0" w:type="dxa"/>
            <w:vAlign w:val="bottom"/>
          </w:tcPr>
          <w:p>
            <w:pPr>
              <w:spacing w:after="0"/>
              <w:rPr>
                <w:sz w:val="1"/>
                <w:szCs w:val="1"/>
                <w:color w:val="auto"/>
              </w:rPr>
            </w:pPr>
          </w:p>
        </w:tc>
      </w:tr>
      <w:tr>
        <w:trPr>
          <w:trHeight w:val="54"/>
        </w:trPr>
        <w:tc>
          <w:tcPr>
            <w:tcW w:w="8940" w:type="dxa"/>
            <w:vAlign w:val="bottom"/>
            <w:vMerge w:val="continue"/>
            <w:shd w:val="clear" w:color="auto" w:fill="C00000"/>
          </w:tcPr>
          <w:p>
            <w:pPr>
              <w:spacing w:after="0"/>
              <w:rPr>
                <w:sz w:val="4"/>
                <w:szCs w:val="4"/>
                <w:color w:val="auto"/>
              </w:rPr>
            </w:pPr>
          </w:p>
        </w:tc>
        <w:tc>
          <w:tcPr>
            <w:tcW w:w="2480" w:type="dxa"/>
            <w:vAlign w:val="bottom"/>
            <w:shd w:val="clear" w:color="auto" w:fill="C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940" w:type="dxa"/>
            <w:vAlign w:val="bottom"/>
            <w:shd w:val="clear" w:color="auto" w:fill="C00000"/>
          </w:tcPr>
          <w:p>
            <w:pPr>
              <w:spacing w:after="0"/>
              <w:rPr>
                <w:sz w:val="19"/>
                <w:szCs w:val="19"/>
                <w:color w:val="auto"/>
              </w:rPr>
            </w:pPr>
          </w:p>
        </w:tc>
        <w:tc>
          <w:tcPr>
            <w:tcW w:w="2480" w:type="dxa"/>
            <w:vAlign w:val="bottom"/>
            <w:shd w:val="clear" w:color="auto" w:fill="C00000"/>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About Board Nominees and Continuing Directors</w:t>
      </w:r>
    </w:p>
    <w:p>
      <w:pPr>
        <w:spacing w:after="0" w:line="99"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following pages provide information about each nominee for election to the Board at the annual meeting and each other member of the Board. We believe that all of our director nominees and continuing directors display:</w:t>
      </w:r>
    </w:p>
    <w:p>
      <w:pPr>
        <w:spacing w:after="0" w:line="62"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levels of education and business experience;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business acumen;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appropriate level of understanding of our business, industry and other industries relevant to our business;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to devote adequate time to the work of our Board and its committees;</w:t>
      </w:r>
    </w:p>
    <w:p>
      <w:pPr>
        <w:spacing w:after="0" w:line="76" w:lineRule="exact"/>
        <w:rPr>
          <w:rFonts w:ascii="Arial" w:cs="Arial" w:eastAsia="Arial" w:hAnsi="Arial"/>
          <w:sz w:val="18"/>
          <w:szCs w:val="18"/>
          <w:color w:val="auto"/>
        </w:rPr>
      </w:pPr>
    </w:p>
    <w:p>
      <w:pPr>
        <w:ind w:left="780" w:right="160" w:hanging="326"/>
        <w:spacing w:after="0" w:line="24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fit of skills and personality with those of our other directors that helps build a Board that is effective, collegial and responsive to the needs of our Company;</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thinking and a willingness to share ideas;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diversity of experiences, expertise and background;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represent the interests of all of our shareholders.</w:t>
      </w:r>
    </w:p>
    <w:p>
      <w:pPr>
        <w:spacing w:after="0" w:line="104"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The information presented regarding each director nominee or continuing director also sets forth specific experience, qualifications, attributes and skills that led our Board to conclude that he or she should serve as a director in light of our business and structure.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Nominees for Election to the Board—Current Term Ending at the 2018 Annual Meeting.</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2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65" w:lineRule="exact"/>
        <w:rPr>
          <w:sz w:val="20"/>
          <w:szCs w:val="20"/>
          <w:color w:val="auto"/>
        </w:rPr>
      </w:pPr>
    </w:p>
    <w:p>
      <w:pPr>
        <w:ind w:left="4240" w:right="20"/>
        <w:spacing w:after="0" w:line="253" w:lineRule="auto"/>
        <w:rPr>
          <w:sz w:val="20"/>
          <w:szCs w:val="20"/>
          <w:color w:val="auto"/>
        </w:rPr>
      </w:pPr>
      <w:r>
        <w:rPr>
          <w:rFonts w:ascii="Arial" w:cs="Arial" w:eastAsia="Arial" w:hAnsi="Arial"/>
          <w:sz w:val="17"/>
          <w:szCs w:val="17"/>
          <w:color w:val="auto"/>
        </w:rPr>
        <w:t>Janet K. Cooper was the Senior Vice President and Treasurer of Qwest Communications International Inc., 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w:t>
      </w:r>
    </w:p>
    <w:p>
      <w:pPr>
        <w:sectPr>
          <w:pgSz w:w="11900" w:h="16838" w:orient="portrait"/>
          <w:cols w:equalWidth="0" w:num="1">
            <w:col w:w="11420"/>
          </w:cols>
          <w:pgMar w:left="240" w:top="459" w:right="2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(Chair)</w:t>
      </w: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046480" cy="132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64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(Chair)</w:t>
      </w: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Ms. Cooper brings to our Board substantial financial and accounting knowledge and expertise. Ms. Cooper’s experience as a public company director and audit committee member and her financial expertise and acumen in capital markets, audit, tax, accounting, treasury and risk-management assists our Board in providing oversight to Management on these matters. Ms. Cooper’s senior leadership experience also enables her to provide strategic input to our Board, in addition to her financial expertise, discipline and oversight.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40" w:type="dxa"/>
            <w:vAlign w:val="bottom"/>
            <w:tcBorders>
              <w:top w:val="single" w:sz="8" w:color="C00000"/>
            </w:tcBorders>
          </w:tcPr>
          <w:p>
            <w:pPr>
              <w:jc w:val="center"/>
              <w:ind w:right="330"/>
              <w:spacing w:after="0"/>
              <w:rPr>
                <w:sz w:val="20"/>
                <w:szCs w:val="20"/>
                <w:color w:val="auto"/>
              </w:rPr>
            </w:pPr>
            <w:r>
              <w:rPr>
                <w:rFonts w:ascii="Arial" w:cs="Arial" w:eastAsia="Arial" w:hAnsi="Arial"/>
                <w:sz w:val="18"/>
                <w:szCs w:val="18"/>
                <w:b w:val="1"/>
                <w:bCs w:val="1"/>
                <w:color w:val="auto"/>
                <w:w w:val="98"/>
              </w:rPr>
              <w:t>Current</w:t>
            </w:r>
          </w:p>
        </w:tc>
        <w:tc>
          <w:tcPr>
            <w:tcW w:w="3440" w:type="dxa"/>
            <w:vAlign w:val="bottom"/>
            <w:tcBorders>
              <w:top w:val="single" w:sz="8" w:color="C00000"/>
            </w:tcBorders>
          </w:tcPr>
          <w:p>
            <w:pPr>
              <w:jc w:val="center"/>
              <w:ind w:right="21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3740" w:type="dxa"/>
            <w:vAlign w:val="bottom"/>
          </w:tcPr>
          <w:p>
            <w:pPr>
              <w:jc w:val="center"/>
              <w:ind w:right="330"/>
              <w:spacing w:after="0" w:line="202" w:lineRule="exact"/>
              <w:rPr>
                <w:sz w:val="20"/>
                <w:szCs w:val="20"/>
                <w:color w:val="auto"/>
              </w:rPr>
            </w:pPr>
            <w:r>
              <w:rPr>
                <w:rFonts w:ascii="Arial" w:cs="Arial" w:eastAsia="Arial" w:hAnsi="Arial"/>
                <w:sz w:val="18"/>
                <w:szCs w:val="18"/>
                <w:color w:val="auto"/>
                <w:w w:val="99"/>
              </w:rPr>
              <w:t>• Lennox International Inc.</w:t>
            </w:r>
          </w:p>
        </w:tc>
        <w:tc>
          <w:tcPr>
            <w:tcW w:w="3440" w:type="dxa"/>
            <w:vAlign w:val="bottom"/>
          </w:tcPr>
          <w:p>
            <w:pPr>
              <w:jc w:val="center"/>
              <w:ind w:right="230"/>
              <w:spacing w:after="0" w:line="202" w:lineRule="exact"/>
              <w:rPr>
                <w:sz w:val="20"/>
                <w:szCs w:val="20"/>
                <w:color w:val="auto"/>
              </w:rPr>
            </w:pPr>
            <w:r>
              <w:rPr>
                <w:rFonts w:ascii="Arial" w:cs="Arial" w:eastAsia="Arial" w:hAnsi="Arial"/>
                <w:sz w:val="18"/>
                <w:szCs w:val="18"/>
                <w:color w:val="auto"/>
              </w:rPr>
              <w:t>None</w:t>
            </w:r>
          </w:p>
        </w:tc>
      </w:tr>
      <w:tr>
        <w:trPr>
          <w:trHeight w:val="217"/>
        </w:trPr>
        <w:tc>
          <w:tcPr>
            <w:tcW w:w="3740" w:type="dxa"/>
            <w:vAlign w:val="bottom"/>
          </w:tcPr>
          <w:p>
            <w:pPr>
              <w:jc w:val="center"/>
              <w:ind w:right="310"/>
              <w:spacing w:after="0"/>
              <w:rPr>
                <w:sz w:val="20"/>
                <w:szCs w:val="20"/>
                <w:color w:val="auto"/>
              </w:rPr>
            </w:pPr>
            <w:r>
              <w:rPr>
                <w:rFonts w:ascii="Arial" w:cs="Arial" w:eastAsia="Arial" w:hAnsi="Arial"/>
                <w:sz w:val="18"/>
                <w:szCs w:val="18"/>
                <w:color w:val="auto"/>
                <w:w w:val="99"/>
              </w:rPr>
              <w:t>• Resonant Inc.</w:t>
            </w:r>
          </w:p>
        </w:tc>
        <w:tc>
          <w:tcPr>
            <w:tcW w:w="3440" w:type="dxa"/>
            <w:vAlign w:val="bottom"/>
          </w:tcPr>
          <w:p>
            <w:pPr>
              <w:spacing w:after="0"/>
              <w:rPr>
                <w:sz w:val="18"/>
                <w:szCs w:val="18"/>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Gary L. Ellis was the Executive Vice President, Global Operations, Information Technology and Facilities &amp; Real Estate of Medtronic plc, Dublin, Ireland (a global medical technology company), from June 2016 until his retirement in December 2016. Previously, he was the Executive Vice President and Chief Financial Officer of Medtronic, Inc. from April 2014 to June 2016; Senior Vice President and Chief Financial Officer of Medtronic, Inc. from May 2005 to April 2014; and Vice President, Corporate Controller and Treasurer of Medtronic, Inc. from 1999 to May 2005.</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Ellis brings extensive financial leadership experience and expertise to our Board which provides oversight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Borders>
              <w:top w:val="single" w:sz="8" w:color="C00000"/>
            </w:tcBorders>
          </w:tcPr>
          <w:p>
            <w:pPr>
              <w:jc w:val="center"/>
              <w:ind w:right="270"/>
              <w:spacing w:after="0"/>
              <w:rPr>
                <w:sz w:val="20"/>
                <w:szCs w:val="20"/>
                <w:color w:val="auto"/>
              </w:rPr>
            </w:pPr>
            <w:r>
              <w:rPr>
                <w:rFonts w:ascii="Arial" w:cs="Arial" w:eastAsia="Arial" w:hAnsi="Arial"/>
                <w:sz w:val="18"/>
                <w:szCs w:val="18"/>
                <w:b w:val="1"/>
                <w:bCs w:val="1"/>
                <w:color w:val="auto"/>
                <w:w w:val="98"/>
              </w:rPr>
              <w:t>Current</w:t>
            </w:r>
          </w:p>
        </w:tc>
        <w:tc>
          <w:tcPr>
            <w:tcW w:w="3500" w:type="dxa"/>
            <w:vAlign w:val="bottom"/>
            <w:tcBorders>
              <w:top w:val="single" w:sz="8" w:color="C00000"/>
            </w:tcBorders>
          </w:tcPr>
          <w:p>
            <w:pPr>
              <w:jc w:val="center"/>
              <w:ind w:right="15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680" w:type="dxa"/>
            <w:vAlign w:val="bottom"/>
          </w:tcPr>
          <w:p>
            <w:pPr>
              <w:jc w:val="center"/>
              <w:ind w:right="270"/>
              <w:spacing w:after="0"/>
              <w:rPr>
                <w:sz w:val="20"/>
                <w:szCs w:val="20"/>
                <w:color w:val="auto"/>
              </w:rPr>
            </w:pPr>
            <w:r>
              <w:rPr>
                <w:rFonts w:ascii="Arial" w:cs="Arial" w:eastAsia="Arial" w:hAnsi="Arial"/>
                <w:sz w:val="18"/>
                <w:szCs w:val="18"/>
                <w:color w:val="auto"/>
              </w:rPr>
              <w:t>Hill-Rom Holdings, Inc.</w:t>
            </w:r>
          </w:p>
        </w:tc>
        <w:tc>
          <w:tcPr>
            <w:tcW w:w="3500" w:type="dxa"/>
            <w:vAlign w:val="bottom"/>
          </w:tcPr>
          <w:p>
            <w:pPr>
              <w:jc w:val="center"/>
              <w:ind w:right="170"/>
              <w:spacing w:after="0"/>
              <w:rPr>
                <w:sz w:val="20"/>
                <w:szCs w:val="20"/>
                <w:color w:val="auto"/>
              </w:rPr>
            </w:pPr>
            <w:r>
              <w:rPr>
                <w:rFonts w:ascii="Arial" w:cs="Arial" w:eastAsia="Arial" w:hAnsi="Arial"/>
                <w:sz w:val="18"/>
                <w:szCs w:val="18"/>
                <w:color w:val="auto"/>
              </w:rPr>
              <w:t>None</w:t>
            </w:r>
          </w:p>
        </w:tc>
      </w:tr>
      <w:tr>
        <w:trPr>
          <w:trHeight w:val="365"/>
        </w:trPr>
        <w:tc>
          <w:tcPr>
            <w:tcW w:w="3680" w:type="dxa"/>
            <w:vAlign w:val="bottom"/>
          </w:tcPr>
          <w:p>
            <w:pPr>
              <w:jc w:val="right"/>
              <w:ind w:right="2010"/>
              <w:spacing w:after="0"/>
              <w:rPr>
                <w:sz w:val="20"/>
                <w:szCs w:val="20"/>
                <w:color w:val="auto"/>
              </w:rPr>
            </w:pPr>
            <w:r>
              <w:rPr>
                <w:rFonts w:ascii="Arial" w:cs="Arial" w:eastAsia="Arial" w:hAnsi="Arial"/>
                <w:sz w:val="18"/>
                <w:szCs w:val="18"/>
                <w:color w:val="auto"/>
              </w:rPr>
              <w:t>10</w:t>
            </w:r>
          </w:p>
        </w:tc>
        <w:tc>
          <w:tcPr>
            <w:tcW w:w="3500" w:type="dxa"/>
            <w:vAlign w:val="bottom"/>
          </w:tcPr>
          <w:p>
            <w:pPr>
              <w:spacing w:after="0"/>
              <w:rPr>
                <w:sz w:val="24"/>
                <w:szCs w:val="24"/>
                <w:color w:val="auto"/>
              </w:rPr>
            </w:pPr>
          </w:p>
        </w:tc>
      </w:tr>
    </w:tbl>
    <w:p>
      <w:pPr>
        <w:sectPr>
          <w:pgSz w:w="11900" w:h="16838" w:orient="portrait"/>
          <w:cols w:equalWidth="0" w:num="2">
            <w:col w:w="3520" w:space="720"/>
            <w:col w:w="718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37590" cy="131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759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80" w:hanging="172"/>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1029335" cy="132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933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Michael G. Vale,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-656590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Gregg W. Steinhafel was the Chairman, President and Chief Executive Officer of Target Corporation, Minneapolis, Minnesota (a variety retailing company) until May 2014.</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Mr. Steinhafel was appointed as Chairman of Target in February 2009, was elected as Chief Executive Officer of Target in May 2008, was appointed a director of Target in January 2007, and was elected as President of Target in 1999. In January 2015, after Mr. Steinhafel left Target, Target Canada Co., an indirect wholly owned subsidiary of Target, filed an application for protection under the Companies’ Creditors Arrangement Act with the Ontario Superior Court of Justice in Toronto.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Steinhafel brings to our Board meaningful leadership experience and retail knowledge that he developed in his more than 30 years with Target, including a deep understanding of the value of strong brand recognition, devotion to innovation, strong supply chain initiatives, and a disciplined approach to business management and investment in future growth. In addition, he contributes decision-making skills and valuable strategic planning expertise, as well as relevant knowledge of public company requirements and issues, including those related to corporate governance and executive compensation matters. Mr. Steinhafel’s significant retail knowledge assists our Board in providing guidance with respect to our residential business, which is affected by consumer confidence and spending levels, changing buying patterns of customers and product placement at mass retailers.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3900" w:type="dxa"/>
            <w:vAlign w:val="bottom"/>
            <w:tcBorders>
              <w:top w:val="single" w:sz="8" w:color="C00000"/>
            </w:tcBorders>
          </w:tcPr>
          <w:p>
            <w:pPr>
              <w:jc w:val="center"/>
              <w:ind w:left="7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280" w:type="dxa"/>
            <w:vAlign w:val="bottom"/>
          </w:tcPr>
          <w:p>
            <w:pPr>
              <w:jc w:val="center"/>
              <w:spacing w:after="0"/>
              <w:rPr>
                <w:sz w:val="20"/>
                <w:szCs w:val="20"/>
                <w:color w:val="auto"/>
              </w:rPr>
            </w:pPr>
            <w:r>
              <w:rPr>
                <w:rFonts w:ascii="Arial" w:cs="Arial" w:eastAsia="Arial" w:hAnsi="Arial"/>
                <w:sz w:val="18"/>
                <w:szCs w:val="18"/>
                <w:color w:val="auto"/>
              </w:rPr>
              <w:t>None</w:t>
            </w:r>
          </w:p>
        </w:tc>
        <w:tc>
          <w:tcPr>
            <w:tcW w:w="3900" w:type="dxa"/>
            <w:vAlign w:val="bottom"/>
          </w:tcPr>
          <w:p>
            <w:pPr>
              <w:jc w:val="center"/>
              <w:ind w:left="50"/>
              <w:spacing w:after="0"/>
              <w:rPr>
                <w:sz w:val="20"/>
                <w:szCs w:val="20"/>
                <w:color w:val="auto"/>
              </w:rPr>
            </w:pPr>
            <w:r>
              <w:rPr>
                <w:rFonts w:ascii="Arial" w:cs="Arial" w:eastAsia="Arial" w:hAnsi="Arial"/>
                <w:sz w:val="18"/>
                <w:szCs w:val="18"/>
                <w:color w:val="auto"/>
                <w:w w:val="97"/>
              </w:rPr>
              <w:t>Target Corporation</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Michael G. Vale, Ph.D., is the Executive Vice President, Health Care Business Group of 3M Company, St. Paul, Minnesota (a global diversified technology company), a position he has held since July 2016. Previously, he served as 3M’s Executive Vice President, Consumer Business Group from August 2011 to July 2016. Dr. Vale joined 3M in 1992 and has served in a variety of domestic and international leadership roles, including product development engineer; manufacturing director; managing director of 3M Spain; and managing director of 3M Brazil.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Dr. Vale brings to our Board extensive global business experience and expertise in research and development, technology and manufacturing. Dr. Vale also contributes substantial knowledge of consumer marketing, distribution channels, mergers and acquisitions and managing customer relationships, all of which provide valuable management insight with respect to our strategic planning and assist our Board in providing oversight to our businesses.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8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380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380" w:type="dxa"/>
            <w:vAlign w:val="bottom"/>
          </w:tcPr>
          <w:p>
            <w:pPr>
              <w:jc w:val="center"/>
              <w:spacing w:after="0"/>
              <w:rPr>
                <w:sz w:val="20"/>
                <w:szCs w:val="20"/>
                <w:color w:val="auto"/>
              </w:rPr>
            </w:pPr>
            <w:r>
              <w:rPr>
                <w:rFonts w:ascii="Arial" w:cs="Arial" w:eastAsia="Arial" w:hAnsi="Arial"/>
                <w:sz w:val="18"/>
                <w:szCs w:val="18"/>
                <w:color w:val="auto"/>
              </w:rPr>
              <w:t>None</w:t>
            </w:r>
          </w:p>
        </w:tc>
        <w:tc>
          <w:tcPr>
            <w:tcW w:w="3800" w:type="dxa"/>
            <w:vAlign w:val="bottom"/>
          </w:tcPr>
          <w:p>
            <w:pPr>
              <w:jc w:val="center"/>
              <w:spacing w:after="0"/>
              <w:rPr>
                <w:sz w:val="20"/>
                <w:szCs w:val="20"/>
                <w:color w:val="auto"/>
              </w:rPr>
            </w:pPr>
            <w:r>
              <w:rPr>
                <w:rFonts w:ascii="Arial" w:cs="Arial" w:eastAsia="Arial" w:hAnsi="Arial"/>
                <w:sz w:val="18"/>
                <w:szCs w:val="18"/>
                <w:color w:val="auto"/>
              </w:rPr>
              <w:t>None</w:t>
            </w:r>
          </w:p>
        </w:tc>
      </w:tr>
      <w:tr>
        <w:trPr>
          <w:trHeight w:val="365"/>
        </w:trPr>
        <w:tc>
          <w:tcPr>
            <w:tcW w:w="3380" w:type="dxa"/>
            <w:vAlign w:val="bottom"/>
          </w:tcPr>
          <w:p>
            <w:pPr>
              <w:jc w:val="right"/>
              <w:ind w:right="1710"/>
              <w:spacing w:after="0"/>
              <w:rPr>
                <w:sz w:val="20"/>
                <w:szCs w:val="20"/>
                <w:color w:val="auto"/>
              </w:rPr>
            </w:pPr>
            <w:r>
              <w:rPr>
                <w:rFonts w:ascii="Arial" w:cs="Arial" w:eastAsia="Arial" w:hAnsi="Arial"/>
                <w:sz w:val="18"/>
                <w:szCs w:val="18"/>
                <w:color w:val="auto"/>
              </w:rPr>
              <w:t>11</w:t>
            </w:r>
          </w:p>
        </w:tc>
        <w:tc>
          <w:tcPr>
            <w:tcW w:w="3800" w:type="dxa"/>
            <w:vAlign w:val="bottom"/>
          </w:tcPr>
          <w:p>
            <w:pPr>
              <w:spacing w:after="0"/>
              <w:rPr>
                <w:sz w:val="24"/>
                <w:szCs w:val="24"/>
                <w:color w:val="auto"/>
              </w:rPr>
            </w:pPr>
          </w:p>
        </w:tc>
      </w:tr>
    </w:tbl>
    <w:p>
      <w:pPr>
        <w:sectPr>
          <w:pgSz w:w="11900" w:h="16838" w:orient="portrait"/>
          <w:cols w:equalWidth="0" w:num="2">
            <w:col w:w="3520" w:space="720"/>
            <w:col w:w="718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Continuing Members of the Board—Current Term Ending at the 2019 Annual Meeting.</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2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92" w:lineRule="exact"/>
        <w:rPr>
          <w:sz w:val="20"/>
          <w:szCs w:val="20"/>
          <w:color w:val="auto"/>
        </w:rPr>
      </w:pPr>
    </w:p>
    <w:p>
      <w:pPr>
        <w:ind w:left="3900" w:right="120"/>
        <w:spacing w:after="0" w:line="238" w:lineRule="auto"/>
        <w:rPr>
          <w:sz w:val="20"/>
          <w:szCs w:val="20"/>
          <w:color w:val="auto"/>
        </w:rPr>
      </w:pPr>
      <w:r>
        <w:rPr>
          <w:rFonts w:ascii="Arial" w:cs="Arial" w:eastAsia="Arial" w:hAnsi="Arial"/>
          <w:sz w:val="18"/>
          <w:szCs w:val="18"/>
          <w:color w:val="auto"/>
        </w:rPr>
        <w:t>Robert C. Buhrmaster was the Chairman and Chief Executive Officer of Jostens, Inc., Minneapolis, Minnesota (a designer and producer of athletic championship and scholastic products), until his retirement in 2004. Mr. Buhrmaster was appointed Chairman of Jostens in 1998 and was elected as Chief Executive Officer in 1994. He also served as President of Jostens from 1994 to January 2003.</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Nominating &amp; Governance (Chair)</w:t>
      </w:r>
    </w:p>
    <w:p>
      <w:pPr>
        <w:ind w:left="180" w:hanging="172"/>
        <w:spacing w:after="0"/>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1029335" cy="132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9335" cy="132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10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Mr. Buhrmaster brings to our Board strong business leadership, corporate strategy and operational expertise that he acquired throughout his long career at Jostens. Additionally, as an experienced public company director and former executive of a public company,</w:t>
      </w:r>
    </w:p>
    <w:p>
      <w:pPr>
        <w:spacing w:after="0" w:line="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Mr. Buhrmaster contributes an enhanced knowledge of public company requirements and issues, including those related to corporate governance and executive compensation matters.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84" w:lineRule="exact"/>
        <w:rPr>
          <w:sz w:val="20"/>
          <w:szCs w:val="20"/>
          <w:color w:val="auto"/>
        </w:rPr>
      </w:pPr>
    </w:p>
    <w:p>
      <w:pPr>
        <w:ind w:left="1500"/>
        <w:spacing w:after="0"/>
        <w:tabs>
          <w:tab w:leader="none" w:pos="51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8" w:lineRule="exact"/>
        <w:rPr>
          <w:sz w:val="20"/>
          <w:szCs w:val="20"/>
          <w:color w:val="auto"/>
        </w:rPr>
      </w:pPr>
    </w:p>
    <w:p>
      <w:pPr>
        <w:ind w:left="1620"/>
        <w:spacing w:after="0"/>
        <w:tabs>
          <w:tab w:leader="none" w:pos="500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SurModics,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Richard M. Olson is our Chairman of the Board, President and Chief Executive Officer, and we generally refer to him in this proxy statement as our Chairman and CEO. Mr. Olson was appointed as Chairman in November 2017, was elected as Chief Executive Officer in November 2016 and was elected President in September 2015. Previously, he served as Chief Operating Officer from September 2015 through October 2016; Group Vice President, International Business, Micro Irrigation Business and Distributor Development from June 2014 to September 2015; Vice President, International Business from March 2013 to June 2014; Vice President, Exmark from March 2012 to March 2013; and General Manager, Exmark from September 2010 to March 2012.</w:t>
      </w:r>
    </w:p>
    <w:p>
      <w:pPr>
        <w:spacing w:after="0" w:line="23"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C00000"/>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Committees</w:t>
      </w:r>
    </w:p>
    <w:p>
      <w:pPr>
        <w:ind w:left="1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In his more than 31 years with our Company, Mr. Olson has developed and brings to our Board rich knowledge of the Company, including, in particular, our global business and operations, manufacturing processes and product development strategies. In addition, the broad experience he has gained through his past leadership of our various businesses and manufacturing operations provides him with a unique perspective regarding our growth initiatives and strategic direction. He contributes a deep commitment to quality, innovation, ethical values and focus on customer service. As a result of his dual role as Chairman and CEO, Mr. Olson provides unique insight into our Company’s future strategies, opportunities and challenges and serves as a unifying element between our Board and Management.</w:t>
      </w:r>
    </w:p>
    <w:p>
      <w:pPr>
        <w:spacing w:after="0" w:line="89"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3900" w:type="dxa"/>
        <w:tblCellMar>
          <w:top w:w="0" w:type="dxa"/>
          <w:left w:w="0" w:type="dxa"/>
          <w:bottom w:w="0" w:type="dxa"/>
          <w:right w:w="0" w:type="dxa"/>
        </w:tblCellMar>
      </w:tblPr>
      <w:tr>
        <w:trPr>
          <w:trHeight w:val="209"/>
        </w:trPr>
        <w:tc>
          <w:tcPr>
            <w:tcW w:w="364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rPr>
              <w:t>Current</w:t>
            </w:r>
          </w:p>
        </w:tc>
        <w:tc>
          <w:tcPr>
            <w:tcW w:w="3880" w:type="dxa"/>
            <w:vAlign w:val="bottom"/>
            <w:tcBorders>
              <w:top w:val="single" w:sz="8" w:color="C00000"/>
            </w:tcBorders>
          </w:tcPr>
          <w:p>
            <w:pPr>
              <w:jc w:val="center"/>
              <w:ind w:left="5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64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3880" w:type="dxa"/>
            <w:vAlign w:val="bottom"/>
          </w:tcPr>
          <w:p>
            <w:pPr>
              <w:jc w:val="center"/>
              <w:ind w:left="30"/>
              <w:spacing w:after="0"/>
              <w:rPr>
                <w:sz w:val="20"/>
                <w:szCs w:val="20"/>
                <w:color w:val="auto"/>
              </w:rPr>
            </w:pPr>
            <w:r>
              <w:rPr>
                <w:rFonts w:ascii="Arial" w:cs="Arial" w:eastAsia="Arial" w:hAnsi="Arial"/>
                <w:sz w:val="18"/>
                <w:szCs w:val="18"/>
                <w:color w:val="auto"/>
              </w:rPr>
              <w:t>None</w:t>
            </w:r>
          </w:p>
        </w:tc>
      </w:tr>
      <w:tr>
        <w:trPr>
          <w:trHeight w:val="608"/>
        </w:trPr>
        <w:tc>
          <w:tcPr>
            <w:tcW w:w="36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3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46480" cy="132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464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1071880" cy="132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718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926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3926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3926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ind w:left="180" w:hanging="172"/>
        <w:spacing w:after="0"/>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Compensation &amp; Human Resources (Chair)</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-656590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6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James C. O’Rourke is the President and Chief Executive Officer of The Mosaic Company, Plymouth, Minnesota (a global producer and marketer of combined concentrated phosphate and potash crop nutrients for the global agriculture industry), a position he has held since August 2015. Previously, he served as Mosaic’s Executive Vice President—Operations and Chief Operating Officer from August 2012 to August 2015 and as Executive Vice President— Operations from January 2009, when he joined Mosaic, to August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7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O’Rourke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In addition, as a public company director and executive, Mr. O’Rourke contributes a solid understanding of executive compensation and corporate governance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57" w:lineRule="exact"/>
        <w:rPr>
          <w:sz w:val="20"/>
          <w:szCs w:val="20"/>
          <w:color w:val="auto"/>
        </w:rPr>
      </w:pPr>
    </w:p>
    <w:p>
      <w:pPr>
        <w:ind w:left="1500"/>
        <w:spacing w:after="0"/>
        <w:tabs>
          <w:tab w:leader="none" w:pos="510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8" w:lineRule="exact"/>
        <w:rPr>
          <w:sz w:val="20"/>
          <w:szCs w:val="20"/>
          <w:color w:val="auto"/>
        </w:rPr>
      </w:pPr>
    </w:p>
    <w:p>
      <w:pPr>
        <w:ind w:left="960"/>
        <w:spacing w:after="0"/>
        <w:tabs>
          <w:tab w:leader="none" w:pos="5400" w:val="left"/>
        </w:tabs>
        <w:rPr>
          <w:sz w:val="20"/>
          <w:szCs w:val="20"/>
          <w:color w:val="auto"/>
        </w:rPr>
      </w:pPr>
      <w:r>
        <w:rPr>
          <w:rFonts w:ascii="Arial" w:cs="Arial" w:eastAsia="Arial" w:hAnsi="Arial"/>
          <w:sz w:val="18"/>
          <w:szCs w:val="18"/>
          <w:color w:val="auto"/>
        </w:rPr>
        <w:t>The Mosaic Company</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Christopher A. Twomey was the Chairman of the Board of Arctic Cat Inc., Minneapolis, Minnesota (a manufacturer of all-terrain vehicles and snowmobiles that merged with and now does business as Textron Inc.), from June 2014 until his retirement in August 2015. He served as interim President and Chief Executive Officer of Arctic Cat from June 2014 until December 2014; Chairman of the Board from August 2003 until August 2012; and Chief Executive Officer from 1986 until he first retired in December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4776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Additionally, as an experienced public company director and former executive of a public company, Mr. Twomey contributes an enhanced knowledge of public company requirements and issues, including executive compensation and corporate governance matters.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40" w:type="dxa"/>
            <w:vAlign w:val="bottom"/>
            <w:tcBorders>
              <w:top w:val="single" w:sz="8" w:color="C00000"/>
            </w:tcBorders>
          </w:tcPr>
          <w:p>
            <w:pPr>
              <w:jc w:val="center"/>
              <w:ind w:right="1090"/>
              <w:spacing w:after="0"/>
              <w:rPr>
                <w:sz w:val="20"/>
                <w:szCs w:val="20"/>
                <w:color w:val="auto"/>
              </w:rPr>
            </w:pPr>
            <w:r>
              <w:rPr>
                <w:rFonts w:ascii="Arial" w:cs="Arial" w:eastAsia="Arial" w:hAnsi="Arial"/>
                <w:sz w:val="18"/>
                <w:szCs w:val="18"/>
                <w:b w:val="1"/>
                <w:bCs w:val="1"/>
                <w:color w:val="auto"/>
              </w:rPr>
              <w:t>Current</w:t>
            </w:r>
          </w:p>
        </w:tc>
        <w:tc>
          <w:tcPr>
            <w:tcW w:w="2680" w:type="dxa"/>
            <w:vAlign w:val="bottom"/>
            <w:tcBorders>
              <w:top w:val="single" w:sz="8" w:color="C00000"/>
            </w:tcBorders>
          </w:tcPr>
          <w:p>
            <w:pPr>
              <w:jc w:val="center"/>
              <w:ind w:right="97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840" w:type="dxa"/>
            <w:vAlign w:val="bottom"/>
          </w:tcPr>
          <w:p>
            <w:pPr>
              <w:jc w:val="center"/>
              <w:ind w:right="1090"/>
              <w:spacing w:after="0" w:line="202" w:lineRule="exact"/>
              <w:rPr>
                <w:sz w:val="20"/>
                <w:szCs w:val="20"/>
                <w:color w:val="auto"/>
              </w:rPr>
            </w:pPr>
            <w:r>
              <w:rPr>
                <w:rFonts w:ascii="Arial" w:cs="Arial" w:eastAsia="Arial" w:hAnsi="Arial"/>
                <w:sz w:val="18"/>
                <w:szCs w:val="18"/>
                <w:color w:val="auto"/>
                <w:w w:val="97"/>
              </w:rPr>
              <w:t>None</w:t>
            </w:r>
          </w:p>
        </w:tc>
        <w:tc>
          <w:tcPr>
            <w:tcW w:w="2680" w:type="dxa"/>
            <w:vAlign w:val="bottom"/>
          </w:tcPr>
          <w:p>
            <w:pPr>
              <w:jc w:val="center"/>
              <w:ind w:right="990"/>
              <w:spacing w:after="0" w:line="202" w:lineRule="exact"/>
              <w:rPr>
                <w:sz w:val="20"/>
                <w:szCs w:val="20"/>
                <w:color w:val="auto"/>
              </w:rPr>
            </w:pPr>
            <w:r>
              <w:rPr>
                <w:rFonts w:ascii="Arial" w:cs="Arial" w:eastAsia="Arial" w:hAnsi="Arial"/>
                <w:sz w:val="18"/>
                <w:szCs w:val="18"/>
                <w:color w:val="auto"/>
              </w:rPr>
              <w:t>• Arctic Cat Inc.</w:t>
            </w:r>
          </w:p>
        </w:tc>
      </w:tr>
      <w:tr>
        <w:trPr>
          <w:trHeight w:val="217"/>
        </w:trPr>
        <w:tc>
          <w:tcPr>
            <w:tcW w:w="4840" w:type="dxa"/>
            <w:vAlign w:val="bottom"/>
          </w:tcPr>
          <w:p>
            <w:pPr>
              <w:ind w:left="4720"/>
              <w:spacing w:after="0"/>
              <w:rPr>
                <w:sz w:val="20"/>
                <w:szCs w:val="20"/>
                <w:color w:val="auto"/>
              </w:rPr>
            </w:pPr>
            <w:r>
              <w:rPr>
                <w:rFonts w:ascii="Arial" w:cs="Arial" w:eastAsia="Arial" w:hAnsi="Arial"/>
                <w:sz w:val="18"/>
                <w:szCs w:val="18"/>
                <w:color w:val="auto"/>
              </w:rPr>
              <w:t>•</w:t>
            </w:r>
          </w:p>
        </w:tc>
        <w:tc>
          <w:tcPr>
            <w:tcW w:w="2680" w:type="dxa"/>
            <w:vAlign w:val="bottom"/>
          </w:tcPr>
          <w:p>
            <w:pPr>
              <w:ind w:left="40"/>
              <w:spacing w:after="0"/>
              <w:rPr>
                <w:sz w:val="20"/>
                <w:szCs w:val="20"/>
                <w:color w:val="auto"/>
              </w:rPr>
            </w:pPr>
            <w:r>
              <w:rPr>
                <w:rFonts w:ascii="Arial" w:cs="Arial" w:eastAsia="Arial" w:hAnsi="Arial"/>
                <w:sz w:val="18"/>
                <w:szCs w:val="18"/>
                <w:color w:val="auto"/>
              </w:rPr>
              <w:t>MCBC Holdings, Inc.</w:t>
            </w:r>
          </w:p>
        </w:tc>
      </w:tr>
      <w:tr>
        <w:trPr>
          <w:trHeight w:val="365"/>
        </w:trPr>
        <w:tc>
          <w:tcPr>
            <w:tcW w:w="4840" w:type="dxa"/>
            <w:vAlign w:val="bottom"/>
          </w:tcPr>
          <w:p>
            <w:pPr>
              <w:jc w:val="center"/>
              <w:ind w:right="1110"/>
              <w:spacing w:after="0"/>
              <w:rPr>
                <w:sz w:val="20"/>
                <w:szCs w:val="20"/>
                <w:color w:val="auto"/>
              </w:rPr>
            </w:pPr>
            <w:r>
              <w:rPr>
                <w:rFonts w:ascii="Arial" w:cs="Arial" w:eastAsia="Arial" w:hAnsi="Arial"/>
                <w:sz w:val="18"/>
                <w:szCs w:val="18"/>
                <w:color w:val="auto"/>
                <w:w w:val="99"/>
              </w:rPr>
              <w:t>13</w:t>
            </w:r>
          </w:p>
        </w:tc>
        <w:tc>
          <w:tcPr>
            <w:tcW w:w="2680" w:type="dxa"/>
            <w:vAlign w:val="bottom"/>
          </w:tcPr>
          <w:p>
            <w:pPr>
              <w:spacing w:after="0"/>
              <w:rPr>
                <w:sz w:val="24"/>
                <w:szCs w:val="24"/>
                <w:color w:val="auto"/>
              </w:rPr>
            </w:pPr>
          </w:p>
        </w:tc>
      </w:tr>
    </w:tbl>
    <w:p>
      <w:pPr>
        <w:sectPr>
          <w:pgSz w:w="11900" w:h="16838" w:orient="portrait"/>
          <w:cols w:equalWidth="0" w:num="2">
            <w:col w:w="3640" w:space="260"/>
            <w:col w:w="75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Continuing Members of the Board—Current Term Ending at the 2020 Annual Meeting.</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2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38" w:lineRule="exact"/>
        <w:rPr>
          <w:sz w:val="20"/>
          <w:szCs w:val="20"/>
          <w:color w:val="auto"/>
        </w:rPr>
      </w:pPr>
    </w:p>
    <w:p>
      <w:pPr>
        <w:ind w:left="4240" w:right="160"/>
        <w:spacing w:after="0" w:line="237" w:lineRule="auto"/>
        <w:rPr>
          <w:sz w:val="20"/>
          <w:szCs w:val="20"/>
          <w:color w:val="auto"/>
        </w:rPr>
      </w:pPr>
      <w:r>
        <w:rPr>
          <w:rFonts w:ascii="Arial" w:cs="Arial" w:eastAsia="Arial" w:hAnsi="Arial"/>
          <w:sz w:val="18"/>
          <w:szCs w:val="18"/>
          <w:color w:val="auto"/>
        </w:rPr>
        <w:t>Jeffrey M. Ettinger was the Chairman of the Board of Hormel Foods Corporation, Austin, Minnesota (a multinational manufacturer and marketer of consumer-branded food and meat products) from October 2016 to November 2017. Previously Mr. Ettinger served as Chairman of the Board and Chief Executive Officer of Hormel Foods from January 2006 until his retirement in October 2016. He also served as President of Hormel Foods from 2004 until October 2015.</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80" w:hanging="172"/>
        <w:spacing w:after="0"/>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Compensation &amp; Human Resources</w:t>
      </w:r>
    </w:p>
    <w:p>
      <w:pPr>
        <w:spacing w:after="0" w:line="7" w:lineRule="exact"/>
        <w:rPr>
          <w:rFonts w:ascii="Arial" w:cs="Arial" w:eastAsia="Arial" w:hAnsi="Arial"/>
          <w:sz w:val="17"/>
          <w:szCs w:val="17"/>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Nominating &amp; Governance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Ettinger brings to our Board strong business acumen, significant executive leadership attributes and relevant experience of driving growth through innovation and strategic acquisitions. Mr. Ettinger provides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as an experienced public company director, including as a current lead independent director, and former executive of a public company, he contributes knowledge of public company requirements and issues, including those related to corporate governance and executive compensation matters.</w:t>
      </w:r>
    </w:p>
    <w:p>
      <w:pPr>
        <w:spacing w:after="0" w:line="63"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-1454150</wp:posOffset>
            </wp:positionV>
            <wp:extent cx="1037590" cy="131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7590" cy="131191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60" w:hanging="152"/>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80" w:type="dxa"/>
            <w:vAlign w:val="bottom"/>
            <w:tcBorders>
              <w:top w:val="single" w:sz="8" w:color="C00000"/>
            </w:tcBorders>
          </w:tcPr>
          <w:p>
            <w:pPr>
              <w:jc w:val="center"/>
              <w:ind w:left="50"/>
              <w:spacing w:after="0"/>
              <w:rPr>
                <w:sz w:val="20"/>
                <w:szCs w:val="20"/>
                <w:color w:val="auto"/>
              </w:rPr>
            </w:pPr>
            <w:r>
              <w:rPr>
                <w:rFonts w:ascii="Arial" w:cs="Arial" w:eastAsia="Arial" w:hAnsi="Arial"/>
                <w:sz w:val="18"/>
                <w:szCs w:val="18"/>
                <w:b w:val="1"/>
                <w:bCs w:val="1"/>
                <w:color w:val="auto"/>
                <w:w w:val="98"/>
              </w:rPr>
              <w:t>Current</w:t>
            </w:r>
          </w:p>
        </w:tc>
        <w:tc>
          <w:tcPr>
            <w:tcW w:w="4000" w:type="dxa"/>
            <w:vAlign w:val="bottom"/>
            <w:tcBorders>
              <w:top w:val="single" w:sz="8" w:color="C00000"/>
            </w:tcBorders>
          </w:tcPr>
          <w:p>
            <w:pPr>
              <w:jc w:val="center"/>
              <w:ind w:left="17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180" w:type="dxa"/>
            <w:vAlign w:val="bottom"/>
          </w:tcPr>
          <w:p>
            <w:pPr>
              <w:jc w:val="center"/>
              <w:ind w:left="50"/>
              <w:spacing w:after="0"/>
              <w:rPr>
                <w:sz w:val="20"/>
                <w:szCs w:val="20"/>
                <w:color w:val="auto"/>
              </w:rPr>
            </w:pPr>
            <w:r>
              <w:rPr>
                <w:rFonts w:ascii="Arial" w:cs="Arial" w:eastAsia="Arial" w:hAnsi="Arial"/>
                <w:sz w:val="18"/>
                <w:szCs w:val="18"/>
                <w:color w:val="auto"/>
                <w:w w:val="98"/>
              </w:rPr>
              <w:t>Ecolab Inc.</w:t>
            </w:r>
          </w:p>
        </w:tc>
        <w:tc>
          <w:tcPr>
            <w:tcW w:w="4000" w:type="dxa"/>
            <w:vAlign w:val="bottom"/>
          </w:tcPr>
          <w:p>
            <w:pPr>
              <w:jc w:val="center"/>
              <w:ind w:left="150"/>
              <w:spacing w:after="0"/>
              <w:rPr>
                <w:sz w:val="20"/>
                <w:szCs w:val="20"/>
                <w:color w:val="auto"/>
              </w:rPr>
            </w:pPr>
            <w:r>
              <w:rPr>
                <w:rFonts w:ascii="Arial" w:cs="Arial" w:eastAsia="Arial" w:hAnsi="Arial"/>
                <w:sz w:val="18"/>
                <w:szCs w:val="18"/>
                <w:color w:val="auto"/>
                <w:w w:val="99"/>
              </w:rPr>
              <w:t>Hormel Foods Corporation</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Katherine J. Harless was the President and Chief Executive Officer of Idearc Inc., Dallas/Fort Worth, Texas (a provider of sales, publishing and related services including Verizon Yellow Pages and SuperPages.com), from November 2006 until her retirement in February 2008. She previously served as President of Verizon Information Services Inc. from 2000 to November 2006, when it was spun off by Verizon Communications, Inc. to become Idearc, and was a director of Idearc from November 2006 to May 2008. On December 31, 2009, Idearc emerged from voluntary Chapter 11 bankruptcy proceedings that it filed in the United States Bankruptcy Court for the Northern District of Texas, Dallas Division, on March 31, 2009, which was after Ms. Harless retired from Idearc. Ms. Harless is a director of the North Texas Chapter of the National Association of Corporate Directors (“NACD”) and is an NACD Board Leadership Fellow.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Ms. Harless brings to our Board executive leadership experience, management skills and knowledge of financial, executive compensation, corporate governance and issues applicable to public companies. Ms. Harless provides a seasoned business perspective and provides valuable business, leadership and management insights with respect to our strategic direction.</w:t>
      </w:r>
    </w:p>
    <w:p>
      <w:pPr>
        <w:spacing w:after="0" w:line="59"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jc w:val="center"/>
        <w:ind w:right="320"/>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4240" w:type="dxa"/>
        <w:tblCellMar>
          <w:top w:w="0" w:type="dxa"/>
          <w:left w:w="0" w:type="dxa"/>
          <w:bottom w:w="0" w:type="dxa"/>
          <w:right w:w="0" w:type="dxa"/>
        </w:tblCellMar>
      </w:tblPr>
      <w:tr>
        <w:trPr>
          <w:trHeight w:val="209"/>
        </w:trPr>
        <w:tc>
          <w:tcPr>
            <w:tcW w:w="338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3800" w:type="dxa"/>
            <w:vAlign w:val="bottom"/>
            <w:tcBorders>
              <w:top w:val="single" w:sz="8" w:color="C00000"/>
            </w:tcBorders>
          </w:tcPr>
          <w:p>
            <w:pPr>
              <w:jc w:val="center"/>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380" w:type="dxa"/>
            <w:vAlign w:val="bottom"/>
          </w:tcPr>
          <w:p>
            <w:pPr>
              <w:jc w:val="center"/>
              <w:spacing w:after="0"/>
              <w:rPr>
                <w:sz w:val="20"/>
                <w:szCs w:val="20"/>
                <w:color w:val="auto"/>
              </w:rPr>
            </w:pPr>
            <w:r>
              <w:rPr>
                <w:rFonts w:ascii="Arial" w:cs="Arial" w:eastAsia="Arial" w:hAnsi="Arial"/>
                <w:sz w:val="18"/>
                <w:szCs w:val="18"/>
                <w:color w:val="auto"/>
              </w:rPr>
              <w:t>None</w:t>
            </w:r>
          </w:p>
        </w:tc>
        <w:tc>
          <w:tcPr>
            <w:tcW w:w="3800" w:type="dxa"/>
            <w:vAlign w:val="bottom"/>
          </w:tcPr>
          <w:p>
            <w:pPr>
              <w:jc w:val="center"/>
              <w:spacing w:after="0"/>
              <w:rPr>
                <w:sz w:val="20"/>
                <w:szCs w:val="20"/>
                <w:color w:val="auto"/>
              </w:rPr>
            </w:pPr>
            <w:r>
              <w:rPr>
                <w:rFonts w:ascii="Arial" w:cs="Arial" w:eastAsia="Arial" w:hAnsi="Arial"/>
                <w:sz w:val="18"/>
                <w:szCs w:val="18"/>
                <w:color w:val="auto"/>
              </w:rPr>
              <w:t>None</w:t>
            </w:r>
          </w:p>
        </w:tc>
      </w:tr>
      <w:tr>
        <w:trPr>
          <w:trHeight w:val="365"/>
        </w:trPr>
        <w:tc>
          <w:tcPr>
            <w:tcW w:w="3380" w:type="dxa"/>
            <w:vAlign w:val="bottom"/>
          </w:tcPr>
          <w:p>
            <w:pPr>
              <w:jc w:val="right"/>
              <w:ind w:right="1710"/>
              <w:spacing w:after="0"/>
              <w:rPr>
                <w:sz w:val="20"/>
                <w:szCs w:val="20"/>
                <w:color w:val="auto"/>
              </w:rPr>
            </w:pPr>
            <w:r>
              <w:rPr>
                <w:rFonts w:ascii="Arial" w:cs="Arial" w:eastAsia="Arial" w:hAnsi="Arial"/>
                <w:sz w:val="18"/>
                <w:szCs w:val="18"/>
                <w:color w:val="auto"/>
              </w:rPr>
              <w:t>14</w:t>
            </w:r>
          </w:p>
        </w:tc>
        <w:tc>
          <w:tcPr>
            <w:tcW w:w="3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37590" cy="132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759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701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4701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160" w:hanging="152"/>
        <w:spacing w:after="0"/>
        <w:tabs>
          <w:tab w:leader="none" w:pos="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w:t>
      </w: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-656590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 Christian Koch is the President and Chief Executive Officer of Carlisle Companies Incorporated, Scottsdale, Arizona (a diversified manufacturing company that produces and distributes a broad range of products), a position he has held since January 2016. Previously, he served in a variety of positions with Carlisle, including as President and Chief Operating Officer from May 2014 to January 2016; Group President, Carlisle Diversified Products from June 2012 to May 2014; President, Carlisle Brake &amp; Friction from January 2009 to June 2012; and President, Carlisle Asia-Pacific from February 2008 to January 2009. Prior to his employment at Carlisle, Mr. Koch held a variety of senior management positions at each of Graco Inc. and H.B. Fuller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45535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3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Koch brings to our Board his experience as a seasoned executive with strong business acumen and significant experience managing manufacturing and sales operations around the world as well as with mergers and acquisitions. In addition, as a public company director and executive, Mr. Koch contributes a solid understanding of financial oversight requirements and strategic planning.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Other Public Company Boards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Borders>
              <w:top w:val="single" w:sz="8" w:color="C00000"/>
            </w:tcBorders>
          </w:tcPr>
          <w:p>
            <w:pPr>
              <w:jc w:val="center"/>
              <w:ind w:right="270"/>
              <w:spacing w:after="0"/>
              <w:rPr>
                <w:sz w:val="20"/>
                <w:szCs w:val="20"/>
                <w:color w:val="auto"/>
              </w:rPr>
            </w:pPr>
            <w:r>
              <w:rPr>
                <w:rFonts w:ascii="Arial" w:cs="Arial" w:eastAsia="Arial" w:hAnsi="Arial"/>
                <w:sz w:val="18"/>
                <w:szCs w:val="18"/>
                <w:b w:val="1"/>
                <w:bCs w:val="1"/>
                <w:color w:val="auto"/>
                <w:w w:val="98"/>
              </w:rPr>
              <w:t>Current</w:t>
            </w:r>
          </w:p>
        </w:tc>
        <w:tc>
          <w:tcPr>
            <w:tcW w:w="3500" w:type="dxa"/>
            <w:vAlign w:val="bottom"/>
            <w:tcBorders>
              <w:top w:val="single" w:sz="8" w:color="C00000"/>
            </w:tcBorders>
          </w:tcPr>
          <w:p>
            <w:pPr>
              <w:jc w:val="center"/>
              <w:ind w:right="150"/>
              <w:spacing w:after="0"/>
              <w:rPr>
                <w:sz w:val="20"/>
                <w:szCs w:val="20"/>
                <w:color w:val="auto"/>
              </w:rPr>
            </w:pPr>
            <w:r>
              <w:rPr>
                <w:rFonts w:ascii="Arial" w:cs="Arial" w:eastAsia="Arial" w:hAnsi="Arial"/>
                <w:sz w:val="18"/>
                <w:szCs w:val="18"/>
                <w:b w:val="1"/>
                <w:bCs w:val="1"/>
                <w:color w:val="auto"/>
                <w:w w:val="98"/>
              </w:rPr>
              <w:t>Past 5 Years</w:t>
            </w:r>
          </w:p>
        </w:tc>
      </w:tr>
      <w:tr>
        <w:trPr>
          <w:trHeight w:val="217"/>
        </w:trPr>
        <w:tc>
          <w:tcPr>
            <w:tcW w:w="3680" w:type="dxa"/>
            <w:vAlign w:val="bottom"/>
          </w:tcPr>
          <w:p>
            <w:pPr>
              <w:jc w:val="center"/>
              <w:ind w:right="250"/>
              <w:spacing w:after="0"/>
              <w:rPr>
                <w:sz w:val="20"/>
                <w:szCs w:val="20"/>
                <w:color w:val="auto"/>
              </w:rPr>
            </w:pPr>
            <w:r>
              <w:rPr>
                <w:rFonts w:ascii="Arial" w:cs="Arial" w:eastAsia="Arial" w:hAnsi="Arial"/>
                <w:sz w:val="18"/>
                <w:szCs w:val="18"/>
                <w:color w:val="auto"/>
                <w:w w:val="99"/>
              </w:rPr>
              <w:t>Carlisle Companies Inc.</w:t>
            </w:r>
          </w:p>
        </w:tc>
        <w:tc>
          <w:tcPr>
            <w:tcW w:w="3500" w:type="dxa"/>
            <w:vAlign w:val="bottom"/>
          </w:tcPr>
          <w:p>
            <w:pPr>
              <w:jc w:val="center"/>
              <w:ind w:right="170"/>
              <w:spacing w:after="0"/>
              <w:rPr>
                <w:sz w:val="20"/>
                <w:szCs w:val="20"/>
                <w:color w:val="auto"/>
              </w:rPr>
            </w:pPr>
            <w:r>
              <w:rPr>
                <w:rFonts w:ascii="Arial" w:cs="Arial" w:eastAsia="Arial" w:hAnsi="Arial"/>
                <w:sz w:val="18"/>
                <w:szCs w:val="18"/>
                <w:color w:val="auto"/>
                <w:w w:val="99"/>
              </w:rPr>
              <w:t>Arctic Cat Inc.</w:t>
            </w:r>
          </w:p>
        </w:tc>
      </w:tr>
      <w:tr>
        <w:trPr>
          <w:trHeight w:val="783"/>
        </w:trPr>
        <w:tc>
          <w:tcPr>
            <w:tcW w:w="3680" w:type="dxa"/>
            <w:vAlign w:val="bottom"/>
          </w:tcPr>
          <w:p>
            <w:pPr>
              <w:jc w:val="right"/>
              <w:ind w:right="2010"/>
              <w:spacing w:after="0"/>
              <w:rPr>
                <w:sz w:val="20"/>
                <w:szCs w:val="20"/>
                <w:color w:val="auto"/>
              </w:rPr>
            </w:pPr>
            <w:r>
              <w:rPr>
                <w:rFonts w:ascii="Arial" w:cs="Arial" w:eastAsia="Arial" w:hAnsi="Arial"/>
                <w:sz w:val="18"/>
                <w:szCs w:val="18"/>
                <w:color w:val="auto"/>
              </w:rPr>
              <w:t>15</w:t>
            </w:r>
          </w:p>
        </w:tc>
        <w:tc>
          <w:tcPr>
            <w:tcW w:w="3500" w:type="dxa"/>
            <w:vAlign w:val="bottom"/>
          </w:tcPr>
          <w:p>
            <w:pPr>
              <w:spacing w:after="0"/>
              <w:rPr>
                <w:sz w:val="24"/>
                <w:szCs w:val="24"/>
                <w:color w:val="auto"/>
              </w:rPr>
            </w:pPr>
          </w:p>
        </w:tc>
      </w:tr>
    </w:tbl>
    <w:p>
      <w:pPr>
        <w:sectPr>
          <w:pgSz w:w="11900" w:h="16838" w:orient="portrait"/>
          <w:cols w:equalWidth="0" w:num="2">
            <w:col w:w="3520" w:space="720"/>
            <w:col w:w="718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Corporate Governance Guidelines</w:t>
      </w:r>
    </w:p>
    <w:p>
      <w:pPr>
        <w:spacing w:after="0" w:line="126"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board limits; director access to officers and employees; director compensation; director independence; related party transactions; director orientation and continuing education; CEO evaluation and management succession; and Board annual self-evaluation. Our Corporate Governance Guidelines provide, among other things, that:</w:t>
      </w:r>
    </w:p>
    <w:p>
      <w:pPr>
        <w:spacing w:after="0" w:line="108" w:lineRule="exact"/>
        <w:rPr>
          <w:sz w:val="20"/>
          <w:szCs w:val="20"/>
          <w:color w:val="auto"/>
        </w:rPr>
      </w:pPr>
    </w:p>
    <w:p>
      <w:pPr>
        <w:ind w:left="780" w:right="380" w:hanging="326"/>
        <w:spacing w:after="0" w:line="24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law, the SEC and the NYSE listing standards;</w:t>
      </w:r>
    </w:p>
    <w:p>
      <w:pPr>
        <w:spacing w:after="0" w:line="61" w:lineRule="exact"/>
        <w:rPr>
          <w:rFonts w:ascii="Arial" w:cs="Arial" w:eastAsia="Arial" w:hAnsi="Arial"/>
          <w:sz w:val="18"/>
          <w:szCs w:val="18"/>
          <w:color w:val="auto"/>
        </w:rPr>
      </w:pPr>
    </w:p>
    <w:p>
      <w:pPr>
        <w:ind w:left="780" w:right="620" w:hanging="326"/>
        <w:spacing w:after="0" w:line="24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director shall sit on boards of directors of more than four publicly held companies without the approval of the Nominating &amp; Governance Committee;</w:t>
      </w:r>
    </w:p>
    <w:p>
      <w:pPr>
        <w:spacing w:after="0" w:line="61" w:lineRule="exact"/>
        <w:rPr>
          <w:rFonts w:ascii="Arial" w:cs="Arial" w:eastAsia="Arial" w:hAnsi="Arial"/>
          <w:sz w:val="18"/>
          <w:szCs w:val="18"/>
          <w:color w:val="auto"/>
        </w:rPr>
      </w:pPr>
    </w:p>
    <w:p>
      <w:pPr>
        <w:ind w:left="780" w:right="120" w:hanging="326"/>
        <w:spacing w:after="0" w:line="24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shall serve as a director of more than two other publicly held companies and there shall be no interlocking board memberships without the approval of the Nominating &amp; Governance Committee;</w:t>
      </w:r>
    </w:p>
    <w:p>
      <w:pPr>
        <w:spacing w:after="0" w:line="61" w:lineRule="exact"/>
        <w:rPr>
          <w:rFonts w:ascii="Arial" w:cs="Arial" w:eastAsia="Arial" w:hAnsi="Arial"/>
          <w:sz w:val="18"/>
          <w:szCs w:val="18"/>
          <w:color w:val="auto"/>
        </w:rPr>
      </w:pPr>
    </w:p>
    <w:p>
      <w:pPr>
        <w:ind w:left="780" w:right="260" w:hanging="326"/>
        <w:spacing w:after="0" w:line="24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61" w:lineRule="exact"/>
        <w:rPr>
          <w:rFonts w:ascii="Arial" w:cs="Arial" w:eastAsia="Arial" w:hAnsi="Arial"/>
          <w:sz w:val="18"/>
          <w:szCs w:val="18"/>
          <w:color w:val="auto"/>
        </w:rPr>
      </w:pPr>
    </w:p>
    <w:p>
      <w:pPr>
        <w:ind w:left="780" w:right="14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CEO will annually review with the Board top management succession plans, including development plans for succession candidates, and will periodically review with the Board an emergency leadership preparedness plan applicable in the event the CEO unexpectedly becomes incapacitated or otherwise is unable to serve; and</w:t>
      </w:r>
    </w:p>
    <w:p>
      <w:pPr>
        <w:spacing w:after="0" w:line="67"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104" w:lineRule="exact"/>
        <w:rPr>
          <w:sz w:val="20"/>
          <w:szCs w:val="20"/>
          <w:color w:val="auto"/>
        </w:rPr>
      </w:pPr>
    </w:p>
    <w:p>
      <w:pPr>
        <w:jc w:val="both"/>
        <w:ind w:right="160" w:firstLine="456"/>
        <w:spacing w:after="0"/>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Leadership Structure</w:t>
      </w:r>
    </w:p>
    <w:p>
      <w:pPr>
        <w:spacing w:after="0" w:line="126" w:lineRule="exact"/>
        <w:rPr>
          <w:sz w:val="20"/>
          <w:szCs w:val="20"/>
          <w:color w:val="auto"/>
        </w:rPr>
      </w:pPr>
    </w:p>
    <w:p>
      <w:pPr>
        <w:ind w:right="280" w:firstLine="456"/>
        <w:spacing w:after="0" w:line="234"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 if the offices of Chairman and CEO are held by the same person, or</w:t>
      </w:r>
    </w:p>
    <w:p>
      <w:pPr>
        <w:spacing w:after="0" w:line="2" w:lineRule="exact"/>
        <w:rPr>
          <w:sz w:val="20"/>
          <w:szCs w:val="20"/>
          <w:color w:val="auto"/>
        </w:rPr>
      </w:pPr>
    </w:p>
    <w:p>
      <w:pPr>
        <w:ind w:right="160" w:firstLine="8"/>
        <w:spacing w:after="0" w:line="237"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Chairman does not meet the criteria for “independence” as established by applicable law, the rules and regulations of the SEC or the NYSE listing standards, then the Board, upon recommendation of the Nominating &amp; Governance Committee, shall appoint a presiding non-management director, or as referred to in this proxy statement a Lead Independent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Independent Director when the Chairman is not independent.</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Our Board is currently chaired by Richard M. Olson, who became our CEO on November 1, 2016, and Chairman on November 3, 2017. Michael J. Hoffman remained our Executive Chairman during all of fiscal 2017 and until his retirement from our Company on November 3, 2017. In addition, Mr. Buhrmaster continues as our Lead Independent Director. Our Nominating &amp; Governance Committee and Board believe that our current Board leadership structure ensures a strong and independent Board of Directors, provides effective governance, and creates appropriate oversight for the long-term benefit of our shareholders. The Board believes our current Board leadership structure is appropriate for several reasons, including: (i) Mr. Olson’s extensive knowledge of our Company, our business, operations and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industry, obtained through his more than 31 years of service to our Company, which benefit Board leadership and the Board’s decision-making process through his active role as Chairman; (ii) unification of Board leadership and strategic direction as implemented by our Management; and (iii) appropriate balance of risks relating to concentration of authority through the oversight of our independent and engaged Lead Independent Director and Board.</w:t>
      </w:r>
    </w:p>
    <w:p>
      <w:pPr>
        <w:spacing w:after="0" w:line="9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As our Lead Independent Director, Mr. Buhrmaster (i) assists Mr. Olson in establishing the agendas for Board meetings and the schedule of agenda subjects to be discussed during the year, to the extent such subjects can be foreseen; (ii) presides at regularly scheduled executive sessions of the non-employee directors without Management present; (iii) together with the Chair of the Compensation &amp; Human Resources Committee, communicates to Mr. Olson the results of his annual performance review and compensation; and (iv) leads the Board’s annual self-evaluation. With more than 21 years of continuous service on our Board, Mr. Buhrmaster has considerable knowledge of our Company, our business and our industry. Mr. Buhrmaster also has significant public company board experience. In addition to serving as our Lead Independent Director, Mr. Buhrmaster serves as the Chair of our Nominating &amp; Governance Committee.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Independence</w:t>
      </w:r>
    </w:p>
    <w:p>
      <w:pPr>
        <w:spacing w:after="0" w:line="126"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fiscal 2017 and each current director (Robert C. Buhrmaster, Janet K. Cooper, Gary L. Ellis, Jeffrey M. Ettinger, Katherine J. Harless, D. Christian Koch, James C. O’Rourke, Gregg W. Steinhafel, Christopher A. Twomey and Michael G. Vale), other than Michael J. Hoffman, our former Executive Chairman, and Richard M. Olson, our current Chairman and CEO, is independent. This determination was made because each such person has no material relationship with our Company, our Management, our independent registered public accounting firm, or external auditor, our independent external compensation consultant or our external compensation legal advisers, and otherwise meets the independence requirements as established by applicable law, the rules and regulations of the SEC and the NYSE listing standards.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Attendance; Executive Sessions</w:t>
      </w:r>
    </w:p>
    <w:p>
      <w:pPr>
        <w:spacing w:after="0" w:line="126"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Board held seven meetings during fiscal 2017 and took action by unanimous written consent once in fiscal 2017. Each incumbent director attended at least 75% of the aggregate total number of meetings held by the Board and all committees on which he or she served. Our Corporate Governance Guidelines provide that the non-employee directors will meet in regularly scheduled executive sessions without Management. At each regular Board meeting held during fiscal 2017 our non-employee directors met in executive session without Management present and such meetings were presided over by our Lead Independent Director.</w:t>
      </w:r>
    </w:p>
    <w:p>
      <w:pPr>
        <w:spacing w:after="0" w:line="95"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We expect all of our directors to attend our annual meeting of shareholders and we customarily schedule a regular Board meeting on the same day as our annual meeting. All directors serving at the time of our 2017 Annual Meeting of Shareholders held on March 21, 2017 were in attendance.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Committees</w:t>
      </w:r>
    </w:p>
    <w:p>
      <w:pPr>
        <w:spacing w:after="0" w:line="12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Board has four committees, the Audit Committee, Compensation &amp; Human Resources Committee, Nominating &amp; Governance Committee, and Finance Committee. The current membership of each committee and the number of times each committee met, including by executive session, during fiscal 2017 is noted in the table below. Neither Mr. Olson nor Mr. Hoffman is or was a member of any Board committee but did attend, or with respect to Mr. Olson, may attend various committee meetings, or portions of such meetings as appropriate, as a member of Management at the invitation of such Board committees.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shd w:val="clear" w:color="auto" w:fill="C00000"/>
          </w:tcPr>
          <w:p>
            <w:pPr>
              <w:spacing w:after="0"/>
              <w:rPr>
                <w:sz w:val="14"/>
                <w:szCs w:val="14"/>
                <w:color w:val="auto"/>
              </w:rPr>
            </w:pPr>
          </w:p>
        </w:tc>
        <w:tc>
          <w:tcPr>
            <w:tcW w:w="1780" w:type="dxa"/>
            <w:vAlign w:val="bottom"/>
            <w:shd w:val="clear" w:color="auto" w:fill="C00000"/>
          </w:tcPr>
          <w:p>
            <w:pPr>
              <w:spacing w:after="0"/>
              <w:rPr>
                <w:sz w:val="14"/>
                <w:szCs w:val="14"/>
                <w:color w:val="auto"/>
              </w:rPr>
            </w:pPr>
          </w:p>
        </w:tc>
        <w:tc>
          <w:tcPr>
            <w:tcW w:w="1820" w:type="dxa"/>
            <w:vAlign w:val="bottom"/>
            <w:shd w:val="clear" w:color="auto" w:fill="C00000"/>
          </w:tcPr>
          <w:p>
            <w:pPr>
              <w:spacing w:after="0"/>
              <w:rPr>
                <w:sz w:val="14"/>
                <w:szCs w:val="14"/>
                <w:color w:val="auto"/>
              </w:rPr>
            </w:pPr>
          </w:p>
        </w:tc>
        <w:tc>
          <w:tcPr>
            <w:tcW w:w="17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Compensation &amp;</w:t>
            </w:r>
          </w:p>
        </w:tc>
        <w:tc>
          <w:tcPr>
            <w:tcW w:w="1520" w:type="dxa"/>
            <w:vAlign w:val="bottom"/>
            <w:shd w:val="clear" w:color="auto" w:fill="C00000"/>
          </w:tcPr>
          <w:p>
            <w:pPr>
              <w:jc w:val="center"/>
              <w:ind w:right="77"/>
              <w:spacing w:after="0"/>
              <w:rPr>
                <w:sz w:val="20"/>
                <w:szCs w:val="20"/>
                <w:color w:val="auto"/>
              </w:rPr>
            </w:pPr>
            <w:r>
              <w:rPr>
                <w:rFonts w:ascii="Arial" w:cs="Arial" w:eastAsia="Arial" w:hAnsi="Arial"/>
                <w:sz w:val="14"/>
                <w:szCs w:val="14"/>
                <w:b w:val="1"/>
                <w:bCs w:val="1"/>
                <w:color w:val="FFFFFF"/>
              </w:rPr>
              <w:t>Nominating &amp;</w:t>
            </w:r>
          </w:p>
        </w:tc>
        <w:tc>
          <w:tcPr>
            <w:tcW w:w="1240" w:type="dxa"/>
            <w:vAlign w:val="bottom"/>
            <w:shd w:val="clear" w:color="auto" w:fill="C00000"/>
          </w:tcPr>
          <w:p>
            <w:pPr>
              <w:spacing w:after="0"/>
              <w:rPr>
                <w:sz w:val="14"/>
                <w:szCs w:val="14"/>
                <w:color w:val="auto"/>
              </w:rPr>
            </w:pPr>
          </w:p>
        </w:tc>
      </w:tr>
      <w:tr>
        <w:trPr>
          <w:trHeight w:val="175"/>
        </w:trPr>
        <w:tc>
          <w:tcPr>
            <w:tcW w:w="336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Director</w:t>
            </w:r>
          </w:p>
        </w:tc>
        <w:tc>
          <w:tcPr>
            <w:tcW w:w="1780" w:type="dxa"/>
            <w:vAlign w:val="bottom"/>
            <w:shd w:val="clear" w:color="auto" w:fill="C00000"/>
          </w:tcPr>
          <w:p>
            <w:pPr>
              <w:spacing w:after="0"/>
              <w:rPr>
                <w:sz w:val="15"/>
                <w:szCs w:val="15"/>
                <w:color w:val="auto"/>
              </w:rPr>
            </w:pPr>
          </w:p>
        </w:tc>
        <w:tc>
          <w:tcPr>
            <w:tcW w:w="1820" w:type="dxa"/>
            <w:vAlign w:val="bottom"/>
            <w:shd w:val="clear" w:color="auto" w:fill="C00000"/>
          </w:tcPr>
          <w:p>
            <w:pPr>
              <w:ind w:left="580"/>
              <w:spacing w:after="0"/>
              <w:rPr>
                <w:sz w:val="20"/>
                <w:szCs w:val="20"/>
                <w:color w:val="auto"/>
              </w:rPr>
            </w:pPr>
            <w:r>
              <w:rPr>
                <w:rFonts w:ascii="Arial" w:cs="Arial" w:eastAsia="Arial" w:hAnsi="Arial"/>
                <w:sz w:val="14"/>
                <w:szCs w:val="14"/>
                <w:b w:val="1"/>
                <w:bCs w:val="1"/>
                <w:color w:val="FFFFFF"/>
              </w:rPr>
              <w:t>Audit</w:t>
            </w:r>
          </w:p>
        </w:tc>
        <w:tc>
          <w:tcPr>
            <w:tcW w:w="17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Human Resources</w:t>
            </w:r>
          </w:p>
        </w:tc>
        <w:tc>
          <w:tcPr>
            <w:tcW w:w="1520" w:type="dxa"/>
            <w:vAlign w:val="bottom"/>
            <w:shd w:val="clear" w:color="auto" w:fill="C00000"/>
          </w:tcPr>
          <w:p>
            <w:pPr>
              <w:jc w:val="center"/>
              <w:ind w:right="77"/>
              <w:spacing w:after="0"/>
              <w:rPr>
                <w:sz w:val="20"/>
                <w:szCs w:val="20"/>
                <w:color w:val="auto"/>
              </w:rPr>
            </w:pPr>
            <w:r>
              <w:rPr>
                <w:rFonts w:ascii="Arial" w:cs="Arial" w:eastAsia="Arial" w:hAnsi="Arial"/>
                <w:sz w:val="14"/>
                <w:szCs w:val="14"/>
                <w:b w:val="1"/>
                <w:bCs w:val="1"/>
                <w:color w:val="FFFFFF"/>
              </w:rPr>
              <w:t>Governance</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Finance</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Robert C. Buhrmaster</w:t>
            </w: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jc w:val="center"/>
              <w:ind w:right="77"/>
              <w:spacing w:after="0"/>
              <w:rPr>
                <w:sz w:val="20"/>
                <w:szCs w:val="20"/>
                <w:color w:val="auto"/>
              </w:rPr>
            </w:pPr>
            <w:r>
              <w:rPr>
                <w:rFonts w:ascii="Arial" w:cs="Arial" w:eastAsia="Arial" w:hAnsi="Arial"/>
                <w:sz w:val="16"/>
                <w:szCs w:val="16"/>
                <w:color w:val="auto"/>
              </w:rPr>
              <w:t>Chair</w:t>
            </w:r>
          </w:p>
        </w:tc>
        <w:tc>
          <w:tcPr>
            <w:tcW w:w="1240" w:type="dxa"/>
            <w:vAlign w:val="bottom"/>
          </w:tcPr>
          <w:p>
            <w:pPr>
              <w:spacing w:after="0"/>
              <w:rPr>
                <w:sz w:val="18"/>
                <w:szCs w:val="18"/>
                <w:color w:val="auto"/>
              </w:rPr>
            </w:pPr>
          </w:p>
        </w:tc>
      </w:tr>
      <w:tr>
        <w:trPr>
          <w:trHeight w:val="216"/>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Janet K. Cooper</w:t>
            </w:r>
          </w:p>
        </w:tc>
        <w:tc>
          <w:tcPr>
            <w:tcW w:w="1780" w:type="dxa"/>
            <w:vAlign w:val="bottom"/>
            <w:shd w:val="clear" w:color="auto" w:fill="D9D9D9"/>
          </w:tcPr>
          <w:p>
            <w:pPr>
              <w:spacing w:after="0"/>
              <w:rPr>
                <w:sz w:val="18"/>
                <w:szCs w:val="18"/>
                <w:color w:val="auto"/>
              </w:rPr>
            </w:pPr>
          </w:p>
        </w:tc>
        <w:tc>
          <w:tcPr>
            <w:tcW w:w="1820" w:type="dxa"/>
            <w:vAlign w:val="bottom"/>
            <w:shd w:val="clear" w:color="auto" w:fill="D9D9D9"/>
          </w:tcPr>
          <w:p>
            <w:pPr>
              <w:ind w:left="560"/>
              <w:spacing w:after="0"/>
              <w:rPr>
                <w:sz w:val="20"/>
                <w:szCs w:val="20"/>
                <w:color w:val="auto"/>
              </w:rPr>
            </w:pPr>
            <w:r>
              <w:rPr>
                <w:rFonts w:ascii="Arial" w:cs="Arial" w:eastAsia="Arial" w:hAnsi="Arial"/>
                <w:sz w:val="16"/>
                <w:szCs w:val="16"/>
                <w:color w:val="auto"/>
              </w:rPr>
              <w:t>Chair</w:t>
            </w:r>
          </w:p>
        </w:tc>
        <w:tc>
          <w:tcPr>
            <w:tcW w:w="170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24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Gary L. Ellis</w:t>
            </w:r>
          </w:p>
        </w:tc>
        <w:tc>
          <w:tcPr>
            <w:tcW w:w="1780" w:type="dxa"/>
            <w:vAlign w:val="bottom"/>
          </w:tcPr>
          <w:p>
            <w:pPr>
              <w:spacing w:after="0"/>
              <w:rPr>
                <w:sz w:val="18"/>
                <w:szCs w:val="18"/>
                <w:color w:val="auto"/>
              </w:rPr>
            </w:pPr>
          </w:p>
        </w:tc>
        <w:tc>
          <w:tcPr>
            <w:tcW w:w="1820" w:type="dxa"/>
            <w:vAlign w:val="bottom"/>
          </w:tcPr>
          <w:p>
            <w:pPr>
              <w:jc w:val="center"/>
              <w:ind w:right="217"/>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216"/>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Jeffrey M. Ettinger</w:t>
            </w:r>
          </w:p>
        </w:tc>
        <w:tc>
          <w:tcPr>
            <w:tcW w:w="1780" w:type="dxa"/>
            <w:vAlign w:val="bottom"/>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170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shd w:val="clear" w:color="auto" w:fill="D9D9D9"/>
          </w:tcPr>
          <w:p>
            <w:pPr>
              <w:jc w:val="center"/>
              <w:ind w:right="77"/>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shd w:val="clear" w:color="auto" w:fill="D9D9D9"/>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Katherine J. Harless</w:t>
            </w:r>
          </w:p>
        </w:tc>
        <w:tc>
          <w:tcPr>
            <w:tcW w:w="1780" w:type="dxa"/>
            <w:vAlign w:val="bottom"/>
          </w:tcPr>
          <w:p>
            <w:pPr>
              <w:spacing w:after="0"/>
              <w:rPr>
                <w:sz w:val="18"/>
                <w:szCs w:val="18"/>
                <w:color w:val="auto"/>
              </w:rPr>
            </w:pPr>
          </w:p>
        </w:tc>
        <w:tc>
          <w:tcPr>
            <w:tcW w:w="1820" w:type="dxa"/>
            <w:vAlign w:val="bottom"/>
          </w:tcPr>
          <w:p>
            <w:pPr>
              <w:jc w:val="center"/>
              <w:ind w:right="217"/>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D. Christian Koch</w:t>
            </w:r>
          </w:p>
        </w:tc>
        <w:tc>
          <w:tcPr>
            <w:tcW w:w="1780" w:type="dxa"/>
            <w:vAlign w:val="bottom"/>
            <w:shd w:val="clear" w:color="auto" w:fill="D9D9D9"/>
          </w:tcPr>
          <w:p>
            <w:pPr>
              <w:spacing w:after="0"/>
              <w:rPr>
                <w:sz w:val="18"/>
                <w:szCs w:val="18"/>
                <w:color w:val="auto"/>
              </w:rPr>
            </w:pPr>
          </w:p>
        </w:tc>
        <w:tc>
          <w:tcPr>
            <w:tcW w:w="1820" w:type="dxa"/>
            <w:vAlign w:val="bottom"/>
            <w:shd w:val="clear" w:color="auto" w:fill="D9D9D9"/>
          </w:tcPr>
          <w:p>
            <w:pPr>
              <w:jc w:val="center"/>
              <w:ind w:right="217"/>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24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James C. O’Rourke</w:t>
            </w: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spacing w:after="0"/>
              <w:rPr>
                <w:sz w:val="18"/>
                <w:szCs w:val="18"/>
                <w:color w:val="auto"/>
              </w:rPr>
            </w:pPr>
          </w:p>
        </w:tc>
      </w:tr>
      <w:tr>
        <w:trPr>
          <w:trHeight w:val="216"/>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Gregg W. Steinhafel</w:t>
            </w:r>
          </w:p>
        </w:tc>
        <w:tc>
          <w:tcPr>
            <w:tcW w:w="1780" w:type="dxa"/>
            <w:vAlign w:val="bottom"/>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170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shd w:val="clear" w:color="auto" w:fill="D9D9D9"/>
          </w:tcPr>
          <w:p>
            <w:pPr>
              <w:jc w:val="center"/>
              <w:ind w:right="77"/>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shd w:val="clear" w:color="auto" w:fill="D9D9D9"/>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Christopher A. Twomey</w:t>
            </w: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520" w:type="dxa"/>
            <w:vAlign w:val="bottom"/>
          </w:tcPr>
          <w:p>
            <w:pPr>
              <w:jc w:val="center"/>
              <w:ind w:right="77"/>
              <w:spacing w:after="0" w:line="181" w:lineRule="exact"/>
              <w:rPr>
                <w:sz w:val="20"/>
                <w:szCs w:val="20"/>
                <w:color w:val="auto"/>
              </w:rPr>
            </w:pPr>
            <w:r>
              <w:rPr>
                <w:rFonts w:ascii="MS PGothic" w:cs="MS PGothic" w:eastAsia="MS PGothic" w:hAnsi="MS PGothic"/>
                <w:sz w:val="18"/>
                <w:szCs w:val="18"/>
                <w:color w:val="auto"/>
                <w:w w:val="88"/>
              </w:rPr>
              <w:t>✓</w:t>
            </w:r>
          </w:p>
        </w:tc>
        <w:tc>
          <w:tcPr>
            <w:tcW w:w="1240" w:type="dxa"/>
            <w:vAlign w:val="bottom"/>
          </w:tcPr>
          <w:p>
            <w:pPr>
              <w:spacing w:after="0"/>
              <w:rPr>
                <w:sz w:val="18"/>
                <w:szCs w:val="18"/>
                <w:color w:val="auto"/>
              </w:rPr>
            </w:pPr>
          </w:p>
        </w:tc>
      </w:tr>
      <w:tr>
        <w:trPr>
          <w:trHeight w:val="216"/>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Michael G. Vale</w:t>
            </w:r>
          </w:p>
        </w:tc>
        <w:tc>
          <w:tcPr>
            <w:tcW w:w="1780" w:type="dxa"/>
            <w:vAlign w:val="bottom"/>
            <w:shd w:val="clear" w:color="auto" w:fill="D9D9D9"/>
          </w:tcPr>
          <w:p>
            <w:pPr>
              <w:spacing w:after="0"/>
              <w:rPr>
                <w:sz w:val="18"/>
                <w:szCs w:val="18"/>
                <w:color w:val="auto"/>
              </w:rPr>
            </w:pPr>
          </w:p>
        </w:tc>
        <w:tc>
          <w:tcPr>
            <w:tcW w:w="1820" w:type="dxa"/>
            <w:vAlign w:val="bottom"/>
            <w:shd w:val="clear" w:color="auto" w:fill="D9D9D9"/>
          </w:tcPr>
          <w:p>
            <w:pPr>
              <w:jc w:val="center"/>
              <w:ind w:right="217"/>
              <w:spacing w:after="0" w:line="181" w:lineRule="exact"/>
              <w:rPr>
                <w:sz w:val="20"/>
                <w:szCs w:val="20"/>
                <w:color w:val="auto"/>
              </w:rPr>
            </w:pPr>
            <w:r>
              <w:rPr>
                <w:rFonts w:ascii="MS PGothic" w:cs="MS PGothic" w:eastAsia="MS PGothic" w:hAnsi="MS PGothic"/>
                <w:sz w:val="18"/>
                <w:szCs w:val="18"/>
                <w:color w:val="auto"/>
                <w:w w:val="88"/>
              </w:rPr>
              <w:t>✓</w:t>
            </w:r>
          </w:p>
        </w:tc>
        <w:tc>
          <w:tcPr>
            <w:tcW w:w="1700" w:type="dxa"/>
            <w:vAlign w:val="bottom"/>
            <w:shd w:val="clear" w:color="auto" w:fill="D9D9D9"/>
          </w:tcPr>
          <w:p>
            <w:pPr>
              <w:spacing w:after="0"/>
              <w:rPr>
                <w:sz w:val="18"/>
                <w:szCs w:val="18"/>
                <w:color w:val="auto"/>
              </w:rPr>
            </w:pPr>
          </w:p>
        </w:tc>
        <w:tc>
          <w:tcPr>
            <w:tcW w:w="1520" w:type="dxa"/>
            <w:vAlign w:val="bottom"/>
            <w:shd w:val="clear" w:color="auto" w:fill="D9D9D9"/>
          </w:tcPr>
          <w:p>
            <w:pPr>
              <w:spacing w:after="0"/>
              <w:rPr>
                <w:sz w:val="18"/>
                <w:szCs w:val="18"/>
                <w:color w:val="auto"/>
              </w:rPr>
            </w:pPr>
          </w:p>
        </w:tc>
        <w:tc>
          <w:tcPr>
            <w:tcW w:w="1240" w:type="dxa"/>
            <w:vAlign w:val="bottom"/>
            <w:shd w:val="clear" w:color="auto" w:fill="D9D9D9"/>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62"/>
        </w:trPr>
        <w:tc>
          <w:tcPr>
            <w:tcW w:w="33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2017 Meetings</w:t>
            </w:r>
          </w:p>
        </w:tc>
        <w:tc>
          <w:tcPr>
            <w:tcW w:w="1780" w:type="dxa"/>
            <w:vAlign w:val="bottom"/>
            <w:shd w:val="clear" w:color="auto" w:fill="C00000"/>
          </w:tcPr>
          <w:p>
            <w:pPr>
              <w:spacing w:after="0"/>
              <w:rPr>
                <w:sz w:val="14"/>
                <w:szCs w:val="14"/>
                <w:color w:val="auto"/>
              </w:rPr>
            </w:pPr>
          </w:p>
        </w:tc>
        <w:tc>
          <w:tcPr>
            <w:tcW w:w="1820" w:type="dxa"/>
            <w:vAlign w:val="bottom"/>
            <w:shd w:val="clear" w:color="auto" w:fill="C00000"/>
          </w:tcPr>
          <w:p>
            <w:pPr>
              <w:spacing w:after="0"/>
              <w:rPr>
                <w:sz w:val="14"/>
                <w:szCs w:val="14"/>
                <w:color w:val="auto"/>
              </w:rPr>
            </w:pPr>
          </w:p>
        </w:tc>
        <w:tc>
          <w:tcPr>
            <w:tcW w:w="1700" w:type="dxa"/>
            <w:vAlign w:val="bottom"/>
            <w:shd w:val="clear" w:color="auto" w:fill="C00000"/>
          </w:tcPr>
          <w:p>
            <w:pPr>
              <w:spacing w:after="0"/>
              <w:rPr>
                <w:sz w:val="14"/>
                <w:szCs w:val="14"/>
                <w:color w:val="auto"/>
              </w:rPr>
            </w:pPr>
          </w:p>
        </w:tc>
        <w:tc>
          <w:tcPr>
            <w:tcW w:w="1520" w:type="dxa"/>
            <w:vAlign w:val="bottom"/>
            <w:shd w:val="clear" w:color="auto" w:fill="C00000"/>
          </w:tcPr>
          <w:p>
            <w:pPr>
              <w:spacing w:after="0"/>
              <w:rPr>
                <w:sz w:val="14"/>
                <w:szCs w:val="14"/>
                <w:color w:val="auto"/>
              </w:rPr>
            </w:pPr>
          </w:p>
        </w:tc>
        <w:tc>
          <w:tcPr>
            <w:tcW w:w="1240" w:type="dxa"/>
            <w:vAlign w:val="bottom"/>
            <w:shd w:val="clear" w:color="auto" w:fill="C00000"/>
          </w:tcPr>
          <w:p>
            <w:pPr>
              <w:spacing w:after="0"/>
              <w:rPr>
                <w:sz w:val="14"/>
                <w:szCs w:val="14"/>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Number of Meetings</w:t>
            </w:r>
          </w:p>
        </w:tc>
        <w:tc>
          <w:tcPr>
            <w:tcW w:w="1780" w:type="dxa"/>
            <w:vAlign w:val="bottom"/>
          </w:tcPr>
          <w:p>
            <w:pPr>
              <w:spacing w:after="0"/>
              <w:rPr>
                <w:sz w:val="16"/>
                <w:szCs w:val="16"/>
                <w:color w:val="auto"/>
              </w:rPr>
            </w:pPr>
          </w:p>
        </w:tc>
        <w:tc>
          <w:tcPr>
            <w:tcW w:w="1820" w:type="dxa"/>
            <w:vAlign w:val="bottom"/>
          </w:tcPr>
          <w:p>
            <w:pPr>
              <w:jc w:val="center"/>
              <w:ind w:right="237"/>
              <w:spacing w:after="0"/>
              <w:rPr>
                <w:sz w:val="20"/>
                <w:szCs w:val="20"/>
                <w:color w:val="auto"/>
              </w:rPr>
            </w:pPr>
            <w:r>
              <w:rPr>
                <w:rFonts w:ascii="Arial" w:cs="Arial" w:eastAsia="Arial" w:hAnsi="Arial"/>
                <w:sz w:val="16"/>
                <w:szCs w:val="16"/>
                <w:color w:val="auto"/>
              </w:rPr>
              <w:t>13</w:t>
            </w:r>
          </w:p>
        </w:tc>
        <w:tc>
          <w:tcPr>
            <w:tcW w:w="1700" w:type="dxa"/>
            <w:vAlign w:val="bottom"/>
          </w:tcPr>
          <w:p>
            <w:pPr>
              <w:jc w:val="center"/>
              <w:spacing w:after="0"/>
              <w:rPr>
                <w:sz w:val="20"/>
                <w:szCs w:val="20"/>
                <w:color w:val="auto"/>
              </w:rPr>
            </w:pPr>
            <w:r>
              <w:rPr>
                <w:rFonts w:ascii="Arial" w:cs="Arial" w:eastAsia="Arial" w:hAnsi="Arial"/>
                <w:sz w:val="16"/>
                <w:szCs w:val="16"/>
                <w:color w:val="auto"/>
              </w:rPr>
              <w:t>3</w:t>
            </w:r>
          </w:p>
        </w:tc>
        <w:tc>
          <w:tcPr>
            <w:tcW w:w="1520" w:type="dxa"/>
            <w:vAlign w:val="bottom"/>
          </w:tcPr>
          <w:p>
            <w:pPr>
              <w:jc w:val="center"/>
              <w:ind w:right="77"/>
              <w:spacing w:after="0"/>
              <w:rPr>
                <w:sz w:val="20"/>
                <w:szCs w:val="20"/>
                <w:color w:val="auto"/>
              </w:rPr>
            </w:pPr>
            <w:r>
              <w:rPr>
                <w:rFonts w:ascii="Arial" w:cs="Arial" w:eastAsia="Arial" w:hAnsi="Arial"/>
                <w:sz w:val="16"/>
                <w:szCs w:val="16"/>
                <w:color w:val="auto"/>
                <w:w w:val="89"/>
              </w:rPr>
              <w:t>2</w:t>
            </w:r>
          </w:p>
        </w:tc>
        <w:tc>
          <w:tcPr>
            <w:tcW w:w="124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191"/>
        </w:trPr>
        <w:tc>
          <w:tcPr>
            <w:tcW w:w="3360" w:type="dxa"/>
            <w:vAlign w:val="bottom"/>
            <w:shd w:val="clear" w:color="auto" w:fill="D9D9D9"/>
          </w:tcPr>
          <w:p>
            <w:pPr>
              <w:spacing w:after="0"/>
              <w:rPr>
                <w:sz w:val="20"/>
                <w:szCs w:val="20"/>
                <w:color w:val="auto"/>
              </w:rPr>
            </w:pPr>
            <w:r>
              <w:rPr>
                <w:rFonts w:ascii="Arial" w:cs="Arial" w:eastAsia="Arial" w:hAnsi="Arial"/>
                <w:sz w:val="16"/>
                <w:szCs w:val="16"/>
                <w:color w:val="auto"/>
              </w:rPr>
              <w:t>Executive Sessions</w:t>
            </w:r>
          </w:p>
        </w:tc>
        <w:tc>
          <w:tcPr>
            <w:tcW w:w="1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w:t>
            </w:r>
          </w:p>
        </w:tc>
        <w:tc>
          <w:tcPr>
            <w:tcW w:w="1820" w:type="dxa"/>
            <w:vAlign w:val="bottom"/>
            <w:shd w:val="clear" w:color="auto" w:fill="D9D9D9"/>
          </w:tcPr>
          <w:p>
            <w:pPr>
              <w:ind w:left="20"/>
              <w:spacing w:after="0"/>
              <w:rPr>
                <w:sz w:val="20"/>
                <w:szCs w:val="20"/>
                <w:color w:val="auto"/>
              </w:rPr>
            </w:pPr>
            <w:r>
              <w:rPr>
                <w:rFonts w:ascii="Arial" w:cs="Arial" w:eastAsia="Arial" w:hAnsi="Arial"/>
                <w:sz w:val="16"/>
                <w:szCs w:val="16"/>
                <w:color w:val="auto"/>
              </w:rPr>
              <w:t>– with Committee</w:t>
            </w:r>
          </w:p>
        </w:tc>
        <w:tc>
          <w:tcPr>
            <w:tcW w:w="170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3</w:t>
            </w:r>
          </w:p>
        </w:tc>
        <w:tc>
          <w:tcPr>
            <w:tcW w:w="1520" w:type="dxa"/>
            <w:vAlign w:val="bottom"/>
            <w:shd w:val="clear" w:color="auto" w:fill="D9D9D9"/>
          </w:tcPr>
          <w:p>
            <w:pPr>
              <w:jc w:val="center"/>
              <w:ind w:right="77"/>
              <w:spacing w:after="0"/>
              <w:rPr>
                <w:sz w:val="20"/>
                <w:szCs w:val="20"/>
                <w:color w:val="auto"/>
              </w:rPr>
            </w:pPr>
            <w:r>
              <w:rPr>
                <w:rFonts w:ascii="Arial" w:cs="Arial" w:eastAsia="Arial" w:hAnsi="Arial"/>
                <w:sz w:val="16"/>
                <w:szCs w:val="16"/>
                <w:color w:val="auto"/>
                <w:w w:val="89"/>
              </w:rPr>
              <w:t>2</w:t>
            </w:r>
          </w:p>
        </w:tc>
        <w:tc>
          <w:tcPr>
            <w:tcW w:w="12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2</w:t>
            </w:r>
          </w:p>
        </w:tc>
      </w:tr>
      <w:tr>
        <w:trPr>
          <w:trHeight w:val="189"/>
        </w:trPr>
        <w:tc>
          <w:tcPr>
            <w:tcW w:w="3360" w:type="dxa"/>
            <w:vAlign w:val="bottom"/>
            <w:shd w:val="clear" w:color="auto" w:fill="D9D9D9"/>
          </w:tcPr>
          <w:p>
            <w:pPr>
              <w:spacing w:after="0"/>
              <w:rPr>
                <w:sz w:val="16"/>
                <w:szCs w:val="16"/>
                <w:color w:val="auto"/>
              </w:rPr>
            </w:pPr>
          </w:p>
        </w:tc>
        <w:tc>
          <w:tcPr>
            <w:tcW w:w="1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w:t>
            </w:r>
          </w:p>
        </w:tc>
        <w:tc>
          <w:tcPr>
            <w:tcW w:w="1820" w:type="dxa"/>
            <w:vAlign w:val="bottom"/>
            <w:shd w:val="clear" w:color="auto" w:fill="D9D9D9"/>
          </w:tcPr>
          <w:p>
            <w:pPr>
              <w:ind w:left="20"/>
              <w:spacing w:after="0"/>
              <w:rPr>
                <w:sz w:val="20"/>
                <w:szCs w:val="20"/>
                <w:color w:val="auto"/>
              </w:rPr>
            </w:pPr>
            <w:r>
              <w:rPr>
                <w:rFonts w:ascii="Arial" w:cs="Arial" w:eastAsia="Arial" w:hAnsi="Arial"/>
                <w:sz w:val="16"/>
                <w:szCs w:val="16"/>
                <w:color w:val="auto"/>
              </w:rPr>
              <w:t>– with Management</w:t>
            </w:r>
          </w:p>
        </w:tc>
        <w:tc>
          <w:tcPr>
            <w:tcW w:w="170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r>
      <w:tr>
        <w:trPr>
          <w:trHeight w:val="189"/>
        </w:trPr>
        <w:tc>
          <w:tcPr>
            <w:tcW w:w="3360" w:type="dxa"/>
            <w:vAlign w:val="bottom"/>
            <w:shd w:val="clear" w:color="auto" w:fill="D9D9D9"/>
          </w:tcPr>
          <w:p>
            <w:pPr>
              <w:spacing w:after="0"/>
              <w:rPr>
                <w:sz w:val="16"/>
                <w:szCs w:val="16"/>
                <w:color w:val="auto"/>
              </w:rPr>
            </w:pPr>
          </w:p>
        </w:tc>
        <w:tc>
          <w:tcPr>
            <w:tcW w:w="1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w:t>
            </w:r>
          </w:p>
        </w:tc>
        <w:tc>
          <w:tcPr>
            <w:tcW w:w="1820" w:type="dxa"/>
            <w:vAlign w:val="bottom"/>
            <w:shd w:val="clear" w:color="auto" w:fill="D9D9D9"/>
          </w:tcPr>
          <w:p>
            <w:pPr>
              <w:ind w:left="20"/>
              <w:spacing w:after="0"/>
              <w:rPr>
                <w:sz w:val="20"/>
                <w:szCs w:val="20"/>
                <w:color w:val="auto"/>
              </w:rPr>
            </w:pPr>
            <w:r>
              <w:rPr>
                <w:rFonts w:ascii="Arial" w:cs="Arial" w:eastAsia="Arial" w:hAnsi="Arial"/>
                <w:sz w:val="16"/>
                <w:szCs w:val="16"/>
                <w:color w:val="auto"/>
              </w:rPr>
              <w:t>– with internal auditor</w:t>
            </w:r>
          </w:p>
        </w:tc>
        <w:tc>
          <w:tcPr>
            <w:tcW w:w="1700" w:type="dxa"/>
            <w:vAlign w:val="bottom"/>
            <w:shd w:val="clear" w:color="auto" w:fill="D9D9D9"/>
          </w:tcPr>
          <w:p>
            <w:pPr>
              <w:spacing w:after="0"/>
              <w:rPr>
                <w:sz w:val="16"/>
                <w:szCs w:val="16"/>
                <w:color w:val="auto"/>
              </w:rPr>
            </w:pPr>
          </w:p>
        </w:tc>
        <w:tc>
          <w:tcPr>
            <w:tcW w:w="1520" w:type="dxa"/>
            <w:vAlign w:val="bottom"/>
            <w:shd w:val="clear" w:color="auto" w:fill="D9D9D9"/>
          </w:tcPr>
          <w:p>
            <w:pPr>
              <w:spacing w:after="0"/>
              <w:rPr>
                <w:sz w:val="16"/>
                <w:szCs w:val="16"/>
                <w:color w:val="auto"/>
              </w:rPr>
            </w:pPr>
          </w:p>
        </w:tc>
        <w:tc>
          <w:tcPr>
            <w:tcW w:w="1240" w:type="dxa"/>
            <w:vAlign w:val="bottom"/>
            <w:shd w:val="clear" w:color="auto" w:fill="D9D9D9"/>
          </w:tcPr>
          <w:p>
            <w:pPr>
              <w:spacing w:after="0"/>
              <w:rPr>
                <w:sz w:val="16"/>
                <w:szCs w:val="16"/>
                <w:color w:val="auto"/>
              </w:rPr>
            </w:pPr>
          </w:p>
        </w:tc>
      </w:tr>
      <w:tr>
        <w:trPr>
          <w:trHeight w:val="201"/>
        </w:trPr>
        <w:tc>
          <w:tcPr>
            <w:tcW w:w="3360" w:type="dxa"/>
            <w:vAlign w:val="bottom"/>
            <w:shd w:val="clear" w:color="auto" w:fill="D9D9D9"/>
          </w:tcPr>
          <w:p>
            <w:pPr>
              <w:spacing w:after="0"/>
              <w:rPr>
                <w:sz w:val="17"/>
                <w:szCs w:val="17"/>
                <w:color w:val="auto"/>
              </w:rPr>
            </w:pPr>
          </w:p>
        </w:tc>
        <w:tc>
          <w:tcPr>
            <w:tcW w:w="1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w:t>
            </w:r>
          </w:p>
        </w:tc>
        <w:tc>
          <w:tcPr>
            <w:tcW w:w="1820" w:type="dxa"/>
            <w:vAlign w:val="bottom"/>
            <w:shd w:val="clear" w:color="auto" w:fill="D9D9D9"/>
          </w:tcPr>
          <w:p>
            <w:pPr>
              <w:ind w:left="20"/>
              <w:spacing w:after="0"/>
              <w:rPr>
                <w:sz w:val="20"/>
                <w:szCs w:val="20"/>
                <w:color w:val="auto"/>
              </w:rPr>
            </w:pPr>
            <w:r>
              <w:rPr>
                <w:rFonts w:ascii="Arial" w:cs="Arial" w:eastAsia="Arial" w:hAnsi="Arial"/>
                <w:sz w:val="16"/>
                <w:szCs w:val="16"/>
                <w:color w:val="auto"/>
              </w:rPr>
              <w:t>– with external auditor</w:t>
            </w:r>
          </w:p>
        </w:tc>
        <w:tc>
          <w:tcPr>
            <w:tcW w:w="1700" w:type="dxa"/>
            <w:vAlign w:val="bottom"/>
            <w:shd w:val="clear" w:color="auto" w:fill="D9D9D9"/>
          </w:tcPr>
          <w:p>
            <w:pPr>
              <w:spacing w:after="0"/>
              <w:rPr>
                <w:sz w:val="17"/>
                <w:szCs w:val="17"/>
                <w:color w:val="auto"/>
              </w:rPr>
            </w:pPr>
          </w:p>
        </w:tc>
        <w:tc>
          <w:tcPr>
            <w:tcW w:w="1520" w:type="dxa"/>
            <w:vAlign w:val="bottom"/>
            <w:shd w:val="clear" w:color="auto" w:fill="D9D9D9"/>
          </w:tcPr>
          <w:p>
            <w:pPr>
              <w:spacing w:after="0"/>
              <w:rPr>
                <w:sz w:val="17"/>
                <w:szCs w:val="17"/>
                <w:color w:val="auto"/>
              </w:rPr>
            </w:pPr>
          </w:p>
        </w:tc>
        <w:tc>
          <w:tcPr>
            <w:tcW w:w="1240" w:type="dxa"/>
            <w:vAlign w:val="bottom"/>
            <w:shd w:val="clear" w:color="auto" w:fill="D9D9D9"/>
          </w:tcPr>
          <w:p>
            <w:pPr>
              <w:spacing w:after="0"/>
              <w:rPr>
                <w:sz w:val="17"/>
                <w:szCs w:val="17"/>
                <w:color w:val="auto"/>
              </w:rPr>
            </w:pPr>
          </w:p>
        </w:tc>
      </w:tr>
    </w:tbl>
    <w:p>
      <w:pPr>
        <w:spacing w:after="0" w:line="107"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as applicable. The Board has determined that all members of the Audit Committee are financially literate and that each of Janet K. Cooper and Gary L. Ellis meets the definition of “audit committee financial expert.”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97"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Each committee has a charter that is posted on our website at www.thetorocompany.com (select the “Investor Information” link and then the “Corporate Governance” link). The charter of each committee describes the principal functions of the committee.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 Key functions of each committee are summarized in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Committee</w:t>
            </w:r>
          </w:p>
        </w:tc>
        <w:tc>
          <w:tcPr>
            <w:tcW w:w="440" w:type="dxa"/>
            <w:vAlign w:val="bottom"/>
            <w:shd w:val="clear" w:color="auto" w:fill="C00000"/>
          </w:tcPr>
          <w:p>
            <w:pPr>
              <w:spacing w:after="0"/>
              <w:rPr>
                <w:sz w:val="14"/>
                <w:szCs w:val="14"/>
                <w:color w:val="auto"/>
              </w:rPr>
            </w:pPr>
          </w:p>
        </w:tc>
        <w:tc>
          <w:tcPr>
            <w:tcW w:w="9600" w:type="dxa"/>
            <w:vAlign w:val="bottom"/>
            <w:gridSpan w:val="3"/>
            <w:shd w:val="clear" w:color="auto" w:fill="C00000"/>
          </w:tcPr>
          <w:p>
            <w:pPr>
              <w:ind w:left="3860"/>
              <w:spacing w:after="0"/>
              <w:rPr>
                <w:sz w:val="20"/>
                <w:szCs w:val="20"/>
                <w:color w:val="auto"/>
              </w:rPr>
            </w:pPr>
            <w:r>
              <w:rPr>
                <w:rFonts w:ascii="Arial" w:cs="Arial" w:eastAsia="Arial" w:hAnsi="Arial"/>
                <w:sz w:val="14"/>
                <w:szCs w:val="14"/>
                <w:b w:val="1"/>
                <w:bCs w:val="1"/>
                <w:color w:val="FFFFFF"/>
              </w:rPr>
              <w:t>Key Committee Functions</w:t>
            </w:r>
          </w:p>
        </w:tc>
      </w:tr>
      <w:tr>
        <w:trPr>
          <w:trHeight w:val="191"/>
        </w:trPr>
        <w:tc>
          <w:tcPr>
            <w:tcW w:w="1380" w:type="dxa"/>
            <w:vAlign w:val="bottom"/>
          </w:tcPr>
          <w:p>
            <w:pPr>
              <w:spacing w:after="0"/>
              <w:rPr>
                <w:sz w:val="20"/>
                <w:szCs w:val="20"/>
                <w:color w:val="auto"/>
              </w:rPr>
            </w:pPr>
            <w:r>
              <w:rPr>
                <w:rFonts w:ascii="Arial" w:cs="Arial" w:eastAsia="Arial" w:hAnsi="Arial"/>
                <w:sz w:val="16"/>
                <w:szCs w:val="16"/>
                <w:color w:val="auto"/>
              </w:rPr>
              <w:t>Audit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4780" w:type="dxa"/>
            <w:vAlign w:val="bottom"/>
          </w:tcPr>
          <w:p>
            <w:pPr>
              <w:ind w:left="60"/>
              <w:spacing w:after="0"/>
              <w:rPr>
                <w:sz w:val="20"/>
                <w:szCs w:val="20"/>
                <w:color w:val="auto"/>
              </w:rPr>
            </w:pPr>
            <w:r>
              <w:rPr>
                <w:rFonts w:ascii="Arial" w:cs="Arial" w:eastAsia="Arial" w:hAnsi="Arial"/>
                <w:sz w:val="16"/>
                <w:szCs w:val="16"/>
                <w:color w:val="auto"/>
              </w:rPr>
              <w:t>Oversees the accounting and financial reporting processes,</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Reviews internal audit’s annual audit plans, performance, audit</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audits of consolidated financial statements and internal controls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recommendations and applicable responses from</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over financial reporting</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Management</w:t>
            </w:r>
          </w:p>
        </w:tc>
      </w:tr>
      <w:tr>
        <w:trPr>
          <w:trHeight w:val="189"/>
        </w:trPr>
        <w:tc>
          <w:tcPr>
            <w:tcW w:w="1380" w:type="dxa"/>
            <w:vAlign w:val="bottom"/>
          </w:tcPr>
          <w:p>
            <w:pPr>
              <w:spacing w:after="0"/>
              <w:rPr>
                <w:sz w:val="16"/>
                <w:szCs w:val="16"/>
                <w:color w:val="auto"/>
              </w:rPr>
            </w:pPr>
          </w:p>
        </w:tc>
        <w:tc>
          <w:tcPr>
            <w:tcW w:w="5220" w:type="dxa"/>
            <w:vAlign w:val="bottom"/>
            <w:gridSpan w:val="2"/>
          </w:tcPr>
          <w:p>
            <w:pPr>
              <w:ind w:left="340"/>
              <w:spacing w:after="0"/>
              <w:rPr>
                <w:sz w:val="20"/>
                <w:szCs w:val="20"/>
                <w:color w:val="auto"/>
              </w:rPr>
            </w:pPr>
            <w:r>
              <w:rPr>
                <w:rFonts w:ascii="Arial" w:cs="Arial" w:eastAsia="Arial" w:hAnsi="Arial"/>
                <w:sz w:val="16"/>
                <w:szCs w:val="16"/>
                <w:color w:val="auto"/>
              </w:rPr>
              <w:t>• Selects, compensates and evaluates independent external</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Reviews Code of Conduct and Code of Ethics for CEO and</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auditor</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Senior Financial Personnel, and policies and procedures for</w:t>
            </w:r>
          </w:p>
        </w:tc>
      </w:tr>
      <w:tr>
        <w:trPr>
          <w:trHeight w:val="189"/>
        </w:trPr>
        <w:tc>
          <w:tcPr>
            <w:tcW w:w="138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4780" w:type="dxa"/>
            <w:vAlign w:val="bottom"/>
          </w:tcPr>
          <w:p>
            <w:pPr>
              <w:ind w:left="60"/>
              <w:spacing w:after="0"/>
              <w:rPr>
                <w:sz w:val="20"/>
                <w:szCs w:val="20"/>
                <w:color w:val="auto"/>
              </w:rPr>
            </w:pPr>
            <w:r>
              <w:rPr>
                <w:rFonts w:ascii="Arial" w:cs="Arial" w:eastAsia="Arial" w:hAnsi="Arial"/>
                <w:sz w:val="16"/>
                <w:szCs w:val="16"/>
                <w:color w:val="auto"/>
              </w:rPr>
              <w:t>Reviews with Management and external auditor Annual Reports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the receipt, retention and treatment of complaints from</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on Form 10-K, Quarterly Reports on Form 10-Q and earnings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employees on accounting, internal accounting controls or</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releases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auditing matters</w:t>
            </w:r>
          </w:p>
        </w:tc>
      </w:tr>
      <w:tr>
        <w:trPr>
          <w:trHeight w:val="189"/>
        </w:trPr>
        <w:tc>
          <w:tcPr>
            <w:tcW w:w="138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4780" w:type="dxa"/>
            <w:vAlign w:val="bottom"/>
          </w:tcPr>
          <w:p>
            <w:pPr>
              <w:ind w:left="60"/>
              <w:spacing w:after="0"/>
              <w:rPr>
                <w:sz w:val="20"/>
                <w:szCs w:val="20"/>
                <w:color w:val="auto"/>
              </w:rPr>
            </w:pPr>
            <w:r>
              <w:rPr>
                <w:rFonts w:ascii="Arial" w:cs="Arial" w:eastAsia="Arial" w:hAnsi="Arial"/>
                <w:sz w:val="16"/>
                <w:szCs w:val="16"/>
                <w:color w:val="auto"/>
              </w:rPr>
              <w:t>Reviews general policies and procedures with respect to</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Provides oversight for Enterprise Risk Management, or ERM,</w:t>
            </w:r>
          </w:p>
        </w:tc>
      </w:tr>
      <w:tr>
        <w:trPr>
          <w:trHeight w:val="189"/>
        </w:trPr>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accounting and financial matters, internal controls and</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process</w:t>
            </w:r>
          </w:p>
        </w:tc>
      </w:tr>
      <w:tr>
        <w:trPr>
          <w:trHeight w:val="198"/>
        </w:trPr>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disclosure controls and procedures</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Reviews Information Services strategy and security activities</w:t>
            </w:r>
          </w:p>
        </w:tc>
      </w:tr>
      <w:tr>
        <w:trPr>
          <w:trHeight w:val="194"/>
        </w:trPr>
        <w:tc>
          <w:tcPr>
            <w:tcW w:w="1380" w:type="dxa"/>
            <w:vAlign w:val="bottom"/>
            <w:shd w:val="clear" w:color="auto" w:fill="D9D9D9"/>
          </w:tcPr>
          <w:p>
            <w:pPr>
              <w:spacing w:after="0"/>
              <w:rPr>
                <w:sz w:val="20"/>
                <w:szCs w:val="20"/>
                <w:color w:val="auto"/>
              </w:rPr>
            </w:pPr>
            <w:r>
              <w:rPr>
                <w:rFonts w:ascii="Arial" w:cs="Arial" w:eastAsia="Arial" w:hAnsi="Arial"/>
                <w:sz w:val="16"/>
                <w:szCs w:val="16"/>
                <w:color w:val="auto"/>
              </w:rPr>
              <w:t>Compensation</w:t>
            </w:r>
          </w:p>
        </w:tc>
        <w:tc>
          <w:tcPr>
            <w:tcW w:w="522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 Approves the compensation levels, salaries, incentive</w:t>
            </w:r>
          </w:p>
        </w:tc>
        <w:tc>
          <w:tcPr>
            <w:tcW w:w="4820" w:type="dxa"/>
            <w:vAlign w:val="bottom"/>
            <w:gridSpan w:val="2"/>
            <w:shd w:val="clear" w:color="auto" w:fill="D9D9D9"/>
          </w:tcPr>
          <w:p>
            <w:pPr>
              <w:ind w:left="140"/>
              <w:spacing w:after="0"/>
              <w:rPr>
                <w:sz w:val="20"/>
                <w:szCs w:val="20"/>
                <w:color w:val="auto"/>
              </w:rPr>
            </w:pPr>
            <w:r>
              <w:rPr>
                <w:rFonts w:ascii="Arial" w:cs="Arial" w:eastAsia="Arial" w:hAnsi="Arial"/>
                <w:sz w:val="16"/>
                <w:szCs w:val="16"/>
                <w:color w:val="auto"/>
              </w:rPr>
              <w:t>• Approves performance goals for performance based awards</w:t>
            </w:r>
          </w:p>
        </w:tc>
      </w:tr>
      <w:tr>
        <w:trPr>
          <w:trHeight w:val="189"/>
        </w:trPr>
        <w:tc>
          <w:tcPr>
            <w:tcW w:w="1380" w:type="dxa"/>
            <w:vAlign w:val="bottom"/>
            <w:shd w:val="clear" w:color="auto" w:fill="D9D9D9"/>
          </w:tcPr>
          <w:p>
            <w:pPr>
              <w:spacing w:after="0"/>
              <w:rPr>
                <w:sz w:val="20"/>
                <w:szCs w:val="20"/>
                <w:color w:val="auto"/>
              </w:rPr>
            </w:pPr>
            <w:r>
              <w:rPr>
                <w:rFonts w:ascii="Arial" w:cs="Arial" w:eastAsia="Arial" w:hAnsi="Arial"/>
                <w:sz w:val="16"/>
                <w:szCs w:val="16"/>
                <w:color w:val="auto"/>
              </w:rPr>
              <w:t>&amp; Human</w:t>
            </w:r>
          </w:p>
        </w:tc>
        <w:tc>
          <w:tcPr>
            <w:tcW w:w="44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opportunities and other compensation arrangements for the</w:t>
            </w:r>
          </w:p>
        </w:tc>
        <w:tc>
          <w:tcPr>
            <w:tcW w:w="4820" w:type="dxa"/>
            <w:vAlign w:val="bottom"/>
            <w:gridSpan w:val="2"/>
            <w:shd w:val="clear" w:color="auto" w:fill="D9D9D9"/>
          </w:tcPr>
          <w:p>
            <w:pPr>
              <w:ind w:left="140"/>
              <w:spacing w:after="0"/>
              <w:rPr>
                <w:sz w:val="20"/>
                <w:szCs w:val="20"/>
                <w:color w:val="auto"/>
              </w:rPr>
            </w:pPr>
            <w:r>
              <w:rPr>
                <w:rFonts w:ascii="Arial" w:cs="Arial" w:eastAsia="Arial" w:hAnsi="Arial"/>
                <w:sz w:val="16"/>
                <w:szCs w:val="16"/>
                <w:color w:val="auto"/>
              </w:rPr>
              <w:t>• Reviews with Management the Compensation Discussion and</w:t>
            </w:r>
          </w:p>
        </w:tc>
      </w:tr>
      <w:tr>
        <w:trPr>
          <w:trHeight w:val="189"/>
        </w:trPr>
        <w:tc>
          <w:tcPr>
            <w:tcW w:w="1380" w:type="dxa"/>
            <w:vAlign w:val="bottom"/>
            <w:shd w:val="clear" w:color="auto" w:fill="D9D9D9"/>
          </w:tcPr>
          <w:p>
            <w:pPr>
              <w:spacing w:after="0"/>
              <w:rPr>
                <w:sz w:val="20"/>
                <w:szCs w:val="20"/>
                <w:color w:val="auto"/>
              </w:rPr>
            </w:pPr>
            <w:r>
              <w:rPr>
                <w:rFonts w:ascii="Arial" w:cs="Arial" w:eastAsia="Arial" w:hAnsi="Arial"/>
                <w:sz w:val="16"/>
                <w:szCs w:val="16"/>
                <w:color w:val="auto"/>
              </w:rPr>
              <w:t>Resources</w:t>
            </w:r>
          </w:p>
        </w:tc>
        <w:tc>
          <w:tcPr>
            <w:tcW w:w="44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Chairman, CEO and executive officers</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Analysis, the Committee report on executive compensation,</w:t>
            </w:r>
          </w:p>
        </w:tc>
      </w:tr>
      <w:tr>
        <w:trPr>
          <w:trHeight w:val="189"/>
        </w:trPr>
        <w:tc>
          <w:tcPr>
            <w:tcW w:w="1380" w:type="dxa"/>
            <w:vAlign w:val="bottom"/>
            <w:shd w:val="clear" w:color="auto" w:fill="D9D9D9"/>
          </w:tcPr>
          <w:p>
            <w:pPr>
              <w:spacing w:after="0"/>
              <w:rPr>
                <w:sz w:val="16"/>
                <w:szCs w:val="16"/>
                <w:color w:val="auto"/>
              </w:rPr>
            </w:pPr>
          </w:p>
        </w:tc>
        <w:tc>
          <w:tcPr>
            <w:tcW w:w="440" w:type="dxa"/>
            <w:vAlign w:val="bottom"/>
            <w:shd w:val="clear" w:color="auto" w:fill="D9D9D9"/>
          </w:tcPr>
          <w:p>
            <w:pPr>
              <w:ind w:left="340"/>
              <w:spacing w:after="0"/>
              <w:rPr>
                <w:sz w:val="20"/>
                <w:szCs w:val="20"/>
                <w:color w:val="auto"/>
              </w:rPr>
            </w:pPr>
            <w:r>
              <w:rPr>
                <w:rFonts w:ascii="Arial" w:cs="Arial" w:eastAsia="Arial" w:hAnsi="Arial"/>
                <w:sz w:val="16"/>
                <w:szCs w:val="16"/>
                <w:color w:val="auto"/>
              </w:rPr>
              <w:t>•</w:t>
            </w: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Reviews compensation policies and practices as they affect all</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and any compensation-related proposals, including say-on-pay</w:t>
            </w:r>
          </w:p>
        </w:tc>
      </w:tr>
      <w:tr>
        <w:trPr>
          <w:trHeight w:val="189"/>
        </w:trPr>
        <w:tc>
          <w:tcPr>
            <w:tcW w:w="13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employees and relate to risk management practices and risk-</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and frequency of say-on-pay proposals</w:t>
            </w:r>
          </w:p>
        </w:tc>
      </w:tr>
      <w:tr>
        <w:trPr>
          <w:trHeight w:val="189"/>
        </w:trPr>
        <w:tc>
          <w:tcPr>
            <w:tcW w:w="13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taking incentives</w:t>
            </w:r>
          </w:p>
        </w:tc>
        <w:tc>
          <w:tcPr>
            <w:tcW w:w="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Reviews non-employee director compensation components</w:t>
            </w:r>
          </w:p>
        </w:tc>
      </w:tr>
      <w:tr>
        <w:trPr>
          <w:trHeight w:val="201"/>
        </w:trPr>
        <w:tc>
          <w:tcPr>
            <w:tcW w:w="1380" w:type="dxa"/>
            <w:vAlign w:val="bottom"/>
            <w:shd w:val="clear" w:color="auto" w:fill="D9D9D9"/>
          </w:tcPr>
          <w:p>
            <w:pPr>
              <w:spacing w:after="0"/>
              <w:rPr>
                <w:sz w:val="17"/>
                <w:szCs w:val="17"/>
                <w:color w:val="auto"/>
              </w:rPr>
            </w:pPr>
          </w:p>
        </w:tc>
        <w:tc>
          <w:tcPr>
            <w:tcW w:w="5220" w:type="dxa"/>
            <w:vAlign w:val="bottom"/>
            <w:gridSpan w:val="2"/>
            <w:shd w:val="clear" w:color="auto" w:fill="D9D9D9"/>
          </w:tcPr>
          <w:p>
            <w:pPr>
              <w:ind w:left="340"/>
              <w:spacing w:after="0"/>
              <w:rPr>
                <w:sz w:val="20"/>
                <w:szCs w:val="20"/>
                <w:color w:val="auto"/>
              </w:rPr>
            </w:pPr>
            <w:r>
              <w:rPr>
                <w:rFonts w:ascii="Arial" w:cs="Arial" w:eastAsia="Arial" w:hAnsi="Arial"/>
                <w:sz w:val="16"/>
                <w:szCs w:val="16"/>
                <w:color w:val="auto"/>
              </w:rPr>
              <w:t>• Evaluates the CEO’s performance</w:t>
            </w:r>
          </w:p>
        </w:tc>
        <w:tc>
          <w:tcPr>
            <w:tcW w:w="240" w:type="dxa"/>
            <w:vAlign w:val="bottom"/>
            <w:shd w:val="clear" w:color="auto" w:fill="D9D9D9"/>
          </w:tcPr>
          <w:p>
            <w:pPr>
              <w:spacing w:after="0"/>
              <w:rPr>
                <w:sz w:val="17"/>
                <w:szCs w:val="17"/>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and amounts</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Committee</w:t>
            </w:r>
          </w:p>
        </w:tc>
        <w:tc>
          <w:tcPr>
            <w:tcW w:w="460" w:type="dxa"/>
            <w:vAlign w:val="bottom"/>
            <w:shd w:val="clear" w:color="auto" w:fill="C00000"/>
          </w:tcPr>
          <w:p>
            <w:pPr>
              <w:spacing w:after="0"/>
              <w:rPr>
                <w:sz w:val="14"/>
                <w:szCs w:val="14"/>
                <w:color w:val="auto"/>
              </w:rPr>
            </w:pPr>
          </w:p>
        </w:tc>
        <w:tc>
          <w:tcPr>
            <w:tcW w:w="9600" w:type="dxa"/>
            <w:vAlign w:val="bottom"/>
            <w:gridSpan w:val="3"/>
            <w:shd w:val="clear" w:color="auto" w:fill="C00000"/>
          </w:tcPr>
          <w:p>
            <w:pPr>
              <w:ind w:left="3860"/>
              <w:spacing w:after="0"/>
              <w:rPr>
                <w:sz w:val="20"/>
                <w:szCs w:val="20"/>
                <w:color w:val="auto"/>
              </w:rPr>
            </w:pPr>
            <w:r>
              <w:rPr>
                <w:rFonts w:ascii="Arial" w:cs="Arial" w:eastAsia="Arial" w:hAnsi="Arial"/>
                <w:sz w:val="14"/>
                <w:szCs w:val="14"/>
                <w:b w:val="1"/>
                <w:bCs w:val="1"/>
                <w:color w:val="FFFFFF"/>
              </w:rPr>
              <w:t>Key Committee Functions</w:t>
            </w:r>
          </w:p>
        </w:tc>
      </w:tr>
      <w:tr>
        <w:trPr>
          <w:trHeight w:val="191"/>
        </w:trPr>
        <w:tc>
          <w:tcPr>
            <w:tcW w:w="1360" w:type="dxa"/>
            <w:vAlign w:val="bottom"/>
          </w:tcPr>
          <w:p>
            <w:pPr>
              <w:spacing w:after="0"/>
              <w:rPr>
                <w:sz w:val="20"/>
                <w:szCs w:val="20"/>
                <w:color w:val="auto"/>
              </w:rPr>
            </w:pPr>
            <w:r>
              <w:rPr>
                <w:rFonts w:ascii="Arial" w:cs="Arial" w:eastAsia="Arial" w:hAnsi="Arial"/>
                <w:sz w:val="16"/>
                <w:szCs w:val="16"/>
                <w:color w:val="auto"/>
              </w:rPr>
              <w:t>Nominating &amp;</w:t>
            </w:r>
          </w:p>
        </w:tc>
        <w:tc>
          <w:tcPr>
            <w:tcW w:w="5240" w:type="dxa"/>
            <w:vAlign w:val="bottom"/>
            <w:gridSpan w:val="2"/>
          </w:tcPr>
          <w:p>
            <w:pPr>
              <w:ind w:left="360"/>
              <w:spacing w:after="0"/>
              <w:rPr>
                <w:sz w:val="20"/>
                <w:szCs w:val="20"/>
                <w:color w:val="auto"/>
              </w:rPr>
            </w:pPr>
            <w:r>
              <w:rPr>
                <w:rFonts w:ascii="Arial" w:cs="Arial" w:eastAsia="Arial" w:hAnsi="Arial"/>
                <w:sz w:val="16"/>
                <w:szCs w:val="16"/>
                <w:color w:val="auto"/>
              </w:rPr>
              <w:t>• Reviews and recommends to the Board the size and</w:t>
            </w:r>
          </w:p>
        </w:tc>
        <w:tc>
          <w:tcPr>
            <w:tcW w:w="4820" w:type="dxa"/>
            <w:vAlign w:val="bottom"/>
            <w:gridSpan w:val="2"/>
          </w:tcPr>
          <w:p>
            <w:pPr>
              <w:ind w:left="140"/>
              <w:spacing w:after="0"/>
              <w:rPr>
                <w:sz w:val="20"/>
                <w:szCs w:val="20"/>
                <w:color w:val="auto"/>
              </w:rPr>
            </w:pPr>
            <w:r>
              <w:rPr>
                <w:rFonts w:ascii="Arial" w:cs="Arial" w:eastAsia="Arial" w:hAnsi="Arial"/>
                <w:sz w:val="16"/>
                <w:szCs w:val="16"/>
                <w:color w:val="auto"/>
              </w:rPr>
              <w:t>• Reviews and recommends to the Board any proposed</w:t>
            </w:r>
          </w:p>
        </w:tc>
      </w:tr>
      <w:tr>
        <w:trPr>
          <w:trHeight w:val="189"/>
        </w:trPr>
        <w:tc>
          <w:tcPr>
            <w:tcW w:w="1360" w:type="dxa"/>
            <w:vAlign w:val="bottom"/>
          </w:tcPr>
          <w:p>
            <w:pPr>
              <w:spacing w:after="0"/>
              <w:rPr>
                <w:sz w:val="20"/>
                <w:szCs w:val="20"/>
                <w:color w:val="auto"/>
              </w:rPr>
            </w:pPr>
            <w:r>
              <w:rPr>
                <w:rFonts w:ascii="Arial" w:cs="Arial" w:eastAsia="Arial" w:hAnsi="Arial"/>
                <w:sz w:val="16"/>
                <w:szCs w:val="16"/>
                <w:color w:val="auto"/>
              </w:rPr>
              <w:t>Governance</w:t>
            </w:r>
          </w:p>
        </w:tc>
        <w:tc>
          <w:tcPr>
            <w:tcW w:w="46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composition of the Board and its committees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amendments or changes to Restated Certificate of</w:t>
            </w:r>
          </w:p>
        </w:tc>
      </w:tr>
      <w:tr>
        <w:trPr>
          <w:trHeight w:val="189"/>
        </w:trPr>
        <w:tc>
          <w:tcPr>
            <w:tcW w:w="1360" w:type="dxa"/>
            <w:vAlign w:val="bottom"/>
          </w:tcPr>
          <w:p>
            <w:pPr>
              <w:spacing w:after="0"/>
              <w:rPr>
                <w:sz w:val="16"/>
                <w:szCs w:val="16"/>
                <w:color w:val="auto"/>
              </w:rPr>
            </w:pP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4780" w:type="dxa"/>
            <w:vAlign w:val="bottom"/>
          </w:tcPr>
          <w:p>
            <w:pPr>
              <w:ind w:left="60"/>
              <w:spacing w:after="0"/>
              <w:rPr>
                <w:sz w:val="20"/>
                <w:szCs w:val="20"/>
                <w:color w:val="auto"/>
              </w:rPr>
            </w:pPr>
            <w:r>
              <w:rPr>
                <w:rFonts w:ascii="Arial" w:cs="Arial" w:eastAsia="Arial" w:hAnsi="Arial"/>
                <w:sz w:val="16"/>
                <w:szCs w:val="16"/>
                <w:color w:val="auto"/>
              </w:rPr>
              <w:t>Identifies individuals qualified to become Board members</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Incorporation or Amended and Restated Bylaws</w:t>
            </w:r>
          </w:p>
        </w:tc>
      </w:tr>
      <w:tr>
        <w:trPr>
          <w:trHeight w:val="189"/>
        </w:trPr>
        <w:tc>
          <w:tcPr>
            <w:tcW w:w="1360" w:type="dxa"/>
            <w:vAlign w:val="bottom"/>
          </w:tcPr>
          <w:p>
            <w:pPr>
              <w:spacing w:after="0"/>
              <w:rPr>
                <w:sz w:val="16"/>
                <w:szCs w:val="16"/>
                <w:color w:val="auto"/>
              </w:rPr>
            </w:pPr>
          </w:p>
        </w:tc>
        <w:tc>
          <w:tcPr>
            <w:tcW w:w="5240" w:type="dxa"/>
            <w:vAlign w:val="bottom"/>
            <w:gridSpan w:val="2"/>
          </w:tcPr>
          <w:p>
            <w:pPr>
              <w:ind w:left="360"/>
              <w:spacing w:after="0"/>
              <w:rPr>
                <w:sz w:val="20"/>
                <w:szCs w:val="20"/>
                <w:color w:val="auto"/>
              </w:rPr>
            </w:pPr>
            <w:r>
              <w:rPr>
                <w:rFonts w:ascii="Arial" w:cs="Arial" w:eastAsia="Arial" w:hAnsi="Arial"/>
                <w:sz w:val="16"/>
                <w:szCs w:val="16"/>
                <w:color w:val="auto"/>
              </w:rPr>
              <w:t>• Recommends to the Board director nominees for election at the</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Reviews Corporate Governance Guidelines and recommends</w:t>
            </w:r>
          </w:p>
        </w:tc>
      </w:tr>
      <w:tr>
        <w:trPr>
          <w:trHeight w:val="189"/>
        </w:trPr>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780" w:type="dxa"/>
            <w:vAlign w:val="bottom"/>
          </w:tcPr>
          <w:p>
            <w:pPr>
              <w:ind w:left="60"/>
              <w:spacing w:after="0"/>
              <w:rPr>
                <w:sz w:val="20"/>
                <w:szCs w:val="20"/>
                <w:color w:val="auto"/>
              </w:rPr>
            </w:pPr>
            <w:r>
              <w:rPr>
                <w:rFonts w:ascii="Arial" w:cs="Arial" w:eastAsia="Arial" w:hAnsi="Arial"/>
                <w:sz w:val="16"/>
                <w:szCs w:val="16"/>
                <w:color w:val="auto"/>
              </w:rPr>
              <w:t>annual meeting</w:t>
            </w:r>
          </w:p>
        </w:tc>
        <w:tc>
          <w:tcPr>
            <w:tcW w:w="240" w:type="dxa"/>
            <w:vAlign w:val="bottom"/>
          </w:tcPr>
          <w:p>
            <w:pPr>
              <w:spacing w:after="0"/>
              <w:rPr>
                <w:sz w:val="16"/>
                <w:szCs w:val="16"/>
                <w:color w:val="auto"/>
              </w:rPr>
            </w:pPr>
          </w:p>
        </w:tc>
        <w:tc>
          <w:tcPr>
            <w:tcW w:w="4580" w:type="dxa"/>
            <w:vAlign w:val="bottom"/>
          </w:tcPr>
          <w:p>
            <w:pPr>
              <w:ind w:left="60"/>
              <w:spacing w:after="0"/>
              <w:rPr>
                <w:sz w:val="20"/>
                <w:szCs w:val="20"/>
                <w:color w:val="auto"/>
              </w:rPr>
            </w:pPr>
            <w:r>
              <w:rPr>
                <w:rFonts w:ascii="Arial" w:cs="Arial" w:eastAsia="Arial" w:hAnsi="Arial"/>
                <w:sz w:val="16"/>
                <w:szCs w:val="16"/>
                <w:color w:val="auto"/>
              </w:rPr>
              <w:t>to the Board any changes</w:t>
            </w:r>
          </w:p>
        </w:tc>
      </w:tr>
      <w:tr>
        <w:trPr>
          <w:trHeight w:val="198"/>
        </w:trPr>
        <w:tc>
          <w:tcPr>
            <w:tcW w:w="1360" w:type="dxa"/>
            <w:vAlign w:val="bottom"/>
          </w:tcPr>
          <w:p>
            <w:pPr>
              <w:spacing w:after="0"/>
              <w:rPr>
                <w:sz w:val="17"/>
                <w:szCs w:val="17"/>
                <w:color w:val="auto"/>
              </w:rPr>
            </w:pP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4780" w:type="dxa"/>
            <w:vAlign w:val="bottom"/>
          </w:tcPr>
          <w:p>
            <w:pPr>
              <w:ind w:left="60"/>
              <w:spacing w:after="0"/>
              <w:rPr>
                <w:sz w:val="20"/>
                <w:szCs w:val="20"/>
                <w:color w:val="auto"/>
              </w:rPr>
            </w:pPr>
            <w:r>
              <w:rPr>
                <w:rFonts w:ascii="Arial" w:cs="Arial" w:eastAsia="Arial" w:hAnsi="Arial"/>
                <w:sz w:val="16"/>
                <w:szCs w:val="16"/>
                <w:color w:val="auto"/>
              </w:rPr>
              <w:t>Oversees the annual evaluation of the Board</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4580" w:type="dxa"/>
            <w:vAlign w:val="bottom"/>
          </w:tcPr>
          <w:p>
            <w:pPr>
              <w:ind w:left="60"/>
              <w:spacing w:after="0"/>
              <w:rPr>
                <w:sz w:val="20"/>
                <w:szCs w:val="20"/>
                <w:color w:val="auto"/>
              </w:rPr>
            </w:pPr>
            <w:r>
              <w:rPr>
                <w:rFonts w:ascii="Arial" w:cs="Arial" w:eastAsia="Arial" w:hAnsi="Arial"/>
                <w:sz w:val="16"/>
                <w:szCs w:val="16"/>
                <w:color w:val="auto"/>
              </w:rPr>
              <w:t>Monitors corporate governance trends</w:t>
            </w:r>
          </w:p>
        </w:tc>
      </w:tr>
      <w:tr>
        <w:trPr>
          <w:trHeight w:val="194"/>
        </w:trPr>
        <w:tc>
          <w:tcPr>
            <w:tcW w:w="1360" w:type="dxa"/>
            <w:vAlign w:val="bottom"/>
            <w:shd w:val="clear" w:color="auto" w:fill="D9D9D9"/>
          </w:tcPr>
          <w:p>
            <w:pPr>
              <w:spacing w:after="0"/>
              <w:rPr>
                <w:sz w:val="20"/>
                <w:szCs w:val="20"/>
                <w:color w:val="auto"/>
              </w:rPr>
            </w:pPr>
            <w:r>
              <w:rPr>
                <w:rFonts w:ascii="Arial" w:cs="Arial" w:eastAsia="Arial" w:hAnsi="Arial"/>
                <w:sz w:val="16"/>
                <w:szCs w:val="16"/>
                <w:color w:val="auto"/>
              </w:rPr>
              <w:t>Finance</w:t>
            </w:r>
          </w:p>
        </w:tc>
        <w:tc>
          <w:tcPr>
            <w:tcW w:w="460" w:type="dxa"/>
            <w:vAlign w:val="bottom"/>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Reviews, and recommends to the Board as required, capital</w:t>
            </w:r>
          </w:p>
        </w:tc>
        <w:tc>
          <w:tcPr>
            <w:tcW w:w="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Reviews use of derivative, hedging and similar instruments to</w:t>
            </w:r>
          </w:p>
        </w:tc>
      </w:tr>
      <w:tr>
        <w:trPr>
          <w:trHeight w:val="189"/>
        </w:trPr>
        <w:tc>
          <w:tcPr>
            <w:tcW w:w="13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structure and related financial policies and long-range</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manage financial, currency and interest rate exposure</w:t>
            </w:r>
          </w:p>
        </w:tc>
      </w:tr>
      <w:tr>
        <w:trPr>
          <w:trHeight w:val="189"/>
        </w:trPr>
        <w:tc>
          <w:tcPr>
            <w:tcW w:w="13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objectives, capital expenditures, tax strategies and restructuring</w:t>
            </w:r>
          </w:p>
        </w:tc>
        <w:tc>
          <w:tcPr>
            <w:tcW w:w="240" w:type="dxa"/>
            <w:vAlign w:val="bottom"/>
            <w:shd w:val="clear" w:color="auto" w:fill="D9D9D9"/>
          </w:tcPr>
          <w:p>
            <w:pPr>
              <w:ind w:left="140"/>
              <w:spacing w:after="0"/>
              <w:rPr>
                <w:sz w:val="20"/>
                <w:szCs w:val="20"/>
                <w:color w:val="auto"/>
              </w:rPr>
            </w:pPr>
            <w:r>
              <w:rPr>
                <w:rFonts w:ascii="Arial" w:cs="Arial" w:eastAsia="Arial" w:hAnsi="Arial"/>
                <w:sz w:val="16"/>
                <w:szCs w:val="16"/>
                <w:color w:val="auto"/>
              </w:rPr>
              <w:t>•</w:t>
            </w: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Evaluates, and recommends to the Board as required,</w:t>
            </w:r>
          </w:p>
        </w:tc>
      </w:tr>
      <w:tr>
        <w:trPr>
          <w:trHeight w:val="189"/>
        </w:trPr>
        <w:tc>
          <w:tcPr>
            <w:tcW w:w="13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projects, financing arrangements and cash or any special</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financing implications of certain proposed merger, acquisition,</w:t>
            </w:r>
          </w:p>
        </w:tc>
      </w:tr>
      <w:tr>
        <w:trPr>
          <w:trHeight w:val="189"/>
        </w:trPr>
        <w:tc>
          <w:tcPr>
            <w:tcW w:w="1360" w:type="dxa"/>
            <w:vAlign w:val="bottom"/>
            <w:shd w:val="clear" w:color="auto" w:fill="D9D9D9"/>
          </w:tcPr>
          <w:p>
            <w:pPr>
              <w:spacing w:after="0"/>
              <w:rPr>
                <w:sz w:val="16"/>
                <w:szCs w:val="16"/>
                <w:color w:val="auto"/>
              </w:rPr>
            </w:pPr>
          </w:p>
        </w:tc>
        <w:tc>
          <w:tcPr>
            <w:tcW w:w="460" w:type="dxa"/>
            <w:vAlign w:val="bottom"/>
            <w:shd w:val="clear" w:color="auto" w:fill="D9D9D9"/>
          </w:tcPr>
          <w:p>
            <w:pPr>
              <w:spacing w:after="0"/>
              <w:rPr>
                <w:sz w:val="16"/>
                <w:szCs w:val="16"/>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dividends</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divestiture, joint venture and other business combination</w:t>
            </w:r>
          </w:p>
        </w:tc>
      </w:tr>
      <w:tr>
        <w:trPr>
          <w:trHeight w:val="189"/>
        </w:trPr>
        <w:tc>
          <w:tcPr>
            <w:tcW w:w="1360" w:type="dxa"/>
            <w:vAlign w:val="bottom"/>
            <w:shd w:val="clear" w:color="auto" w:fill="D9D9D9"/>
          </w:tcPr>
          <w:p>
            <w:pPr>
              <w:spacing w:after="0"/>
              <w:rPr>
                <w:sz w:val="16"/>
                <w:szCs w:val="16"/>
                <w:color w:val="auto"/>
              </w:rPr>
            </w:pPr>
          </w:p>
        </w:tc>
        <w:tc>
          <w:tcPr>
            <w:tcW w:w="460" w:type="dxa"/>
            <w:vAlign w:val="bottom"/>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Reviews and recommends to the Board the authorization for the</w:t>
            </w:r>
          </w:p>
        </w:tc>
        <w:tc>
          <w:tcPr>
            <w:tcW w:w="240" w:type="dxa"/>
            <w:vAlign w:val="bottom"/>
            <w:shd w:val="clear" w:color="auto" w:fill="D9D9D9"/>
          </w:tcPr>
          <w:p>
            <w:pPr>
              <w:spacing w:after="0"/>
              <w:rPr>
                <w:sz w:val="16"/>
                <w:szCs w:val="16"/>
                <w:color w:val="auto"/>
              </w:rPr>
            </w:pPr>
          </w:p>
        </w:tc>
        <w:tc>
          <w:tcPr>
            <w:tcW w:w="4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transactions or investments</w:t>
            </w:r>
          </w:p>
        </w:tc>
      </w:tr>
      <w:tr>
        <w:trPr>
          <w:trHeight w:val="201"/>
        </w:trPr>
        <w:tc>
          <w:tcPr>
            <w:tcW w:w="1360" w:type="dxa"/>
            <w:vAlign w:val="bottom"/>
            <w:shd w:val="clear" w:color="auto" w:fill="D9D9D9"/>
          </w:tcPr>
          <w:p>
            <w:pPr>
              <w:spacing w:after="0"/>
              <w:rPr>
                <w:sz w:val="17"/>
                <w:szCs w:val="17"/>
                <w:color w:val="auto"/>
              </w:rPr>
            </w:pPr>
          </w:p>
        </w:tc>
        <w:tc>
          <w:tcPr>
            <w:tcW w:w="460" w:type="dxa"/>
            <w:vAlign w:val="bottom"/>
            <w:shd w:val="clear" w:color="auto" w:fill="D9D9D9"/>
          </w:tcPr>
          <w:p>
            <w:pPr>
              <w:spacing w:after="0"/>
              <w:rPr>
                <w:sz w:val="17"/>
                <w:szCs w:val="17"/>
                <w:color w:val="auto"/>
              </w:rPr>
            </w:pPr>
          </w:p>
        </w:tc>
        <w:tc>
          <w:tcPr>
            <w:tcW w:w="4780" w:type="dxa"/>
            <w:vAlign w:val="bottom"/>
            <w:shd w:val="clear" w:color="auto" w:fill="D9D9D9"/>
          </w:tcPr>
          <w:p>
            <w:pPr>
              <w:ind w:left="60"/>
              <w:spacing w:after="0"/>
              <w:rPr>
                <w:sz w:val="20"/>
                <w:szCs w:val="20"/>
                <w:color w:val="auto"/>
              </w:rPr>
            </w:pPr>
            <w:r>
              <w:rPr>
                <w:rFonts w:ascii="Arial" w:cs="Arial" w:eastAsia="Arial" w:hAnsi="Arial"/>
                <w:sz w:val="16"/>
                <w:szCs w:val="16"/>
                <w:color w:val="auto"/>
              </w:rPr>
              <w:t>issuance or repurchase of equity or long-term debt</w:t>
            </w:r>
          </w:p>
        </w:tc>
        <w:tc>
          <w:tcPr>
            <w:tcW w:w="240" w:type="dxa"/>
            <w:vAlign w:val="bottom"/>
            <w:shd w:val="clear" w:color="auto" w:fill="D9D9D9"/>
          </w:tcPr>
          <w:p>
            <w:pPr>
              <w:spacing w:after="0"/>
              <w:rPr>
                <w:sz w:val="17"/>
                <w:szCs w:val="17"/>
                <w:color w:val="auto"/>
              </w:rPr>
            </w:pPr>
          </w:p>
        </w:tc>
        <w:tc>
          <w:tcPr>
            <w:tcW w:w="4580" w:type="dxa"/>
            <w:vAlign w:val="bottom"/>
            <w:shd w:val="clear" w:color="auto" w:fill="D9D9D9"/>
          </w:tcPr>
          <w:p>
            <w:pPr>
              <w:spacing w:after="0"/>
              <w:rPr>
                <w:sz w:val="17"/>
                <w:szCs w:val="17"/>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Board’s Role in Risk Oversight</w:t>
      </w:r>
    </w:p>
    <w:p>
      <w:pPr>
        <w:spacing w:after="0" w:line="126"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We engage in an ERM process, which is coordinated primarily through our internal audit function, and involves:</w:t>
      </w:r>
    </w:p>
    <w:p>
      <w:pPr>
        <w:spacing w:after="0" w:line="62" w:lineRule="exact"/>
        <w:rPr>
          <w:sz w:val="20"/>
          <w:szCs w:val="20"/>
          <w:color w:val="auto"/>
        </w:rPr>
      </w:pPr>
    </w:p>
    <w:p>
      <w:pPr>
        <w:ind w:left="780" w:hanging="326"/>
        <w:spacing w:after="0" w:line="24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identification by senior leaders of our business functions and divisions of the particular risks relevant to their respective areas or to our Company as a whole;</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assessment of the materiality of those risks, based on expected probability of occurrence and severity of impact;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mitigate, monitor and control such risks; and</w:t>
      </w:r>
    </w:p>
    <w:p>
      <w:pPr>
        <w:spacing w:after="0" w:line="76" w:lineRule="exact"/>
        <w:rPr>
          <w:rFonts w:ascii="Arial" w:cs="Arial" w:eastAsia="Arial" w:hAnsi="Arial"/>
          <w:sz w:val="18"/>
          <w:szCs w:val="18"/>
          <w:color w:val="auto"/>
        </w:rPr>
      </w:pPr>
    </w:p>
    <w:p>
      <w:pPr>
        <w:ind w:left="780" w:right="240" w:hanging="326"/>
        <w:spacing w:after="0" w:line="24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scheduled reports by the respective senior leaders on such items to the relevant committee or the Board, as applicable, throughout the ERM review cycle.</w:t>
      </w:r>
    </w:p>
    <w:p>
      <w:pPr>
        <w:spacing w:after="0" w:line="89"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 proceedings, and management succession plans. In addition, the Board relies on its committees to assist with risk oversight within their respective areas of responsibility and expertise as follows:</w:t>
      </w:r>
    </w:p>
    <w:p>
      <w:pPr>
        <w:spacing w:after="0" w:line="107" w:lineRule="exact"/>
        <w:rPr>
          <w:sz w:val="20"/>
          <w:szCs w:val="20"/>
          <w:color w:val="auto"/>
        </w:rPr>
      </w:pPr>
    </w:p>
    <w:p>
      <w:pPr>
        <w:ind w:left="780" w:right="80" w:hanging="326"/>
        <w:spacing w:after="0" w:line="237"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strategy, performance and experience of our information technology and security function and practices, including those related to cybersecurity; and our general policies and procedures regarding accounting and financial matters and internal controls. The Audit Committee is also responsible for providing oversight of our ERM process by discussing our policies with respect to risk assessment and risk management, including our major financial and business risk exposures and the steps Management has taken to monitor and control such exposures.</w:t>
      </w:r>
    </w:p>
    <w:p>
      <w:pPr>
        <w:spacing w:after="0" w:line="68"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and human resources programs and policies, including executive compensation,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46.</w:t>
      </w:r>
    </w:p>
    <w:p>
      <w:pPr>
        <w:spacing w:after="0" w:line="66" w:lineRule="exact"/>
        <w:rPr>
          <w:rFonts w:ascii="Arial" w:cs="Arial" w:eastAsia="Arial" w:hAnsi="Arial"/>
          <w:sz w:val="18"/>
          <w:szCs w:val="18"/>
          <w:color w:val="auto"/>
        </w:rPr>
      </w:pPr>
    </w:p>
    <w:p>
      <w:pPr>
        <w:ind w:left="780" w:right="4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right="180"/>
        <w:spacing w:after="0"/>
        <w:rPr>
          <w:sz w:val="20"/>
          <w:szCs w:val="20"/>
          <w:color w:val="auto"/>
        </w:rPr>
      </w:pPr>
      <w:r>
        <w:rPr>
          <w:rFonts w:ascii="Arial" w:cs="Arial" w:eastAsia="Arial" w:hAnsi="Arial"/>
          <w:sz w:val="18"/>
          <w:szCs w:val="18"/>
          <w:color w:val="auto"/>
        </w:rPr>
        <w:t>coverage, and the delegated responsibilities of our Management Investment Committee relating to our ERISA-regulated employee benefit plans; and through its evaluation of, among other things, the financial impact of certain proposed business combination transactions.</w:t>
      </w:r>
    </w:p>
    <w:p>
      <w:pPr>
        <w:spacing w:after="0" w:line="68" w:lineRule="exact"/>
        <w:rPr>
          <w:sz w:val="20"/>
          <w:szCs w:val="20"/>
          <w:color w:val="auto"/>
        </w:rPr>
      </w:pPr>
    </w:p>
    <w:p>
      <w:pPr>
        <w:ind w:left="780" w:right="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Board committee structure and monitoring of corporate governance trends.</w:t>
      </w:r>
    </w:p>
    <w:p>
      <w:pPr>
        <w:spacing w:after="0" w:line="95"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key responsibilities of each of these committees can be found under “Board Committees” beginning on page 17.</w:t>
      </w:r>
    </w:p>
    <w:p>
      <w:pPr>
        <w:spacing w:after="0" w:line="8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Executive Compensation Process</w:t>
      </w:r>
    </w:p>
    <w:p>
      <w:pPr>
        <w:spacing w:after="0" w:line="126"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for each of our executive officers which generally includes:</w:t>
      </w:r>
    </w:p>
    <w:p>
      <w:pPr>
        <w:spacing w:after="0" w:line="62"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76" w:lineRule="exact"/>
        <w:rPr>
          <w:rFonts w:ascii="Arial" w:cs="Arial" w:eastAsia="Arial" w:hAnsi="Arial"/>
          <w:sz w:val="18"/>
          <w:szCs w:val="18"/>
          <w:color w:val="auto"/>
        </w:rPr>
      </w:pPr>
    </w:p>
    <w:p>
      <w:pPr>
        <w:ind w:left="1120" w:right="320" w:hanging="324"/>
        <w:spacing w:after="0"/>
        <w:rPr>
          <w:rFonts w:ascii="Arial" w:cs="Arial" w:eastAsia="Arial" w:hAnsi="Arial"/>
          <w:sz w:val="18"/>
          <w:szCs w:val="18"/>
          <w:color w:val="auto"/>
        </w:rPr>
      </w:pPr>
      <w:r>
        <w:rPr>
          <w:rFonts w:ascii="Arial" w:cs="Arial" w:eastAsia="Arial" w:hAnsi="Arial"/>
          <w:sz w:val="18"/>
          <w:szCs w:val="18"/>
          <w:color w:val="auto"/>
        </w:rPr>
        <w:t>– annual cash incentive awards for the current fiscal year, including (i) participation targets expressed as a percentage of base salary, target payout amounts, and maximum cash payout amounts and (ii) performance measures, weightings, goals and adjustment events; and</w:t>
      </w:r>
    </w:p>
    <w:p>
      <w:pPr>
        <w:spacing w:after="0" w:line="67" w:lineRule="exact"/>
        <w:rPr>
          <w:rFonts w:ascii="Arial" w:cs="Arial" w:eastAsia="Arial" w:hAnsi="Arial"/>
          <w:sz w:val="18"/>
          <w:szCs w:val="18"/>
          <w:color w:val="auto"/>
        </w:rPr>
      </w:pPr>
    </w:p>
    <w:p>
      <w:pPr>
        <w:ind w:left="1120" w:right="140" w:hanging="324"/>
        <w:spacing w:after="0"/>
        <w:rPr>
          <w:rFonts w:ascii="Arial" w:cs="Arial" w:eastAsia="Arial" w:hAnsi="Arial"/>
          <w:sz w:val="18"/>
          <w:szCs w:val="18"/>
          <w:color w:val="auto"/>
        </w:rPr>
      </w:pPr>
      <w:r>
        <w:rPr>
          <w:rFonts w:ascii="Arial" w:cs="Arial" w:eastAsia="Arial" w:hAnsi="Arial"/>
          <w:sz w:val="18"/>
          <w:szCs w:val="18"/>
          <w:color w:val="auto"/>
        </w:rPr>
        <w:t>– long-term incentive awards, including (i) stock option awards and (ii) three-year performance share awards, including (a) target share payout amounts and maximum share payout amounts and (b) performance measures, weightings, goals and adjustment events.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review and approval, the Compensation &amp; Human Resources Committee receives information regarding:</w:t>
      </w:r>
    </w:p>
    <w:p>
      <w:pPr>
        <w:spacing w:after="0" w:line="77" w:lineRule="exact"/>
        <w:rPr>
          <w:sz w:val="20"/>
          <w:szCs w:val="20"/>
          <w:color w:val="auto"/>
        </w:rPr>
      </w:pPr>
    </w:p>
    <w:p>
      <w:pPr>
        <w:ind w:left="780" w:right="180" w:hanging="326"/>
        <w:spacing w:after="0" w:line="24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fiscal year target equity values;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equity awards at target.</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Distributor Development, and Managing Director, Total Rewards and Employee Services that reflect individual performance; corporate, division and/or plant performance, as applicable; tenure in the position; comparison to market; level of professional experience; duties and responsibilities; internal pay comparisons; and outside market factors, including general economic conditions. Neither the Chairman and CEO nor the Vice President, Human Resources and Distributor Development provide input or recommendations with respect to his or her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31. Also, at the beginning of each fiscal year, the Committee certifies the achievement of the applicable performance goals previously established by the Committee for the annual cash incentive awards and performance goals previously established by the Committee at the beginning of the performance period for performance share awards and approves resulting payouts, if any.</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Compensation &amp; Human Resources Committee retained Willis Towers Watson to assist in the design and review of our executive compensation program during fiscal 2017. Additional information regarding the role of Willis Towers Watson during fiscal 2017 is found under “Compensation Discussion and Analysis—Role of the Independent External Compensation Consultant” beginning on page 34. From time to time, the Committee also has engaged Willis Towers Watson to perform other compensation consulting services, which in fiscal 2017 included a review of non-employee director compensation and a review of the current risk management practices and risk-taking incentives used by us for compensating executive officers. For the services performed for our Company in fiscal 2017, the Committee assessed the independence of Willis Towers Watson pursuant to SEC and NYSE rules and concluded that the work of Willis Towers Watson did not raise any conflicts of interest. A representative from Willis Towers Watson attended two of the three Committee meetings in fiscal 2017, including executive sessions without Management present, to act as a resource to the Committee in carrying out its responsibilities. The Committee, through its Chair, can request an independent meeting with representatives from our independent external compensation consultant at any time. The Committee also has the authority to obtain advice and assistance from external legal, accounting or other advisers.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Nomination Process</w:t>
      </w:r>
    </w:p>
    <w:p>
      <w:pPr>
        <w:spacing w:after="0" w:line="12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may solicit recommendations for nominees from other members of our Board or Senior Management. In addition, the Committee may (i) consider candidates put forth by external search or placement firms that provided profiles of qualified individuals that are looking to join a public company board, (ii) formally engage such firms to assist it in identifying and evaluating qualified nominees, or (iii) consider certain individuals who contacted the Chairman of the Board, the Lead Independent Director and/or the Board of Directors and expressed an interest in serving on the Board.</w:t>
      </w:r>
    </w:p>
    <w:p>
      <w:pPr>
        <w:spacing w:after="0" w:line="97" w:lineRule="exact"/>
        <w:rPr>
          <w:sz w:val="20"/>
          <w:szCs w:val="20"/>
          <w:color w:val="auto"/>
        </w:rPr>
      </w:pPr>
    </w:p>
    <w:p>
      <w:pPr>
        <w:jc w:val="both"/>
        <w:ind w:right="380" w:firstLine="456"/>
        <w:spacing w:after="0" w:line="234" w:lineRule="auto"/>
        <w:rPr>
          <w:sz w:val="20"/>
          <w:szCs w:val="20"/>
          <w:color w:val="auto"/>
        </w:rPr>
      </w:pPr>
      <w:r>
        <w:rPr>
          <w:rFonts w:ascii="Arial" w:cs="Arial" w:eastAsia="Arial" w:hAnsi="Arial"/>
          <w:sz w:val="18"/>
          <w:szCs w:val="18"/>
          <w:color w:val="auto"/>
        </w:rPr>
        <w:t>When reviewing the requisite skills and characteristics of potential new director nominees, the Nominating &amp; Governance Committee, pursuant to our Corporate Governance Guidelines, will consider a variety of criteria, including an individual’s independence, diversity, age, skills, business experience, professional experience and industry experience, each in the context of the needs of the Board as a whole.</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background, skills, and business and professional experiences.</w:t>
      </w:r>
    </w:p>
    <w:p>
      <w:pPr>
        <w:spacing w:after="0" w:line="94" w:lineRule="exact"/>
        <w:rPr>
          <w:sz w:val="20"/>
          <w:szCs w:val="20"/>
          <w:color w:val="auto"/>
        </w:rPr>
      </w:pPr>
    </w:p>
    <w:p>
      <w:pPr>
        <w:jc w:val="both"/>
        <w:ind w:right="220" w:firstLine="456"/>
        <w:spacing w:after="0" w:line="239" w:lineRule="auto"/>
        <w:rPr>
          <w:sz w:val="20"/>
          <w:szCs w:val="20"/>
          <w:color w:val="auto"/>
        </w:rPr>
      </w:pPr>
      <w:r>
        <w:rPr>
          <w:rFonts w:ascii="Arial" w:cs="Arial" w:eastAsia="Arial" w:hAnsi="Arial"/>
          <w:sz w:val="18"/>
          <w:szCs w:val="18"/>
          <w:color w:val="auto"/>
        </w:rPr>
        <w:t>Once a proposed candidate is identified, the Nominating &amp; Governance Committee may solicit the views of Senior Management, Board members and any other individuals it believes may have insight into a particular candidate. The Committee may designate one or more of its members and/or other Board members to interview any proposed candidate. The Committee then will recommend a director nominee to the Board based on its evaluation of such criteria.</w:t>
      </w:r>
    </w:p>
    <w:p>
      <w:pPr>
        <w:spacing w:after="0" w:line="94"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In December 2017, the Board of Directors determined to increase the size of the Board to provide for the addition of a new member of the Board, Dr. Vale. The Chairman and CEO and the Nominating &amp; Governance Committee began the process of identifying a new nominee for election to the Board by considering (i) certain individuals who contacted the Chairman and CEO, the Lead Independent Director and/or the Board of Directors and expressed an interest in serving on the Board, (ii) candidates put forth by external search or placement firms, including Dr. Vale, and (iii) recommendations from members of the Board, including the Chairman and CEO. During that process, Dr. Vale was screened and subsequently interviewed by several members of the Board, including the Chairman and CEO, the Chair of the Nominating &amp; Governance Committee, the Chair of the Audit Committee, and certain other members of the Board. Following that process, the Nominating &amp; Governance Committee considered and formally recommended to the full Board that the Board size be increased from ten to eleven directors and that</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Dr. Vale be elected to fill the vacancy created by such increase. Dr. Vale was elected as a director, effective January 1, 2018, and is included in the group of nominees for election by our shareholders at the 2018 Annual Meeting of Shareholders for a term expiring at the 2021 Annual Meeting of Shareholders. See Proposal One—Election of Directors on page 9.</w:t>
      </w:r>
    </w:p>
    <w:p>
      <w:pPr>
        <w:spacing w:after="0" w:line="95"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 notice requirements contained in, and provide the specific information required by, our Amended and Restated Bylaws. The current requirements of our Amended and Restated Bylaws are as described under “Shareholder Proposals and Director Nominations for the 2019 Annual Meeting” on page 62.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Director Compensation</w:t>
      </w:r>
    </w:p>
    <w:p>
      <w:pPr>
        <w:spacing w:after="0" w:line="104"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2017, our non-employee director compensation was comprised of equity compensation, in the form of annual stock and stock option awards, and cash compensation, in the form of annual retainers. Each of these components is described in more detail below. This compensation program structure, together with the feature of The Toro Company Amended and Restated 2010 Equity and Incentive Plan, as amended and restated, or the Amended and Restated 2010 Plan, that enables our directors to elect to receive a portion or all of their cash compensation in the form of our common stock, causes a substantial portion of our non-employee director compensation to be linked to our common stock performance. As current or former employee directors, Mr. Olson does not and Mr. Hoffman did not receive any additional compensation for their service as directors.</w:t>
      </w:r>
    </w:p>
    <w:p>
      <w:pPr>
        <w:spacing w:after="0" w:line="76" w:lineRule="exact"/>
        <w:rPr>
          <w:sz w:val="20"/>
          <w:szCs w:val="20"/>
          <w:color w:val="auto"/>
        </w:rPr>
      </w:pPr>
    </w:p>
    <w:p>
      <w:pPr>
        <w:ind w:right="380" w:firstLine="456"/>
        <w:spacing w:after="0" w:line="244" w:lineRule="auto"/>
        <w:rPr>
          <w:sz w:val="20"/>
          <w:szCs w:val="20"/>
          <w:color w:val="auto"/>
        </w:rPr>
      </w:pPr>
      <w:r>
        <w:rPr>
          <w:rFonts w:ascii="Arial" w:cs="Arial" w:eastAsia="Arial" w:hAnsi="Arial"/>
          <w:sz w:val="18"/>
          <w:szCs w:val="18"/>
          <w:b w:val="1"/>
          <w:bCs w:val="1"/>
          <w:color w:val="auto"/>
        </w:rPr>
        <w:t xml:space="preserve">Processes for Consideration and Determination of Director Compensation. </w:t>
      </w:r>
      <w:r>
        <w:rPr>
          <w:rFonts w:ascii="Arial" w:cs="Arial" w:eastAsia="Arial" w:hAnsi="Arial"/>
          <w:sz w:val="18"/>
          <w:szCs w:val="18"/>
          <w:color w:val="auto"/>
        </w:rPr>
        <w:t>The Board has delegated to the Compensation &amp;</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Committee the responsibility, among other things, to review and recommend to the Board any proposed changes in non-employee director compensation. In connection with such review, the Compensation &amp; Human Resources Committee is assisted in performing its duties by our Human Resources Department and also engages an independent external compensation consultant to provide analysis regarding non-employee director compensation.</w:t>
      </w:r>
    </w:p>
    <w:p>
      <w:pPr>
        <w:spacing w:after="0" w:line="91"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During each of fiscal 2016 and fiscal 2017, the Compensation &amp; Human Resources Committee engaged Willis Towers Watson to review our non-employee director compensation. Willis Towers Watson’s reviews consisted of, among other things, analysis of board compensation trends and a competitive assessment based on a selected group of manufacturing companies operating in the United States that are similar size to us from a revenue and market capitalization perspective. The Compensation &amp; Human Resources Committee considered this data in determining whether to recommend any changes to our non-employee director compensation program and the approved non-employee director compensation program for fiscal 2017 and fiscal 2018 is presented in the table below. Overall, the reviews by Willis Towers Watson showed that our non-employee director compensation program for fiscal 2017 and fiscal 2018 aligned with market trends from a design perspective and at or below the peer group midpoint from a compensation level standpoint.</w:t>
      </w:r>
    </w:p>
    <w:p>
      <w:pPr>
        <w:spacing w:after="0" w:line="78" w:lineRule="exact"/>
        <w:rPr>
          <w:sz w:val="20"/>
          <w:szCs w:val="20"/>
          <w:color w:val="auto"/>
        </w:rPr>
      </w:pPr>
    </w:p>
    <w:p>
      <w:pPr>
        <w:ind w:right="400" w:firstLine="456"/>
        <w:spacing w:after="0" w:line="271"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2017 and fiscal 2018</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compensation programs.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5480" w:type="dxa"/>
            <w:vAlign w:val="bottom"/>
            <w:gridSpan w:val="2"/>
            <w:shd w:val="clear" w:color="auto" w:fill="C00000"/>
          </w:tcPr>
          <w:p>
            <w:pPr>
              <w:jc w:val="right"/>
              <w:ind w:right="119"/>
              <w:spacing w:after="0"/>
              <w:rPr>
                <w:sz w:val="20"/>
                <w:szCs w:val="20"/>
                <w:color w:val="auto"/>
              </w:rPr>
            </w:pPr>
            <w:r>
              <w:rPr>
                <w:rFonts w:ascii="Arial" w:cs="Arial" w:eastAsia="Arial" w:hAnsi="Arial"/>
                <w:sz w:val="14"/>
                <w:szCs w:val="14"/>
                <w:b w:val="1"/>
                <w:bCs w:val="1"/>
                <w:color w:val="FFFFFF"/>
              </w:rPr>
              <w:t>Fiscal 2017</w:t>
            </w:r>
          </w:p>
        </w:tc>
        <w:tc>
          <w:tcPr>
            <w:tcW w:w="1020" w:type="dxa"/>
            <w:vAlign w:val="bottom"/>
            <w:gridSpan w:val="2"/>
            <w:shd w:val="clear" w:color="auto" w:fill="C00000"/>
          </w:tcPr>
          <w:p>
            <w:pPr>
              <w:jc w:val="right"/>
              <w:spacing w:after="0"/>
              <w:rPr>
                <w:sz w:val="20"/>
                <w:szCs w:val="20"/>
                <w:color w:val="auto"/>
              </w:rPr>
            </w:pPr>
            <w:r>
              <w:rPr>
                <w:rFonts w:ascii="Arial" w:cs="Arial" w:eastAsia="Arial" w:hAnsi="Arial"/>
                <w:sz w:val="14"/>
                <w:szCs w:val="14"/>
                <w:b w:val="1"/>
                <w:bCs w:val="1"/>
                <w:color w:val="FFFFFF"/>
              </w:rPr>
              <w:t>Fiscal 2018</w:t>
            </w:r>
          </w:p>
        </w:tc>
      </w:tr>
      <w:tr>
        <w:trPr>
          <w:trHeight w:val="189"/>
        </w:trPr>
        <w:tc>
          <w:tcPr>
            <w:tcW w:w="4920" w:type="dxa"/>
            <w:vAlign w:val="bottom"/>
          </w:tcPr>
          <w:p>
            <w:pPr>
              <w:spacing w:after="0"/>
              <w:rPr>
                <w:sz w:val="20"/>
                <w:szCs w:val="20"/>
                <w:color w:val="auto"/>
              </w:rPr>
            </w:pPr>
            <w:r>
              <w:rPr>
                <w:rFonts w:ascii="Arial" w:cs="Arial" w:eastAsia="Arial" w:hAnsi="Arial"/>
                <w:sz w:val="16"/>
                <w:szCs w:val="16"/>
                <w:color w:val="auto"/>
              </w:rPr>
              <w:t>Annual Stock Award Value</w:t>
            </w:r>
          </w:p>
        </w:tc>
        <w:tc>
          <w:tcPr>
            <w:tcW w:w="47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60,000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60,000</w:t>
            </w:r>
          </w:p>
        </w:tc>
      </w:tr>
      <w:tr>
        <w:trPr>
          <w:trHeight w:val="189"/>
        </w:trPr>
        <w:tc>
          <w:tcPr>
            <w:tcW w:w="4920" w:type="dxa"/>
            <w:vAlign w:val="bottom"/>
            <w:shd w:val="clear" w:color="auto" w:fill="D9D9D9"/>
          </w:tcPr>
          <w:p>
            <w:pPr>
              <w:spacing w:after="0"/>
              <w:rPr>
                <w:sz w:val="20"/>
                <w:szCs w:val="20"/>
                <w:color w:val="auto"/>
              </w:rPr>
            </w:pPr>
            <w:r>
              <w:rPr>
                <w:rFonts w:ascii="Arial" w:cs="Arial" w:eastAsia="Arial" w:hAnsi="Arial"/>
                <w:sz w:val="16"/>
                <w:szCs w:val="16"/>
                <w:color w:val="auto"/>
              </w:rPr>
              <w:t>Annual Stock Option Award Value</w:t>
            </w:r>
          </w:p>
        </w:tc>
        <w:tc>
          <w:tcPr>
            <w:tcW w:w="47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55,000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55,000</w:t>
            </w:r>
          </w:p>
        </w:tc>
      </w:tr>
      <w:tr>
        <w:trPr>
          <w:trHeight w:val="189"/>
        </w:trPr>
        <w:tc>
          <w:tcPr>
            <w:tcW w:w="4920" w:type="dxa"/>
            <w:vAlign w:val="bottom"/>
          </w:tcPr>
          <w:p>
            <w:pPr>
              <w:spacing w:after="0"/>
              <w:rPr>
                <w:sz w:val="20"/>
                <w:szCs w:val="20"/>
                <w:color w:val="auto"/>
              </w:rPr>
            </w:pPr>
            <w:r>
              <w:rPr>
                <w:rFonts w:ascii="Arial" w:cs="Arial" w:eastAsia="Arial" w:hAnsi="Arial"/>
                <w:sz w:val="16"/>
                <w:szCs w:val="16"/>
                <w:color w:val="auto"/>
              </w:rPr>
              <w:t>Annual Board and Committee Member Retainers</w:t>
            </w:r>
          </w:p>
        </w:tc>
        <w:tc>
          <w:tcPr>
            <w:tcW w:w="4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49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Board</w:t>
            </w:r>
          </w:p>
        </w:tc>
        <w:tc>
          <w:tcPr>
            <w:tcW w:w="47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80,000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80,000</w:t>
            </w:r>
          </w:p>
        </w:tc>
      </w:tr>
      <w:tr>
        <w:trPr>
          <w:trHeight w:val="189"/>
        </w:trPr>
        <w:tc>
          <w:tcPr>
            <w:tcW w:w="4920" w:type="dxa"/>
            <w:vAlign w:val="bottom"/>
          </w:tcPr>
          <w:p>
            <w:pPr>
              <w:ind w:left="180"/>
              <w:spacing w:after="0"/>
              <w:rPr>
                <w:sz w:val="20"/>
                <w:szCs w:val="20"/>
                <w:color w:val="auto"/>
              </w:rPr>
            </w:pPr>
            <w:r>
              <w:rPr>
                <w:rFonts w:ascii="Arial" w:cs="Arial" w:eastAsia="Arial" w:hAnsi="Arial"/>
                <w:sz w:val="16"/>
                <w:szCs w:val="16"/>
                <w:color w:val="auto"/>
              </w:rPr>
              <w:t>Audit Committee Member</w:t>
            </w:r>
          </w:p>
        </w:tc>
        <w:tc>
          <w:tcPr>
            <w:tcW w:w="47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189"/>
        </w:trPr>
        <w:tc>
          <w:tcPr>
            <w:tcW w:w="49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Compensation &amp; Human Resources Committee Member</w:t>
            </w:r>
          </w:p>
        </w:tc>
        <w:tc>
          <w:tcPr>
            <w:tcW w:w="47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6,000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7,000</w:t>
            </w:r>
          </w:p>
        </w:tc>
      </w:tr>
      <w:tr>
        <w:trPr>
          <w:trHeight w:val="189"/>
        </w:trPr>
        <w:tc>
          <w:tcPr>
            <w:tcW w:w="4920" w:type="dxa"/>
            <w:vAlign w:val="bottom"/>
          </w:tcPr>
          <w:p>
            <w:pPr>
              <w:ind w:left="180"/>
              <w:spacing w:after="0"/>
              <w:rPr>
                <w:sz w:val="20"/>
                <w:szCs w:val="20"/>
                <w:color w:val="auto"/>
              </w:rPr>
            </w:pPr>
            <w:r>
              <w:rPr>
                <w:rFonts w:ascii="Arial" w:cs="Arial" w:eastAsia="Arial" w:hAnsi="Arial"/>
                <w:sz w:val="16"/>
                <w:szCs w:val="16"/>
                <w:color w:val="auto"/>
              </w:rPr>
              <w:t>Nominating &amp; Governance Committee Member</w:t>
            </w:r>
          </w:p>
        </w:tc>
        <w:tc>
          <w:tcPr>
            <w:tcW w:w="47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4,000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189"/>
        </w:trPr>
        <w:tc>
          <w:tcPr>
            <w:tcW w:w="492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Finance Committee Member</w:t>
            </w:r>
          </w:p>
        </w:tc>
        <w:tc>
          <w:tcPr>
            <w:tcW w:w="47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6,000</w:t>
            </w:r>
          </w:p>
        </w:tc>
      </w:tr>
      <w:tr>
        <w:trPr>
          <w:trHeight w:val="365"/>
        </w:trPr>
        <w:tc>
          <w:tcPr>
            <w:tcW w:w="4920" w:type="dxa"/>
            <w:vAlign w:val="bottom"/>
          </w:tcPr>
          <w:p>
            <w:pPr>
              <w:spacing w:after="0"/>
              <w:rPr>
                <w:sz w:val="24"/>
                <w:szCs w:val="24"/>
                <w:color w:val="auto"/>
              </w:rPr>
            </w:pPr>
          </w:p>
        </w:tc>
        <w:tc>
          <w:tcPr>
            <w:tcW w:w="4740" w:type="dxa"/>
            <w:vAlign w:val="bottom"/>
          </w:tcPr>
          <w:p>
            <w:pPr>
              <w:jc w:val="right"/>
              <w:ind w:right="3759"/>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Non-Employee Director Compensation</w:t>
            </w:r>
          </w:p>
        </w:tc>
        <w:tc>
          <w:tcPr>
            <w:tcW w:w="2900" w:type="dxa"/>
            <w:vAlign w:val="bottom"/>
            <w:gridSpan w:val="2"/>
            <w:shd w:val="clear" w:color="auto" w:fill="C00000"/>
          </w:tcPr>
          <w:p>
            <w:pPr>
              <w:jc w:val="right"/>
              <w:ind w:right="119"/>
              <w:spacing w:after="0"/>
              <w:rPr>
                <w:sz w:val="20"/>
                <w:szCs w:val="20"/>
                <w:color w:val="auto"/>
              </w:rPr>
            </w:pPr>
            <w:r>
              <w:rPr>
                <w:rFonts w:ascii="Arial" w:cs="Arial" w:eastAsia="Arial" w:hAnsi="Arial"/>
                <w:sz w:val="14"/>
                <w:szCs w:val="14"/>
                <w:b w:val="1"/>
                <w:bCs w:val="1"/>
                <w:color w:val="FFFFFF"/>
              </w:rPr>
              <w:t>Fiscal 2017</w:t>
            </w:r>
          </w:p>
        </w:tc>
        <w:tc>
          <w:tcPr>
            <w:tcW w:w="1020" w:type="dxa"/>
            <w:vAlign w:val="bottom"/>
            <w:gridSpan w:val="2"/>
            <w:shd w:val="clear" w:color="auto" w:fill="C00000"/>
          </w:tcPr>
          <w:p>
            <w:pPr>
              <w:jc w:val="right"/>
              <w:spacing w:after="0"/>
              <w:rPr>
                <w:sz w:val="20"/>
                <w:szCs w:val="20"/>
                <w:color w:val="auto"/>
              </w:rPr>
            </w:pPr>
            <w:r>
              <w:rPr>
                <w:rFonts w:ascii="Arial" w:cs="Arial" w:eastAsia="Arial" w:hAnsi="Arial"/>
                <w:sz w:val="14"/>
                <w:szCs w:val="14"/>
                <w:b w:val="1"/>
                <w:bCs w:val="1"/>
                <w:color w:val="FFFFFF"/>
              </w:rPr>
              <w:t>Fiscal 2018</w:t>
            </w:r>
          </w:p>
        </w:tc>
      </w:tr>
      <w:tr>
        <w:trPr>
          <w:trHeight w:val="189"/>
        </w:trPr>
        <w:tc>
          <w:tcPr>
            <w:tcW w:w="7500" w:type="dxa"/>
            <w:vAlign w:val="bottom"/>
          </w:tcPr>
          <w:p>
            <w:pPr>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2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9"/>
        </w:trPr>
        <w:tc>
          <w:tcPr>
            <w:tcW w:w="75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Lead Independent Director</w:t>
            </w:r>
          </w:p>
        </w:tc>
        <w:tc>
          <w:tcPr>
            <w:tcW w:w="21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25,000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25,000</w:t>
            </w:r>
          </w:p>
        </w:tc>
      </w:tr>
      <w:tr>
        <w:trPr>
          <w:trHeight w:val="189"/>
        </w:trPr>
        <w:tc>
          <w:tcPr>
            <w:tcW w:w="7500" w:type="dxa"/>
            <w:vAlign w:val="bottom"/>
          </w:tcPr>
          <w:p>
            <w:pPr>
              <w:ind w:left="180"/>
              <w:spacing w:after="0"/>
              <w:rPr>
                <w:sz w:val="20"/>
                <w:szCs w:val="20"/>
                <w:color w:val="auto"/>
              </w:rPr>
            </w:pPr>
            <w:r>
              <w:rPr>
                <w:rFonts w:ascii="Arial" w:cs="Arial" w:eastAsia="Arial" w:hAnsi="Arial"/>
                <w:sz w:val="16"/>
                <w:szCs w:val="16"/>
                <w:color w:val="auto"/>
              </w:rPr>
              <w:t>Audit Committee Chair</w:t>
            </w: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15,000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189"/>
        </w:trPr>
        <w:tc>
          <w:tcPr>
            <w:tcW w:w="75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Compensation &amp; Human Resources Committee Chair</w:t>
            </w:r>
          </w:p>
        </w:tc>
        <w:tc>
          <w:tcPr>
            <w:tcW w:w="21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10,000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12,000</w:t>
            </w:r>
          </w:p>
        </w:tc>
      </w:tr>
      <w:tr>
        <w:trPr>
          <w:trHeight w:val="189"/>
        </w:trPr>
        <w:tc>
          <w:tcPr>
            <w:tcW w:w="7500" w:type="dxa"/>
            <w:vAlign w:val="bottom"/>
          </w:tcPr>
          <w:p>
            <w:pPr>
              <w:ind w:left="180"/>
              <w:spacing w:after="0"/>
              <w:rPr>
                <w:sz w:val="20"/>
                <w:szCs w:val="20"/>
                <w:color w:val="auto"/>
              </w:rPr>
            </w:pPr>
            <w:r>
              <w:rPr>
                <w:rFonts w:ascii="Arial" w:cs="Arial" w:eastAsia="Arial" w:hAnsi="Arial"/>
                <w:sz w:val="16"/>
                <w:szCs w:val="16"/>
                <w:color w:val="auto"/>
              </w:rPr>
              <w:t>Nominating &amp; Governance Committee Chair</w:t>
            </w: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5,000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189"/>
        </w:trPr>
        <w:tc>
          <w:tcPr>
            <w:tcW w:w="750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Finance Committee Chair</w:t>
            </w:r>
          </w:p>
        </w:tc>
        <w:tc>
          <w:tcPr>
            <w:tcW w:w="21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5,000</w:t>
            </w:r>
          </w:p>
        </w:tc>
        <w:tc>
          <w:tcPr>
            <w:tcW w:w="4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7,500</w:t>
            </w: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key characteristics of the elements of our non-employee director compensation program:</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Element</w:t>
            </w:r>
          </w:p>
        </w:tc>
        <w:tc>
          <w:tcPr>
            <w:tcW w:w="9740" w:type="dxa"/>
            <w:vAlign w:val="bottom"/>
            <w:shd w:val="clear" w:color="auto" w:fill="C00000"/>
          </w:tcPr>
          <w:p>
            <w:pPr>
              <w:ind w:left="4280"/>
              <w:spacing w:after="0"/>
              <w:rPr>
                <w:sz w:val="20"/>
                <w:szCs w:val="20"/>
                <w:color w:val="auto"/>
              </w:rPr>
            </w:pPr>
            <w:r>
              <w:rPr>
                <w:rFonts w:ascii="Arial" w:cs="Arial" w:eastAsia="Arial" w:hAnsi="Arial"/>
                <w:sz w:val="14"/>
                <w:szCs w:val="14"/>
                <w:b w:val="1"/>
                <w:bCs w:val="1"/>
                <w:color w:val="FFFFFF"/>
              </w:rPr>
              <w:t>Key Characteristics</w:t>
            </w:r>
          </w:p>
        </w:tc>
      </w:tr>
      <w:tr>
        <w:trPr>
          <w:trHeight w:val="191"/>
        </w:trPr>
        <w:tc>
          <w:tcPr>
            <w:tcW w:w="1680" w:type="dxa"/>
            <w:vAlign w:val="bottom"/>
          </w:tcPr>
          <w:p>
            <w:pPr>
              <w:spacing w:after="0"/>
              <w:rPr>
                <w:sz w:val="20"/>
                <w:szCs w:val="20"/>
                <w:color w:val="auto"/>
              </w:rPr>
            </w:pPr>
            <w:r>
              <w:rPr>
                <w:rFonts w:ascii="Arial" w:cs="Arial" w:eastAsia="Arial" w:hAnsi="Arial"/>
                <w:sz w:val="16"/>
                <w:szCs w:val="16"/>
                <w:color w:val="auto"/>
              </w:rPr>
              <w:t>Annual Retainers</w:t>
            </w:r>
          </w:p>
        </w:tc>
        <w:tc>
          <w:tcPr>
            <w:tcW w:w="9740" w:type="dxa"/>
            <w:vAlign w:val="bottom"/>
          </w:tcPr>
          <w:p>
            <w:pPr>
              <w:ind w:left="160"/>
              <w:spacing w:after="0"/>
              <w:rPr>
                <w:sz w:val="20"/>
                <w:szCs w:val="20"/>
                <w:color w:val="auto"/>
              </w:rPr>
            </w:pPr>
            <w:r>
              <w:rPr>
                <w:rFonts w:ascii="Arial" w:cs="Arial" w:eastAsia="Arial" w:hAnsi="Arial"/>
                <w:sz w:val="16"/>
                <w:szCs w:val="16"/>
                <w:color w:val="auto"/>
              </w:rPr>
              <w:t>Each Board and committee member, committee chair and the Lead Independent Director receive annual retainers as described in the</w:t>
            </w:r>
          </w:p>
        </w:tc>
      </w:tr>
      <w:tr>
        <w:trPr>
          <w:trHeight w:val="187"/>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foregoing table for their respective service on our Board.</w:t>
            </w:r>
          </w:p>
        </w:tc>
      </w:tr>
      <w:tr>
        <w:trPr>
          <w:trHeight w:val="191"/>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Stock Awards</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On the first business day of our fiscal year (usually November 1), shares of our common stock are automatically granted under the</w:t>
            </w:r>
          </w:p>
        </w:tc>
      </w:tr>
      <w:tr>
        <w:trPr>
          <w:trHeight w:val="189"/>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Amended and Restated 2010 Plan. The stock award is determined by dividing the stock award value by the average of the closing</w:t>
            </w:r>
          </w:p>
        </w:tc>
      </w:tr>
      <w:tr>
        <w:trPr>
          <w:trHeight w:val="189"/>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prices of our common stock, as reported on the NYSE, during the three months prior to the grant. The shares are fully vested at the</w:t>
            </w:r>
          </w:p>
        </w:tc>
      </w:tr>
      <w:tr>
        <w:trPr>
          <w:trHeight w:val="187"/>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time of grant.</w:t>
            </w:r>
          </w:p>
        </w:tc>
      </w:tr>
      <w:tr>
        <w:trPr>
          <w:trHeight w:val="191"/>
        </w:trPr>
        <w:tc>
          <w:tcPr>
            <w:tcW w:w="1680" w:type="dxa"/>
            <w:vAlign w:val="bottom"/>
          </w:tcPr>
          <w:p>
            <w:pPr>
              <w:spacing w:after="0"/>
              <w:rPr>
                <w:sz w:val="20"/>
                <w:szCs w:val="20"/>
                <w:color w:val="auto"/>
              </w:rPr>
            </w:pPr>
            <w:r>
              <w:rPr>
                <w:rFonts w:ascii="Arial" w:cs="Arial" w:eastAsia="Arial" w:hAnsi="Arial"/>
                <w:sz w:val="16"/>
                <w:szCs w:val="16"/>
                <w:color w:val="auto"/>
              </w:rPr>
              <w:t>Stock Option Awards</w:t>
            </w:r>
          </w:p>
        </w:tc>
        <w:tc>
          <w:tcPr>
            <w:tcW w:w="9740" w:type="dxa"/>
            <w:vAlign w:val="bottom"/>
          </w:tcPr>
          <w:p>
            <w:pPr>
              <w:ind w:left="160"/>
              <w:spacing w:after="0"/>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 The</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stock option award is determined by dividing the stock option award value by the grant date fair value of a stock option to purchase</w:t>
            </w:r>
          </w:p>
        </w:tc>
      </w:tr>
      <w:tr>
        <w:trPr>
          <w:trHeight w:val="187"/>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one share of our common stock. See below for additional information regarding vesting of stock option grants.</w:t>
            </w:r>
          </w:p>
        </w:tc>
      </w:tr>
      <w:tr>
        <w:trPr>
          <w:trHeight w:val="191"/>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Common Stock In</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Our non-employee directors may elect to convert a portion or all of their calendar year annual retainers otherwise payable in cash into</w:t>
            </w:r>
          </w:p>
        </w:tc>
      </w:tr>
      <w:tr>
        <w:trPr>
          <w:trHeight w:val="18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Lieu of Annual</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shares of our common stock. Annual retainers earned after the date a director makes a stock-in-lieu of cash election for a calendar</w:t>
            </w:r>
          </w:p>
        </w:tc>
      </w:tr>
      <w:tr>
        <w:trPr>
          <w:trHeight w:val="18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Retainers</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year are issued in shares of common stock in December of that year, the number of which is determined by dividing the dollar amount</w:t>
            </w:r>
          </w:p>
        </w:tc>
      </w:tr>
      <w:tr>
        <w:trPr>
          <w:trHeight w:val="189"/>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of the annual retainers earned in the calendar year and elected to be converted into shares of our common stock by the closing price</w:t>
            </w:r>
          </w:p>
        </w:tc>
      </w:tr>
      <w:tr>
        <w:trPr>
          <w:trHeight w:val="187"/>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of our common stock, as reported on the NYSE, on the date that the shares are issued.</w:t>
            </w:r>
          </w:p>
        </w:tc>
      </w:tr>
      <w:tr>
        <w:trPr>
          <w:trHeight w:val="191"/>
        </w:trPr>
        <w:tc>
          <w:tcPr>
            <w:tcW w:w="1680" w:type="dxa"/>
            <w:vAlign w:val="bottom"/>
          </w:tcPr>
          <w:p>
            <w:pPr>
              <w:spacing w:after="0"/>
              <w:rPr>
                <w:sz w:val="20"/>
                <w:szCs w:val="20"/>
                <w:color w:val="auto"/>
              </w:rPr>
            </w:pPr>
            <w:r>
              <w:rPr>
                <w:rFonts w:ascii="Arial" w:cs="Arial" w:eastAsia="Arial" w:hAnsi="Arial"/>
                <w:sz w:val="16"/>
                <w:szCs w:val="16"/>
                <w:color w:val="auto"/>
              </w:rPr>
              <w:t>Deferred</w:t>
            </w:r>
          </w:p>
        </w:tc>
        <w:tc>
          <w:tcPr>
            <w:tcW w:w="9740" w:type="dxa"/>
            <w:vAlign w:val="bottom"/>
          </w:tcPr>
          <w:p>
            <w:pPr>
              <w:ind w:left="160"/>
              <w:spacing w:after="0"/>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 calendar</w:t>
            </w:r>
          </w:p>
        </w:tc>
      </w:t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Compensation Plan</w:t>
            </w:r>
          </w:p>
        </w:tc>
        <w:tc>
          <w:tcPr>
            <w:tcW w:w="9740" w:type="dxa"/>
            <w:vAlign w:val="bottom"/>
          </w:tcPr>
          <w:p>
            <w:pPr>
              <w:ind w:left="160"/>
              <w:spacing w:after="0"/>
              <w:rPr>
                <w:sz w:val="20"/>
                <w:szCs w:val="20"/>
                <w:color w:val="auto"/>
              </w:rPr>
            </w:pPr>
            <w:r>
              <w:rPr>
                <w:rFonts w:ascii="Arial" w:cs="Arial" w:eastAsia="Arial" w:hAnsi="Arial"/>
                <w:sz w:val="16"/>
                <w:szCs w:val="16"/>
                <w:color w:val="auto"/>
              </w:rPr>
              <w:t>year basis under the Deferred Plan for Directors. Because the value of a director’s deferred compensation account fluctuates, as</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applicable, based on the market value of our common stock or based on a rate of return on funds that are comparable to funds</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available in our IS&amp;ESOP, earnings on deferred compensation are not preferential. Dividends paid on our common stock are credited</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to a director’s account as additional common stock units. A director is fully vested in his or her deferred compensation accounts.</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Distributions under the Deferred Plan for Directors are payable in accordance with the director participant’s prior distribution elections</w:t>
            </w:r>
          </w:p>
        </w:tc>
      </w:tr>
      <w:tr>
        <w:trPr>
          <w:trHeight w:val="187"/>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upon the earliest of retirement, prior to retirement if a valid election has been made or in an unforeseeable financial emergency.</w:t>
            </w:r>
          </w:p>
        </w:tc>
      </w:tr>
      <w:tr>
        <w:trPr>
          <w:trHeight w:val="191"/>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Company Products</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 for his</w:t>
            </w:r>
          </w:p>
        </w:tc>
      </w:tr>
      <w:tr>
        <w:trPr>
          <w:trHeight w:val="189"/>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or her personal use, at no cost; provided, however, that directors are responsible for payment of applicable taxes attributable to the</w:t>
            </w:r>
          </w:p>
        </w:tc>
      </w:tr>
      <w:tr>
        <w:trPr>
          <w:trHeight w:val="189"/>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value of such items. The value of products, parts and accessories is deemed to be our distributor net price or its equivalent, which is</w:t>
            </w:r>
          </w:p>
        </w:tc>
      </w:tr>
      <w:tr>
        <w:trPr>
          <w:trHeight w:val="187"/>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also the price at which such items are generally available to our employees for purchase.</w:t>
            </w:r>
          </w:p>
        </w:tc>
      </w:tr>
      <w:tr>
        <w:trPr>
          <w:trHeight w:val="191"/>
        </w:trPr>
        <w:tc>
          <w:tcPr>
            <w:tcW w:w="1680" w:type="dxa"/>
            <w:vAlign w:val="bottom"/>
          </w:tcPr>
          <w:p>
            <w:pPr>
              <w:spacing w:after="0"/>
              <w:rPr>
                <w:sz w:val="20"/>
                <w:szCs w:val="20"/>
                <w:color w:val="auto"/>
              </w:rPr>
            </w:pPr>
            <w:r>
              <w:rPr>
                <w:rFonts w:ascii="Arial" w:cs="Arial" w:eastAsia="Arial" w:hAnsi="Arial"/>
                <w:sz w:val="16"/>
                <w:szCs w:val="16"/>
                <w:color w:val="auto"/>
              </w:rPr>
              <w:t>Charitable Giving</w:t>
            </w:r>
          </w:p>
        </w:tc>
        <w:tc>
          <w:tcPr>
            <w:tcW w:w="9740" w:type="dxa"/>
            <w:vAlign w:val="bottom"/>
          </w:tcPr>
          <w:p>
            <w:pPr>
              <w:ind w:left="160"/>
              <w:spacing w:after="0"/>
              <w:rPr>
                <w:sz w:val="20"/>
                <w:szCs w:val="20"/>
                <w:color w:val="auto"/>
              </w:rPr>
            </w:pPr>
            <w:r>
              <w:rPr>
                <w:rFonts w:ascii="Arial" w:cs="Arial" w:eastAsia="Arial" w:hAnsi="Arial"/>
                <w:sz w:val="16"/>
                <w:szCs w:val="16"/>
                <w:color w:val="auto"/>
              </w:rPr>
              <w:t>We offer a matching gift program for our non-employee directors, which provides that a gift or gifts by a director and/or his or her</w:t>
            </w:r>
          </w:p>
        </w:tc>
      </w:tr>
      <w:tr>
        <w:trPr>
          <w:trHeight w:val="189"/>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spouse to one or more tax exempt 501(c)(3) charitable organizations located in the United States will be matched by us in an</w:t>
            </w:r>
          </w:p>
        </w:tc>
      </w:tr>
      <w:tr>
        <w:trPr>
          <w:trHeight w:val="187"/>
        </w:trPr>
        <w:tc>
          <w:tcPr>
            <w:tcW w:w="1680" w:type="dxa"/>
            <w:vAlign w:val="bottom"/>
          </w:tcPr>
          <w:p>
            <w:pPr>
              <w:spacing w:after="0"/>
              <w:rPr>
                <w:sz w:val="16"/>
                <w:szCs w:val="16"/>
                <w:color w:val="auto"/>
              </w:rPr>
            </w:pPr>
          </w:p>
        </w:tc>
        <w:tc>
          <w:tcPr>
            <w:tcW w:w="9740" w:type="dxa"/>
            <w:vAlign w:val="bottom"/>
          </w:tcPr>
          <w:p>
            <w:pPr>
              <w:ind w:left="160"/>
              <w:spacing w:after="0"/>
              <w:rPr>
                <w:sz w:val="20"/>
                <w:szCs w:val="20"/>
                <w:color w:val="auto"/>
              </w:rPr>
            </w:pPr>
            <w:r>
              <w:rPr>
                <w:rFonts w:ascii="Arial" w:cs="Arial" w:eastAsia="Arial" w:hAnsi="Arial"/>
                <w:sz w:val="16"/>
                <w:szCs w:val="16"/>
                <w:color w:val="auto"/>
              </w:rPr>
              <w:t>aggregate amount of up to $1,000 per director per year.</w:t>
            </w:r>
          </w:p>
        </w:tc>
      </w:tr>
      <w:tr>
        <w:trPr>
          <w:trHeight w:val="191"/>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Indemnification and</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89"/>
        </w:trPr>
        <w:tc>
          <w:tcPr>
            <w:tcW w:w="1680" w:type="dxa"/>
            <w:vAlign w:val="bottom"/>
            <w:shd w:val="clear" w:color="auto" w:fill="D9D9D9"/>
          </w:tcPr>
          <w:p>
            <w:pPr>
              <w:spacing w:after="0"/>
              <w:rPr>
                <w:sz w:val="20"/>
                <w:szCs w:val="20"/>
                <w:color w:val="auto"/>
              </w:rPr>
            </w:pPr>
            <w:r>
              <w:rPr>
                <w:rFonts w:ascii="Arial" w:cs="Arial" w:eastAsia="Arial" w:hAnsi="Arial"/>
                <w:sz w:val="16"/>
                <w:szCs w:val="16"/>
                <w:color w:val="auto"/>
              </w:rPr>
              <w:t>D&amp;O Insurance</w:t>
            </w: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187"/>
        </w:trPr>
        <w:tc>
          <w:tcPr>
            <w:tcW w:w="1680" w:type="dxa"/>
            <w:vAlign w:val="bottom"/>
            <w:shd w:val="clear" w:color="auto" w:fill="D9D9D9"/>
          </w:tcPr>
          <w:p>
            <w:pPr>
              <w:spacing w:after="0"/>
              <w:rPr>
                <w:sz w:val="16"/>
                <w:szCs w:val="16"/>
                <w:color w:val="auto"/>
              </w:rPr>
            </w:pPr>
          </w:p>
        </w:tc>
        <w:tc>
          <w:tcPr>
            <w:tcW w:w="9740" w:type="dxa"/>
            <w:vAlign w:val="bottom"/>
            <w:shd w:val="clear" w:color="auto" w:fill="D9D9D9"/>
          </w:tcPr>
          <w:p>
            <w:pPr>
              <w:ind w:left="160"/>
              <w:spacing w:after="0"/>
              <w:rPr>
                <w:sz w:val="20"/>
                <w:szCs w:val="20"/>
                <w:color w:val="auto"/>
              </w:rPr>
            </w:pPr>
            <w:r>
              <w:rPr>
                <w:rFonts w:ascii="Arial" w:cs="Arial" w:eastAsia="Arial" w:hAnsi="Arial"/>
                <w:sz w:val="16"/>
                <w:szCs w:val="16"/>
                <w:color w:val="auto"/>
              </w:rPr>
              <w:t>Incorporation and continued coverage under our D&amp;O insurance.</w:t>
            </w:r>
          </w:p>
        </w:tc>
      </w:tr>
    </w:tbl>
    <w:p>
      <w:pPr>
        <w:spacing w:after="0" w:line="85"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on each of the first, second and third year anniversaries of the date of grant and remain exercisable for a term of ten years after the date of grant.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Gary L. Ellis, Katherine J. Harless, Gregg W. Steinhafel and Christopher A. Twomey.</w:t>
      </w:r>
    </w:p>
    <w:p>
      <w:pPr>
        <w:spacing w:after="0" w:line="100"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If there is a change in control of our Company, stock options granted under the Amended and Restated 2010 Plan will vest immediately and remain exercisable for the remaining term and stock options granted under The Toro Company 2000 Directors Stock Plan, as amended, or 2000 Directors Stock Plan, will remain exercisable for three years or their respective expiration date, if earlier. The general definition of a change in control under the Amended and Restated 2010 Plan and the 2000 Directors Stock Plan is described under “Potential Payments Upon Termination or Change in Control—Change in Control” beginning on page 57.</w:t>
      </w:r>
    </w:p>
    <w:p>
      <w:pPr>
        <w:spacing w:after="0" w:line="73" w:lineRule="exact"/>
        <w:rPr>
          <w:sz w:val="20"/>
          <w:szCs w:val="20"/>
          <w:color w:val="auto"/>
        </w:rPr>
      </w:pPr>
    </w:p>
    <w:p>
      <w:pPr>
        <w:ind w:right="20" w:firstLine="456"/>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2017. </w:t>
      </w:r>
      <w:r>
        <w:rPr>
          <w:rFonts w:ascii="Arial" w:cs="Arial" w:eastAsia="Arial" w:hAnsi="Arial"/>
          <w:sz w:val="18"/>
          <w:szCs w:val="18"/>
          <w:color w:val="auto"/>
        </w:rPr>
        <w:t>The following table provides summary information concerning the compensation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non-employee director who served during fiscal 2017. Each of Richard M. Olson, who served as CEO in fiscal 2017, and Michael J. Hoffman, who served as Executive Chairman in fiscal 2017, is not compensated separately for his service as a director and his compensation is discussed in the “Executive Compensation” section beginning on page 31. Dr. Vale did not serve as a director in fiscal 2017 and, therefore, is not included in this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shd w:val="clear" w:color="auto" w:fill="C00000"/>
          </w:tcPr>
          <w:p>
            <w:pPr>
              <w:spacing w:after="0"/>
              <w:rPr>
                <w:sz w:val="14"/>
                <w:szCs w:val="14"/>
                <w:color w:val="auto"/>
              </w:rPr>
            </w:pPr>
          </w:p>
        </w:tc>
        <w:tc>
          <w:tcPr>
            <w:tcW w:w="2760" w:type="dxa"/>
            <w:vAlign w:val="bottom"/>
            <w:gridSpan w:val="2"/>
            <w:shd w:val="clear" w:color="auto" w:fill="C00000"/>
          </w:tcPr>
          <w:p>
            <w:pPr>
              <w:ind w:left="1440"/>
              <w:spacing w:after="0"/>
              <w:rPr>
                <w:sz w:val="20"/>
                <w:szCs w:val="20"/>
                <w:color w:val="auto"/>
              </w:rPr>
            </w:pPr>
            <w:r>
              <w:rPr>
                <w:rFonts w:ascii="Arial" w:cs="Arial" w:eastAsia="Arial" w:hAnsi="Arial"/>
                <w:sz w:val="14"/>
                <w:szCs w:val="14"/>
                <w:b w:val="1"/>
                <w:bCs w:val="1"/>
                <w:color w:val="FFFFFF"/>
              </w:rPr>
              <w:t>Fees Earned or</w:t>
            </w:r>
          </w:p>
        </w:tc>
        <w:tc>
          <w:tcPr>
            <w:tcW w:w="680" w:type="dxa"/>
            <w:vAlign w:val="bottom"/>
            <w:shd w:val="clear" w:color="auto" w:fill="C00000"/>
          </w:tcPr>
          <w:p>
            <w:pPr>
              <w:spacing w:after="0"/>
              <w:rPr>
                <w:sz w:val="14"/>
                <w:szCs w:val="14"/>
                <w:color w:val="auto"/>
              </w:rPr>
            </w:pPr>
          </w:p>
        </w:tc>
        <w:tc>
          <w:tcPr>
            <w:tcW w:w="78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740" w:type="dxa"/>
            <w:vAlign w:val="bottom"/>
            <w:shd w:val="clear" w:color="auto" w:fill="C00000"/>
          </w:tcPr>
          <w:p>
            <w:pPr>
              <w:spacing w:after="0"/>
              <w:rPr>
                <w:sz w:val="14"/>
                <w:szCs w:val="14"/>
                <w:color w:val="auto"/>
              </w:rPr>
            </w:pPr>
          </w:p>
        </w:tc>
        <w:tc>
          <w:tcPr>
            <w:tcW w:w="1500" w:type="dxa"/>
            <w:vAlign w:val="bottom"/>
            <w:gridSpan w:val="2"/>
            <w:shd w:val="clear" w:color="auto" w:fill="C00000"/>
          </w:tcPr>
          <w:p>
            <w:pPr>
              <w:jc w:val="center"/>
              <w:ind w:right="39"/>
              <w:spacing w:after="0"/>
              <w:rPr>
                <w:sz w:val="20"/>
                <w:szCs w:val="20"/>
                <w:color w:val="auto"/>
              </w:rPr>
            </w:pPr>
            <w:r>
              <w:rPr>
                <w:rFonts w:ascii="Arial" w:cs="Arial" w:eastAsia="Arial" w:hAnsi="Arial"/>
                <w:sz w:val="14"/>
                <w:szCs w:val="14"/>
                <w:b w:val="1"/>
                <w:bCs w:val="1"/>
                <w:color w:val="FFFFFF"/>
              </w:rPr>
              <w:t>All Other</w:t>
            </w:r>
          </w:p>
        </w:tc>
        <w:tc>
          <w:tcPr>
            <w:tcW w:w="360" w:type="dxa"/>
            <w:vAlign w:val="bottom"/>
            <w:shd w:val="clear" w:color="auto" w:fill="C00000"/>
          </w:tcPr>
          <w:p>
            <w:pPr>
              <w:spacing w:after="0"/>
              <w:rPr>
                <w:sz w:val="14"/>
                <w:szCs w:val="14"/>
                <w:color w:val="auto"/>
              </w:rPr>
            </w:pPr>
          </w:p>
        </w:tc>
        <w:tc>
          <w:tcPr>
            <w:tcW w:w="680" w:type="dxa"/>
            <w:vAlign w:val="bottom"/>
            <w:shd w:val="clear" w:color="auto" w:fill="C00000"/>
          </w:tcPr>
          <w:p>
            <w:pPr>
              <w:spacing w:after="0"/>
              <w:rPr>
                <w:sz w:val="14"/>
                <w:szCs w:val="14"/>
                <w:color w:val="auto"/>
              </w:rPr>
            </w:pPr>
          </w:p>
        </w:tc>
      </w:tr>
      <w:tr>
        <w:trPr>
          <w:trHeight w:val="159"/>
        </w:trPr>
        <w:tc>
          <w:tcPr>
            <w:tcW w:w="3120" w:type="dxa"/>
            <w:vAlign w:val="bottom"/>
            <w:shd w:val="clear" w:color="auto" w:fill="C00000"/>
          </w:tcPr>
          <w:p>
            <w:pPr>
              <w:spacing w:after="0"/>
              <w:rPr>
                <w:sz w:val="13"/>
                <w:szCs w:val="13"/>
                <w:color w:val="auto"/>
              </w:rPr>
            </w:pPr>
          </w:p>
        </w:tc>
        <w:tc>
          <w:tcPr>
            <w:tcW w:w="2760" w:type="dxa"/>
            <w:vAlign w:val="bottom"/>
            <w:gridSpan w:val="2"/>
            <w:shd w:val="clear" w:color="auto" w:fill="C00000"/>
          </w:tcPr>
          <w:p>
            <w:pPr>
              <w:ind w:left="1520"/>
              <w:spacing w:after="0" w:line="159" w:lineRule="exact"/>
              <w:rPr>
                <w:sz w:val="20"/>
                <w:szCs w:val="20"/>
                <w:color w:val="auto"/>
              </w:rPr>
            </w:pPr>
            <w:r>
              <w:rPr>
                <w:rFonts w:ascii="Arial" w:cs="Arial" w:eastAsia="Arial" w:hAnsi="Arial"/>
                <w:sz w:val="14"/>
                <w:szCs w:val="14"/>
                <w:b w:val="1"/>
                <w:bCs w:val="1"/>
                <w:color w:val="FFFFFF"/>
              </w:rPr>
              <w:t>Paid in Cash</w:t>
            </w:r>
          </w:p>
        </w:tc>
        <w:tc>
          <w:tcPr>
            <w:tcW w:w="1460" w:type="dxa"/>
            <w:vAlign w:val="bottom"/>
            <w:gridSpan w:val="2"/>
            <w:shd w:val="clear" w:color="auto" w:fill="C00000"/>
          </w:tcPr>
          <w:p>
            <w:pPr>
              <w:jc w:val="right"/>
              <w:ind w:right="239"/>
              <w:spacing w:after="0" w:line="159" w:lineRule="exact"/>
              <w:rPr>
                <w:sz w:val="20"/>
                <w:szCs w:val="20"/>
                <w:color w:val="auto"/>
              </w:rPr>
            </w:pPr>
            <w:r>
              <w:rPr>
                <w:rFonts w:ascii="Arial" w:cs="Arial" w:eastAsia="Arial" w:hAnsi="Arial"/>
                <w:sz w:val="14"/>
                <w:szCs w:val="14"/>
                <w:b w:val="1"/>
                <w:bCs w:val="1"/>
                <w:color w:val="FFFFFF"/>
              </w:rPr>
              <w:t>Stock Awards</w:t>
            </w:r>
          </w:p>
        </w:tc>
        <w:tc>
          <w:tcPr>
            <w:tcW w:w="1540" w:type="dxa"/>
            <w:vAlign w:val="bottom"/>
            <w:gridSpan w:val="2"/>
            <w:shd w:val="clear" w:color="auto" w:fill="C00000"/>
          </w:tcPr>
          <w:p>
            <w:pPr>
              <w:jc w:val="right"/>
              <w:ind w:right="199"/>
              <w:spacing w:after="0" w:line="159" w:lineRule="exact"/>
              <w:rPr>
                <w:sz w:val="20"/>
                <w:szCs w:val="20"/>
                <w:color w:val="auto"/>
              </w:rPr>
            </w:pPr>
            <w:r>
              <w:rPr>
                <w:rFonts w:ascii="Arial" w:cs="Arial" w:eastAsia="Arial" w:hAnsi="Arial"/>
                <w:sz w:val="14"/>
                <w:szCs w:val="14"/>
                <w:b w:val="1"/>
                <w:bCs w:val="1"/>
                <w:color w:val="FFFFFF"/>
              </w:rPr>
              <w:t>Option Awards</w:t>
            </w:r>
          </w:p>
        </w:tc>
        <w:tc>
          <w:tcPr>
            <w:tcW w:w="1500" w:type="dxa"/>
            <w:vAlign w:val="bottom"/>
            <w:gridSpan w:val="2"/>
            <w:shd w:val="clear" w:color="auto" w:fill="C00000"/>
          </w:tcPr>
          <w:p>
            <w:pPr>
              <w:jc w:val="center"/>
              <w:ind w:right="19"/>
              <w:spacing w:after="0" w:line="159" w:lineRule="exact"/>
              <w:rPr>
                <w:sz w:val="20"/>
                <w:szCs w:val="20"/>
                <w:color w:val="auto"/>
              </w:rPr>
            </w:pPr>
            <w:r>
              <w:rPr>
                <w:rFonts w:ascii="Arial" w:cs="Arial" w:eastAsia="Arial" w:hAnsi="Arial"/>
                <w:sz w:val="14"/>
                <w:szCs w:val="14"/>
                <w:b w:val="1"/>
                <w:bCs w:val="1"/>
                <w:color w:val="FFFFFF"/>
              </w:rPr>
              <w:t>Compensation</w:t>
            </w:r>
          </w:p>
        </w:tc>
        <w:tc>
          <w:tcPr>
            <w:tcW w:w="360" w:type="dxa"/>
            <w:vAlign w:val="bottom"/>
            <w:shd w:val="clear" w:color="auto" w:fill="C00000"/>
          </w:tcPr>
          <w:p>
            <w:pPr>
              <w:spacing w:after="0"/>
              <w:rPr>
                <w:sz w:val="13"/>
                <w:szCs w:val="13"/>
                <w:color w:val="auto"/>
              </w:rPr>
            </w:pPr>
          </w:p>
        </w:tc>
        <w:tc>
          <w:tcPr>
            <w:tcW w:w="680" w:type="dxa"/>
            <w:vAlign w:val="bottom"/>
            <w:shd w:val="clear" w:color="auto" w:fill="C00000"/>
          </w:tcPr>
          <w:p>
            <w:pPr>
              <w:ind w:left="40"/>
              <w:spacing w:after="0" w:line="159" w:lineRule="exact"/>
              <w:rPr>
                <w:sz w:val="20"/>
                <w:szCs w:val="20"/>
                <w:color w:val="auto"/>
              </w:rPr>
            </w:pPr>
            <w:r>
              <w:rPr>
                <w:rFonts w:ascii="Arial" w:cs="Arial" w:eastAsia="Arial" w:hAnsi="Arial"/>
                <w:sz w:val="14"/>
                <w:szCs w:val="14"/>
                <w:b w:val="1"/>
                <w:bCs w:val="1"/>
                <w:color w:val="FFFFFF"/>
              </w:rPr>
              <w:t>Total</w:t>
            </w:r>
          </w:p>
        </w:tc>
      </w:tr>
      <w:tr>
        <w:trPr>
          <w:trHeight w:val="192"/>
        </w:trPr>
        <w:tc>
          <w:tcPr>
            <w:tcW w:w="31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760" w:type="dxa"/>
            <w:vAlign w:val="bottom"/>
            <w:gridSpan w:val="2"/>
            <w:shd w:val="clear" w:color="auto" w:fill="C00000"/>
          </w:tcPr>
          <w:p>
            <w:pPr>
              <w:ind w:left="1800"/>
              <w:spacing w:after="0" w:line="19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2"/>
                <w:szCs w:val="22"/>
                <w:b w:val="1"/>
                <w:bCs w:val="1"/>
                <w:color w:val="FFFFFF"/>
                <w:vertAlign w:val="superscript"/>
              </w:rPr>
              <w:t>(1)</w:t>
            </w:r>
          </w:p>
        </w:tc>
        <w:tc>
          <w:tcPr>
            <w:tcW w:w="1460" w:type="dxa"/>
            <w:vAlign w:val="bottom"/>
            <w:gridSpan w:val="2"/>
            <w:shd w:val="clear" w:color="auto" w:fill="C00000"/>
          </w:tcPr>
          <w:p>
            <w:pPr>
              <w:jc w:val="right"/>
              <w:ind w:right="559"/>
              <w:spacing w:after="0" w:line="19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2"/>
                <w:szCs w:val="22"/>
                <w:b w:val="1"/>
                <w:bCs w:val="1"/>
                <w:color w:val="FFFFFF"/>
                <w:vertAlign w:val="superscript"/>
              </w:rPr>
              <w:t>(2)</w:t>
            </w:r>
          </w:p>
        </w:tc>
        <w:tc>
          <w:tcPr>
            <w:tcW w:w="1540" w:type="dxa"/>
            <w:vAlign w:val="bottom"/>
            <w:gridSpan w:val="2"/>
            <w:shd w:val="clear" w:color="auto" w:fill="C00000"/>
          </w:tcPr>
          <w:p>
            <w:pPr>
              <w:jc w:val="center"/>
              <w:ind w:right="59"/>
              <w:spacing w:after="0" w:line="192"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(3)(4)</w:t>
            </w:r>
          </w:p>
        </w:tc>
        <w:tc>
          <w:tcPr>
            <w:tcW w:w="860" w:type="dxa"/>
            <w:vAlign w:val="bottom"/>
            <w:shd w:val="clear" w:color="auto" w:fill="C00000"/>
          </w:tcPr>
          <w:p>
            <w:pPr>
              <w:jc w:val="center"/>
              <w:ind w:left="442"/>
              <w:spacing w:after="0" w:line="19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2"/>
                <w:szCs w:val="22"/>
                <w:b w:val="1"/>
                <w:bCs w:val="1"/>
                <w:color w:val="FFFFFF"/>
                <w:vertAlign w:val="superscript"/>
              </w:rPr>
              <w:t>(5)</w:t>
            </w:r>
          </w:p>
        </w:tc>
        <w:tc>
          <w:tcPr>
            <w:tcW w:w="640" w:type="dxa"/>
            <w:vAlign w:val="bottom"/>
            <w:shd w:val="clear" w:color="auto" w:fill="C00000"/>
          </w:tcPr>
          <w:p>
            <w:pPr>
              <w:spacing w:after="0"/>
              <w:rPr>
                <w:sz w:val="16"/>
                <w:szCs w:val="16"/>
                <w:color w:val="auto"/>
              </w:rPr>
            </w:pPr>
          </w:p>
        </w:tc>
        <w:tc>
          <w:tcPr>
            <w:tcW w:w="360" w:type="dxa"/>
            <w:vAlign w:val="bottom"/>
            <w:shd w:val="clear" w:color="auto" w:fill="C00000"/>
          </w:tcPr>
          <w:p>
            <w:pPr>
              <w:spacing w:after="0"/>
              <w:rPr>
                <w:sz w:val="16"/>
                <w:szCs w:val="16"/>
                <w:color w:val="auto"/>
              </w:rPr>
            </w:pPr>
          </w:p>
        </w:tc>
        <w:tc>
          <w:tcPr>
            <w:tcW w:w="68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w:t>
            </w:r>
          </w:p>
        </w:tc>
      </w:tr>
      <w:tr>
        <w:trPr>
          <w:trHeight w:val="189"/>
        </w:trPr>
        <w:tc>
          <w:tcPr>
            <w:tcW w:w="3120" w:type="dxa"/>
            <w:vAlign w:val="bottom"/>
          </w:tcPr>
          <w:p>
            <w:pPr>
              <w:spacing w:after="0"/>
              <w:rPr>
                <w:sz w:val="20"/>
                <w:szCs w:val="20"/>
                <w:color w:val="auto"/>
              </w:rPr>
            </w:pPr>
            <w:r>
              <w:rPr>
                <w:rFonts w:ascii="Arial" w:cs="Arial" w:eastAsia="Arial" w:hAnsi="Arial"/>
                <w:sz w:val="16"/>
                <w:szCs w:val="16"/>
                <w:color w:val="auto"/>
              </w:rPr>
              <w:t>Robert C. Buhrmaster</w:t>
            </w:r>
          </w:p>
        </w:tc>
        <w:tc>
          <w:tcPr>
            <w:tcW w:w="2760" w:type="dxa"/>
            <w:vAlign w:val="bottom"/>
            <w:gridSpan w:val="2"/>
          </w:tcPr>
          <w:p>
            <w:pPr>
              <w:ind w:left="1800"/>
              <w:spacing w:after="0"/>
              <w:rPr>
                <w:sz w:val="20"/>
                <w:szCs w:val="20"/>
                <w:color w:val="auto"/>
              </w:rPr>
            </w:pPr>
            <w:r>
              <w:rPr>
                <w:rFonts w:ascii="Arial" w:cs="Arial" w:eastAsia="Arial" w:hAnsi="Arial"/>
                <w:sz w:val="16"/>
                <w:szCs w:val="16"/>
                <w:color w:val="auto"/>
              </w:rPr>
              <w:t>$ 120,000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$ 54,997</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8,455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ind w:left="40"/>
              <w:spacing w:after="0"/>
              <w:rPr>
                <w:sz w:val="20"/>
                <w:szCs w:val="20"/>
                <w:color w:val="auto"/>
              </w:rPr>
            </w:pPr>
            <w:r>
              <w:rPr>
                <w:rFonts w:ascii="Arial" w:cs="Arial" w:eastAsia="Arial" w:hAnsi="Arial"/>
                <w:sz w:val="16"/>
                <w:szCs w:val="16"/>
                <w:color w:val="auto"/>
              </w:rPr>
              <w:t>243,264</w:t>
            </w:r>
          </w:p>
        </w:tc>
      </w:tr>
      <w:tr>
        <w:trPr>
          <w:trHeight w:val="189"/>
        </w:trPr>
        <w:tc>
          <w:tcPr>
            <w:tcW w:w="3120" w:type="dxa"/>
            <w:vAlign w:val="bottom"/>
            <w:shd w:val="clear" w:color="auto" w:fill="D9D9D9"/>
          </w:tcPr>
          <w:p>
            <w:pPr>
              <w:spacing w:after="0"/>
              <w:rPr>
                <w:sz w:val="20"/>
                <w:szCs w:val="20"/>
                <w:color w:val="auto"/>
              </w:rPr>
            </w:pPr>
            <w:r>
              <w:rPr>
                <w:rFonts w:ascii="Arial" w:cs="Arial" w:eastAsia="Arial" w:hAnsi="Arial"/>
                <w:sz w:val="16"/>
                <w:szCs w:val="16"/>
                <w:color w:val="auto"/>
              </w:rPr>
              <w:t>Janet K. Cooper</w:t>
            </w:r>
          </w:p>
        </w:tc>
        <w:tc>
          <w:tcPr>
            <w:tcW w:w="2760" w:type="dxa"/>
            <w:vAlign w:val="bottom"/>
            <w:gridSpan w:val="2"/>
            <w:shd w:val="clear" w:color="auto" w:fill="D9D9D9"/>
          </w:tcPr>
          <w:p>
            <w:pPr>
              <w:ind w:left="1800"/>
              <w:spacing w:after="0"/>
              <w:rPr>
                <w:sz w:val="20"/>
                <w:szCs w:val="20"/>
                <w:color w:val="auto"/>
              </w:rPr>
            </w:pPr>
            <w:r>
              <w:rPr>
                <w:rFonts w:ascii="Arial" w:cs="Arial" w:eastAsia="Arial" w:hAnsi="Arial"/>
                <w:sz w:val="16"/>
                <w:szCs w:val="16"/>
                <w:color w:val="auto"/>
              </w:rPr>
              <w:t>$ 110,000</w:t>
            </w:r>
          </w:p>
        </w:tc>
        <w:tc>
          <w:tcPr>
            <w:tcW w:w="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shd w:val="clear" w:color="auto" w:fill="D9D9D9"/>
          </w:tcPr>
          <w:p>
            <w:pPr>
              <w:jc w:val="right"/>
              <w:ind w:right="119"/>
              <w:spacing w:after="0"/>
              <w:rPr>
                <w:sz w:val="20"/>
                <w:szCs w:val="20"/>
                <w:color w:val="auto"/>
              </w:rPr>
            </w:pPr>
            <w:r>
              <w:rPr>
                <w:rFonts w:ascii="Arial" w:cs="Arial" w:eastAsia="Arial" w:hAnsi="Arial"/>
                <w:sz w:val="16"/>
                <w:szCs w:val="16"/>
                <w:color w:val="auto"/>
              </w:rPr>
              <w:t>$ 54,997</w:t>
            </w:r>
          </w:p>
        </w:tc>
        <w:tc>
          <w:tcPr>
            <w:tcW w:w="86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shd w:val="clear" w:color="auto" w:fill="D9D9D9"/>
          </w:tcPr>
          <w:p>
            <w:pPr>
              <w:jc w:val="right"/>
              <w:ind w:right="139"/>
              <w:spacing w:after="0"/>
              <w:rPr>
                <w:sz w:val="20"/>
                <w:szCs w:val="20"/>
                <w:color w:val="auto"/>
              </w:rPr>
            </w:pPr>
            <w:r>
              <w:rPr>
                <w:rFonts w:ascii="Arial" w:cs="Arial" w:eastAsia="Arial" w:hAnsi="Arial"/>
                <w:sz w:val="16"/>
                <w:szCs w:val="16"/>
                <w:color w:val="auto"/>
              </w:rPr>
              <w:t>516</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9D9D9"/>
          </w:tcPr>
          <w:p>
            <w:pPr>
              <w:ind w:left="40"/>
              <w:spacing w:after="0"/>
              <w:rPr>
                <w:sz w:val="20"/>
                <w:szCs w:val="20"/>
                <w:color w:val="auto"/>
              </w:rPr>
            </w:pPr>
            <w:r>
              <w:rPr>
                <w:rFonts w:ascii="Arial" w:cs="Arial" w:eastAsia="Arial" w:hAnsi="Arial"/>
                <w:sz w:val="16"/>
                <w:szCs w:val="16"/>
                <w:color w:val="auto"/>
              </w:rPr>
              <w:t>225,325</w:t>
            </w:r>
          </w:p>
        </w:tc>
      </w:tr>
      <w:tr>
        <w:trPr>
          <w:trHeight w:val="189"/>
        </w:trPr>
        <w:tc>
          <w:tcPr>
            <w:tcW w:w="3120" w:type="dxa"/>
            <w:vAlign w:val="bottom"/>
          </w:tcPr>
          <w:p>
            <w:pPr>
              <w:spacing w:after="0"/>
              <w:rPr>
                <w:sz w:val="20"/>
                <w:szCs w:val="20"/>
                <w:color w:val="auto"/>
              </w:rPr>
            </w:pPr>
            <w:r>
              <w:rPr>
                <w:rFonts w:ascii="Arial" w:cs="Arial" w:eastAsia="Arial" w:hAnsi="Arial"/>
                <w:sz w:val="16"/>
                <w:szCs w:val="16"/>
                <w:color w:val="auto"/>
              </w:rPr>
              <w:t>Gary L. Ellis</w:t>
            </w:r>
          </w:p>
        </w:tc>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59,812</w:t>
            </w:r>
          </w:p>
        </w:tc>
        <w:tc>
          <w:tcPr>
            <w:tcW w:w="800" w:type="dxa"/>
            <w:vAlign w:val="bottom"/>
          </w:tcPr>
          <w:p>
            <w:pPr>
              <w:jc w:val="center"/>
              <w:ind w:left="542"/>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54,997</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5,443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ind w:left="40"/>
              <w:spacing w:after="0"/>
              <w:rPr>
                <w:sz w:val="20"/>
                <w:szCs w:val="20"/>
                <w:color w:val="auto"/>
              </w:rPr>
            </w:pPr>
            <w:r>
              <w:rPr>
                <w:rFonts w:ascii="Arial" w:cs="Arial" w:eastAsia="Arial" w:hAnsi="Arial"/>
                <w:sz w:val="16"/>
                <w:szCs w:val="16"/>
                <w:color w:val="auto"/>
              </w:rPr>
              <w:t>220,252</w:t>
            </w:r>
          </w:p>
        </w:tc>
      </w:tr>
      <w:tr>
        <w:trPr>
          <w:trHeight w:val="189"/>
        </w:trPr>
        <w:tc>
          <w:tcPr>
            <w:tcW w:w="3120" w:type="dxa"/>
            <w:vAlign w:val="bottom"/>
            <w:shd w:val="clear" w:color="auto" w:fill="D9D9D9"/>
          </w:tcPr>
          <w:p>
            <w:pPr>
              <w:spacing w:after="0" w:line="189" w:lineRule="exact"/>
              <w:rPr>
                <w:sz w:val="20"/>
                <w:szCs w:val="20"/>
                <w:color w:val="auto"/>
              </w:rPr>
            </w:pPr>
            <w:r>
              <w:rPr>
                <w:rFonts w:ascii="Arial" w:cs="Arial" w:eastAsia="Arial" w:hAnsi="Arial"/>
                <w:sz w:val="13"/>
                <w:szCs w:val="13"/>
                <w:color w:val="auto"/>
              </w:rPr>
              <w:t>Jeffrey M. Ettinger</w:t>
            </w:r>
            <w:r>
              <w:rPr>
                <w:rFonts w:ascii="Arial" w:cs="Arial" w:eastAsia="Arial" w:hAnsi="Arial"/>
                <w:sz w:val="21"/>
                <w:szCs w:val="21"/>
                <w:color w:val="auto"/>
                <w:vertAlign w:val="superscript"/>
              </w:rPr>
              <w:t>(6)</w:t>
            </w:r>
          </w:p>
        </w:tc>
        <w:tc>
          <w:tcPr>
            <w:tcW w:w="1920" w:type="dxa"/>
            <w:vAlign w:val="bottom"/>
            <w:shd w:val="clear" w:color="auto" w:fill="D9D9D9"/>
          </w:tcPr>
          <w:p>
            <w:pPr>
              <w:ind w:left="1800"/>
              <w:spacing w:after="0"/>
              <w:rPr>
                <w:sz w:val="20"/>
                <w:szCs w:val="20"/>
                <w:color w:val="auto"/>
              </w:rPr>
            </w:pPr>
            <w:r>
              <w:rPr>
                <w:rFonts w:ascii="Arial" w:cs="Arial" w:eastAsia="Arial" w:hAnsi="Arial"/>
                <w:sz w:val="16"/>
                <w:szCs w:val="16"/>
                <w:color w:val="auto"/>
              </w:rPr>
              <w:t>$</w:t>
            </w:r>
          </w:p>
        </w:tc>
        <w:tc>
          <w:tcPr>
            <w:tcW w:w="8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90,000</w:t>
            </w:r>
          </w:p>
        </w:tc>
        <w:tc>
          <w:tcPr>
            <w:tcW w:w="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59,812</w:t>
            </w:r>
          </w:p>
        </w:tc>
        <w:tc>
          <w:tcPr>
            <w:tcW w:w="800" w:type="dxa"/>
            <w:vAlign w:val="bottom"/>
            <w:shd w:val="clear" w:color="auto" w:fill="D9D9D9"/>
          </w:tcPr>
          <w:p>
            <w:pPr>
              <w:jc w:val="center"/>
              <w:ind w:left="542"/>
              <w:spacing w:after="0"/>
              <w:rPr>
                <w:sz w:val="20"/>
                <w:szCs w:val="20"/>
                <w:color w:val="auto"/>
              </w:rPr>
            </w:pPr>
            <w:r>
              <w:rPr>
                <w:rFonts w:ascii="Arial" w:cs="Arial" w:eastAsia="Arial" w:hAnsi="Arial"/>
                <w:sz w:val="16"/>
                <w:szCs w:val="16"/>
                <w:color w:val="auto"/>
              </w:rPr>
              <w:t>$</w:t>
            </w:r>
          </w:p>
        </w:tc>
        <w:tc>
          <w:tcPr>
            <w:tcW w:w="7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54,997</w:t>
            </w:r>
          </w:p>
        </w:tc>
        <w:tc>
          <w:tcPr>
            <w:tcW w:w="860" w:type="dxa"/>
            <w:vAlign w:val="bottom"/>
            <w:shd w:val="clear" w:color="auto" w:fill="D9D9D9"/>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shd w:val="clear" w:color="auto" w:fill="D9D9D9"/>
          </w:tcPr>
          <w:p>
            <w:pPr>
              <w:jc w:val="right"/>
              <w:ind w:right="139"/>
              <w:spacing w:after="0"/>
              <w:rPr>
                <w:sz w:val="20"/>
                <w:szCs w:val="20"/>
                <w:color w:val="auto"/>
              </w:rPr>
            </w:pPr>
            <w:r>
              <w:rPr>
                <w:rFonts w:ascii="Arial" w:cs="Arial" w:eastAsia="Arial" w:hAnsi="Arial"/>
                <w:sz w:val="16"/>
                <w:szCs w:val="16"/>
                <w:color w:val="auto"/>
              </w:rPr>
              <w:t>808</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9D9D9"/>
          </w:tcPr>
          <w:p>
            <w:pPr>
              <w:ind w:left="40"/>
              <w:spacing w:after="0"/>
              <w:rPr>
                <w:sz w:val="20"/>
                <w:szCs w:val="20"/>
                <w:color w:val="auto"/>
              </w:rPr>
            </w:pPr>
            <w:r>
              <w:rPr>
                <w:rFonts w:ascii="Arial" w:cs="Arial" w:eastAsia="Arial" w:hAnsi="Arial"/>
                <w:sz w:val="16"/>
                <w:szCs w:val="16"/>
                <w:color w:val="auto"/>
              </w:rPr>
              <w:t>205,617</w:t>
            </w: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3"/>
                <w:szCs w:val="13"/>
                <w:color w:val="auto"/>
              </w:rPr>
              <w:t>Katherine J. Harless</w:t>
            </w:r>
            <w:r>
              <w:rPr>
                <w:rFonts w:ascii="Arial" w:cs="Arial" w:eastAsia="Arial" w:hAnsi="Arial"/>
                <w:sz w:val="21"/>
                <w:szCs w:val="21"/>
                <w:color w:val="auto"/>
                <w:vertAlign w:val="superscript"/>
              </w:rPr>
              <w:t>(7)</w:t>
            </w:r>
          </w:p>
        </w:tc>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96,000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59,812</w:t>
            </w:r>
          </w:p>
        </w:tc>
        <w:tc>
          <w:tcPr>
            <w:tcW w:w="800" w:type="dxa"/>
            <w:vAlign w:val="bottom"/>
          </w:tcPr>
          <w:p>
            <w:pPr>
              <w:jc w:val="center"/>
              <w:ind w:left="542"/>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54,997</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5,036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ind w:left="40"/>
              <w:spacing w:after="0"/>
              <w:rPr>
                <w:sz w:val="20"/>
                <w:szCs w:val="20"/>
                <w:color w:val="auto"/>
              </w:rPr>
            </w:pPr>
            <w:r>
              <w:rPr>
                <w:rFonts w:ascii="Arial" w:cs="Arial" w:eastAsia="Arial" w:hAnsi="Arial"/>
                <w:sz w:val="16"/>
                <w:szCs w:val="16"/>
                <w:color w:val="auto"/>
              </w:rPr>
              <w:t>215,845</w:t>
            </w:r>
          </w:p>
        </w:tc>
      </w:tr>
      <w:tr>
        <w:trPr>
          <w:trHeight w:val="189"/>
        </w:trPr>
        <w:tc>
          <w:tcPr>
            <w:tcW w:w="3120" w:type="dxa"/>
            <w:vAlign w:val="bottom"/>
            <w:shd w:val="clear" w:color="auto" w:fill="D9D9D9"/>
          </w:tcPr>
          <w:p>
            <w:pPr>
              <w:spacing w:after="0"/>
              <w:rPr>
                <w:sz w:val="20"/>
                <w:szCs w:val="20"/>
                <w:color w:val="auto"/>
              </w:rPr>
            </w:pPr>
            <w:r>
              <w:rPr>
                <w:rFonts w:ascii="Arial" w:cs="Arial" w:eastAsia="Arial" w:hAnsi="Arial"/>
                <w:sz w:val="16"/>
                <w:szCs w:val="16"/>
                <w:color w:val="auto"/>
              </w:rPr>
              <w:t>D. Christian Koch</w:t>
            </w:r>
          </w:p>
        </w:tc>
        <w:tc>
          <w:tcPr>
            <w:tcW w:w="1920" w:type="dxa"/>
            <w:vAlign w:val="bottom"/>
            <w:shd w:val="clear" w:color="auto" w:fill="D9D9D9"/>
          </w:tcPr>
          <w:p>
            <w:pPr>
              <w:ind w:left="1800"/>
              <w:spacing w:after="0"/>
              <w:rPr>
                <w:sz w:val="20"/>
                <w:szCs w:val="20"/>
                <w:color w:val="auto"/>
              </w:rPr>
            </w:pPr>
            <w:r>
              <w:rPr>
                <w:rFonts w:ascii="Arial" w:cs="Arial" w:eastAsia="Arial" w:hAnsi="Arial"/>
                <w:sz w:val="16"/>
                <w:szCs w:val="16"/>
                <w:color w:val="auto"/>
              </w:rPr>
              <w:t>$</w:t>
            </w:r>
          </w:p>
        </w:tc>
        <w:tc>
          <w:tcPr>
            <w:tcW w:w="8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95,000</w:t>
            </w:r>
          </w:p>
        </w:tc>
        <w:tc>
          <w:tcPr>
            <w:tcW w:w="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shd w:val="clear" w:color="auto" w:fill="D9D9D9"/>
          </w:tcPr>
          <w:p>
            <w:pPr>
              <w:jc w:val="right"/>
              <w:ind w:right="119"/>
              <w:spacing w:after="0"/>
              <w:rPr>
                <w:sz w:val="20"/>
                <w:szCs w:val="20"/>
                <w:color w:val="auto"/>
              </w:rPr>
            </w:pPr>
            <w:r>
              <w:rPr>
                <w:rFonts w:ascii="Arial" w:cs="Arial" w:eastAsia="Arial" w:hAnsi="Arial"/>
                <w:sz w:val="16"/>
                <w:szCs w:val="16"/>
                <w:color w:val="auto"/>
              </w:rPr>
              <w:t>$ 54,997</w:t>
            </w:r>
          </w:p>
        </w:tc>
        <w:tc>
          <w:tcPr>
            <w:tcW w:w="1500" w:type="dxa"/>
            <w:vAlign w:val="bottom"/>
            <w:gridSpan w:val="2"/>
            <w:shd w:val="clear" w:color="auto" w:fill="D9D9D9"/>
          </w:tcPr>
          <w:p>
            <w:pPr>
              <w:jc w:val="right"/>
              <w:ind w:right="139"/>
              <w:spacing w:after="0"/>
              <w:rPr>
                <w:sz w:val="20"/>
                <w:szCs w:val="20"/>
                <w:color w:val="auto"/>
              </w:rPr>
            </w:pPr>
            <w:r>
              <w:rPr>
                <w:rFonts w:ascii="Arial" w:cs="Arial" w:eastAsia="Arial" w:hAnsi="Arial"/>
                <w:sz w:val="16"/>
                <w:szCs w:val="16"/>
                <w:color w:val="auto"/>
              </w:rPr>
              <w:t>$ 11,071</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9D9D9"/>
          </w:tcPr>
          <w:p>
            <w:pPr>
              <w:ind w:left="40"/>
              <w:spacing w:after="0"/>
              <w:rPr>
                <w:sz w:val="20"/>
                <w:szCs w:val="20"/>
                <w:color w:val="auto"/>
              </w:rPr>
            </w:pPr>
            <w:r>
              <w:rPr>
                <w:rFonts w:ascii="Arial" w:cs="Arial" w:eastAsia="Arial" w:hAnsi="Arial"/>
                <w:sz w:val="16"/>
                <w:szCs w:val="16"/>
                <w:color w:val="auto"/>
              </w:rPr>
              <w:t>220,880</w:t>
            </w:r>
          </w:p>
        </w:tc>
      </w:tr>
      <w:tr>
        <w:trPr>
          <w:trHeight w:val="189"/>
        </w:trPr>
        <w:tc>
          <w:tcPr>
            <w:tcW w:w="3120" w:type="dxa"/>
            <w:vAlign w:val="bottom"/>
          </w:tcPr>
          <w:p>
            <w:pPr>
              <w:spacing w:after="0"/>
              <w:rPr>
                <w:sz w:val="20"/>
                <w:szCs w:val="20"/>
                <w:color w:val="auto"/>
              </w:rPr>
            </w:pPr>
            <w:r>
              <w:rPr>
                <w:rFonts w:ascii="Arial" w:cs="Arial" w:eastAsia="Arial" w:hAnsi="Arial"/>
                <w:sz w:val="16"/>
                <w:szCs w:val="16"/>
                <w:color w:val="auto"/>
              </w:rPr>
              <w:t>James C. O’Rourke</w:t>
            </w:r>
          </w:p>
        </w:tc>
        <w:tc>
          <w:tcPr>
            <w:tcW w:w="1920" w:type="dxa"/>
            <w:vAlign w:val="bottom"/>
          </w:tcPr>
          <w:p>
            <w:pPr>
              <w:ind w:left="18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95,000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$ 54,997</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456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ind w:left="40"/>
              <w:spacing w:after="0"/>
              <w:rPr>
                <w:sz w:val="20"/>
                <w:szCs w:val="20"/>
                <w:color w:val="auto"/>
              </w:rPr>
            </w:pPr>
            <w:r>
              <w:rPr>
                <w:rFonts w:ascii="Arial" w:cs="Arial" w:eastAsia="Arial" w:hAnsi="Arial"/>
                <w:sz w:val="16"/>
                <w:szCs w:val="16"/>
                <w:color w:val="auto"/>
              </w:rPr>
              <w:t>210,265</w:t>
            </w:r>
          </w:p>
        </w:tc>
      </w:tr>
      <w:tr>
        <w:trPr>
          <w:trHeight w:val="189"/>
        </w:trPr>
        <w:tc>
          <w:tcPr>
            <w:tcW w:w="3120" w:type="dxa"/>
            <w:vAlign w:val="bottom"/>
            <w:shd w:val="clear" w:color="auto" w:fill="D9D9D9"/>
          </w:tcPr>
          <w:p>
            <w:pPr>
              <w:spacing w:after="0"/>
              <w:rPr>
                <w:sz w:val="20"/>
                <w:szCs w:val="20"/>
                <w:color w:val="auto"/>
              </w:rPr>
            </w:pPr>
            <w:r>
              <w:rPr>
                <w:rFonts w:ascii="Arial" w:cs="Arial" w:eastAsia="Arial" w:hAnsi="Arial"/>
                <w:sz w:val="16"/>
                <w:szCs w:val="16"/>
                <w:color w:val="auto"/>
              </w:rPr>
              <w:t>Gregg W. Steinhafel</w:t>
            </w:r>
          </w:p>
        </w:tc>
        <w:tc>
          <w:tcPr>
            <w:tcW w:w="1920" w:type="dxa"/>
            <w:vAlign w:val="bottom"/>
            <w:shd w:val="clear" w:color="auto" w:fill="D9D9D9"/>
          </w:tcPr>
          <w:p>
            <w:pPr>
              <w:ind w:left="1800"/>
              <w:spacing w:after="0"/>
              <w:rPr>
                <w:sz w:val="20"/>
                <w:szCs w:val="20"/>
                <w:color w:val="auto"/>
              </w:rPr>
            </w:pPr>
            <w:r>
              <w:rPr>
                <w:rFonts w:ascii="Arial" w:cs="Arial" w:eastAsia="Arial" w:hAnsi="Arial"/>
                <w:sz w:val="16"/>
                <w:szCs w:val="16"/>
                <w:color w:val="auto"/>
              </w:rPr>
              <w:t>$</w:t>
            </w:r>
          </w:p>
        </w:tc>
        <w:tc>
          <w:tcPr>
            <w:tcW w:w="840" w:type="dxa"/>
            <w:vAlign w:val="bottom"/>
            <w:shd w:val="clear" w:color="auto" w:fill="D9D9D9"/>
          </w:tcPr>
          <w:p>
            <w:pPr>
              <w:jc w:val="right"/>
              <w:ind w:right="119"/>
              <w:spacing w:after="0"/>
              <w:rPr>
                <w:sz w:val="20"/>
                <w:szCs w:val="20"/>
                <w:color w:val="auto"/>
              </w:rPr>
            </w:pPr>
            <w:r>
              <w:rPr>
                <w:rFonts w:ascii="Arial" w:cs="Arial" w:eastAsia="Arial" w:hAnsi="Arial"/>
                <w:sz w:val="16"/>
                <w:szCs w:val="16"/>
                <w:color w:val="auto"/>
              </w:rPr>
              <w:t>90,000</w:t>
            </w:r>
          </w:p>
        </w:tc>
        <w:tc>
          <w:tcPr>
            <w:tcW w:w="6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shd w:val="clear" w:color="auto" w:fill="D9D9D9"/>
          </w:tcPr>
          <w:p>
            <w:pPr>
              <w:jc w:val="right"/>
              <w:ind w:right="119"/>
              <w:spacing w:after="0"/>
              <w:rPr>
                <w:sz w:val="20"/>
                <w:szCs w:val="20"/>
                <w:color w:val="auto"/>
              </w:rPr>
            </w:pPr>
            <w:r>
              <w:rPr>
                <w:rFonts w:ascii="Arial" w:cs="Arial" w:eastAsia="Arial" w:hAnsi="Arial"/>
                <w:sz w:val="16"/>
                <w:szCs w:val="16"/>
                <w:color w:val="auto"/>
              </w:rPr>
              <w:t>$ 54,997</w:t>
            </w:r>
          </w:p>
        </w:tc>
        <w:tc>
          <w:tcPr>
            <w:tcW w:w="1500" w:type="dxa"/>
            <w:vAlign w:val="bottom"/>
            <w:gridSpan w:val="2"/>
            <w:shd w:val="clear" w:color="auto" w:fill="D9D9D9"/>
          </w:tcPr>
          <w:p>
            <w:pPr>
              <w:jc w:val="right"/>
              <w:ind w:right="139"/>
              <w:spacing w:after="0"/>
              <w:rPr>
                <w:sz w:val="20"/>
                <w:szCs w:val="20"/>
                <w:color w:val="auto"/>
              </w:rPr>
            </w:pPr>
            <w:r>
              <w:rPr>
                <w:rFonts w:ascii="Arial" w:cs="Arial" w:eastAsia="Arial" w:hAnsi="Arial"/>
                <w:sz w:val="16"/>
                <w:szCs w:val="16"/>
                <w:color w:val="auto"/>
              </w:rPr>
              <w:t>$ 20,944</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9D9D9"/>
          </w:tcPr>
          <w:p>
            <w:pPr>
              <w:ind w:left="40"/>
              <w:spacing w:after="0"/>
              <w:rPr>
                <w:sz w:val="20"/>
                <w:szCs w:val="20"/>
                <w:color w:val="auto"/>
              </w:rPr>
            </w:pPr>
            <w:r>
              <w:rPr>
                <w:rFonts w:ascii="Arial" w:cs="Arial" w:eastAsia="Arial" w:hAnsi="Arial"/>
                <w:sz w:val="16"/>
                <w:szCs w:val="16"/>
                <w:color w:val="auto"/>
              </w:rPr>
              <w:t>225,753</w:t>
            </w:r>
          </w:p>
        </w:tc>
      </w:tr>
      <w:tr>
        <w:trPr>
          <w:trHeight w:val="197"/>
        </w:trPr>
        <w:tc>
          <w:tcPr>
            <w:tcW w:w="3120" w:type="dxa"/>
            <w:vAlign w:val="bottom"/>
          </w:tcPr>
          <w:p>
            <w:pPr>
              <w:spacing w:after="0"/>
              <w:rPr>
                <w:sz w:val="20"/>
                <w:szCs w:val="20"/>
                <w:color w:val="auto"/>
              </w:rPr>
            </w:pPr>
            <w:r>
              <w:rPr>
                <w:rFonts w:ascii="Arial" w:cs="Arial" w:eastAsia="Arial" w:hAnsi="Arial"/>
                <w:sz w:val="16"/>
                <w:szCs w:val="16"/>
                <w:color w:val="auto"/>
              </w:rPr>
              <w:t>Christopher A. Twomey</w:t>
            </w:r>
          </w:p>
        </w:tc>
        <w:tc>
          <w:tcPr>
            <w:tcW w:w="2760" w:type="dxa"/>
            <w:vAlign w:val="bottom"/>
            <w:gridSpan w:val="2"/>
          </w:tcPr>
          <w:p>
            <w:pPr>
              <w:ind w:left="1800"/>
              <w:spacing w:after="0"/>
              <w:rPr>
                <w:sz w:val="20"/>
                <w:szCs w:val="20"/>
                <w:color w:val="auto"/>
              </w:rPr>
            </w:pPr>
            <w:r>
              <w:rPr>
                <w:rFonts w:ascii="Arial" w:cs="Arial" w:eastAsia="Arial" w:hAnsi="Arial"/>
                <w:sz w:val="16"/>
                <w:szCs w:val="16"/>
                <w:color w:val="auto"/>
              </w:rPr>
              <w:t>$ 100,000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59,812</w:t>
            </w:r>
          </w:p>
        </w:tc>
        <w:tc>
          <w:tcPr>
            <w:tcW w:w="1540" w:type="dxa"/>
            <w:vAlign w:val="bottom"/>
            <w:gridSpan w:val="2"/>
          </w:tcPr>
          <w:p>
            <w:pPr>
              <w:jc w:val="right"/>
              <w:ind w:right="119"/>
              <w:spacing w:after="0"/>
              <w:rPr>
                <w:sz w:val="20"/>
                <w:szCs w:val="20"/>
                <w:color w:val="auto"/>
              </w:rPr>
            </w:pPr>
            <w:r>
              <w:rPr>
                <w:rFonts w:ascii="Arial" w:cs="Arial" w:eastAsia="Arial" w:hAnsi="Arial"/>
                <w:sz w:val="16"/>
                <w:szCs w:val="16"/>
                <w:color w:val="auto"/>
              </w:rPr>
              <w:t>$ 54,997</w:t>
            </w:r>
          </w:p>
        </w:tc>
        <w:tc>
          <w:tcPr>
            <w:tcW w:w="8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4,456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ind w:left="40"/>
              <w:spacing w:after="0"/>
              <w:rPr>
                <w:sz w:val="20"/>
                <w:szCs w:val="20"/>
                <w:color w:val="auto"/>
              </w:rPr>
            </w:pPr>
            <w:r>
              <w:rPr>
                <w:rFonts w:ascii="Arial" w:cs="Arial" w:eastAsia="Arial" w:hAnsi="Arial"/>
                <w:sz w:val="16"/>
                <w:szCs w:val="16"/>
                <w:color w:val="auto"/>
              </w:rPr>
              <w:t>219,265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865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1" w:lineRule="exact"/>
        <w:rPr>
          <w:sz w:val="20"/>
          <w:szCs w:val="20"/>
          <w:color w:val="auto"/>
        </w:rPr>
      </w:pPr>
    </w:p>
    <w:p>
      <w:pPr>
        <w:ind w:left="460" w:right="32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a director otherwise elected to convert a portion or all of his or her annual retainers into shares of our common stock under our Amended and Restated 2010 Plan, annual retainers were paid in cash in four quarterly installments at the beginning of each fiscal quarter.</w:t>
      </w:r>
    </w:p>
    <w:p>
      <w:pPr>
        <w:spacing w:after="0" w:line="67" w:lineRule="exact"/>
        <w:rPr>
          <w:rFonts w:ascii="Arial" w:cs="Arial" w:eastAsia="Arial" w:hAnsi="Arial"/>
          <w:sz w:val="18"/>
          <w:szCs w:val="18"/>
          <w:color w:val="auto"/>
        </w:rPr>
      </w:pPr>
    </w:p>
    <w:p>
      <w:pPr>
        <w:ind w:left="460" w:right="100" w:hanging="452"/>
        <w:spacing w:after="0" w:line="23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1, 2016, 1,268 shares of our common stock were granted to each non-employee director with the calculation based on the average of the closing prices of our common stock, as reported on the NYSE, during the three months prior to the grant, which was $47.31. However, the amount reported in the table represents the grant date fair value, computed in accordance with Financial Accounting Standards Board (FASB) Accounting Standard Codification (ASC) Topic 718. The closing price on the grant date of $47.17 was used in calculating the grant date fair value. The automatic grant of stock awards on November 1, 2016, were the only stock awards granted to directors during fiscal 2017. As of October 31, 2017, no directors held any restricted stock or other unvested stock awards.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40" w:hanging="452"/>
        <w:spacing w:after="0" w:line="24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November 1, 2016, a stock option to purchase 4,951 shares of our common stock was granted to each non-employee director. The amount reported in the table represents the grant date fair value computed in accordance with FASB ASC Topic 718. The grant date fair value is based on a Black-Scholes model valuation of $11.1082 per share. The following assumptions were used in the Black-Scholes calculation: a risk-free interest rate of 1.69%; expected life of 6.3 years; expected volatility of 24.51%; and an expected dividend yield of</w:t>
      </w:r>
    </w:p>
    <w:p>
      <w:pPr>
        <w:spacing w:after="0" w:line="2" w:lineRule="exact"/>
        <w:rPr>
          <w:rFonts w:ascii="Arial" w:cs="Arial" w:eastAsia="Arial" w:hAnsi="Arial"/>
          <w:sz w:val="17"/>
          <w:szCs w:val="17"/>
          <w:color w:val="auto"/>
        </w:rPr>
      </w:pPr>
    </w:p>
    <w:p>
      <w:pPr>
        <w:ind w:left="460"/>
        <w:spacing w:after="0" w:line="238" w:lineRule="auto"/>
        <w:rPr>
          <w:rFonts w:ascii="Arial" w:cs="Arial" w:eastAsia="Arial" w:hAnsi="Arial"/>
          <w:sz w:val="17"/>
          <w:szCs w:val="17"/>
          <w:color w:val="auto"/>
        </w:rPr>
      </w:pPr>
      <w:r>
        <w:rPr>
          <w:rFonts w:ascii="Arial" w:cs="Arial" w:eastAsia="Arial" w:hAnsi="Arial"/>
          <w:sz w:val="18"/>
          <w:szCs w:val="18"/>
          <w:color w:val="auto"/>
        </w:rPr>
        <w:t>1.27%. The exercise price per share is equal to 100% of the fair market value of one share of our common stock on the date of grant, as determined by the closing price for our common stock, as reported on the NYSE, which was $47.17 on November 1, 2016. The actual value of the stock option awards, if any, to be realized by a director depends upon whether the price of our common stock at exercise is greater than the exercise price of the stock options. The automatic grant of stock option awards on November 1, 2016 were the only stock options granted to directors during fiscal 2017.</w:t>
      </w:r>
    </w:p>
    <w:p>
      <w:pPr>
        <w:spacing w:after="0" w:line="67" w:lineRule="exact"/>
        <w:rPr>
          <w:rFonts w:ascii="Arial" w:cs="Arial" w:eastAsia="Arial" w:hAnsi="Arial"/>
          <w:sz w:val="17"/>
          <w:szCs w:val="17"/>
          <w:color w:val="auto"/>
        </w:rPr>
      </w:pPr>
    </w:p>
    <w:p>
      <w:pPr>
        <w:ind w:left="460" w:right="360" w:hanging="452"/>
        <w:spacing w:after="0" w:line="24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of October 31, 2017, the aggregate number of stock options (exercisable and unexercisable) held by each director was as follows: Mr. Buhrmaster—74,875; Ms. Cooper—61,527; Mr. Ellis—74,875; Mr. Ettinger—46,419; Ms. Harless—50,527; Mr. Koch—4,951;</w:t>
      </w:r>
    </w:p>
    <w:p>
      <w:pPr>
        <w:spacing w:after="0" w:line="1" w:lineRule="exact"/>
        <w:rPr>
          <w:rFonts w:ascii="Arial" w:cs="Arial" w:eastAsia="Arial" w:hAnsi="Arial"/>
          <w:sz w:val="17"/>
          <w:szCs w:val="17"/>
          <w:color w:val="auto"/>
        </w:rPr>
      </w:pPr>
    </w:p>
    <w:p>
      <w:pPr>
        <w:ind w:left="460" w:right="60"/>
        <w:spacing w:after="0" w:line="239" w:lineRule="auto"/>
        <w:rPr>
          <w:rFonts w:ascii="Arial" w:cs="Arial" w:eastAsia="Arial" w:hAnsi="Arial"/>
          <w:sz w:val="17"/>
          <w:szCs w:val="17"/>
          <w:color w:val="auto"/>
        </w:rPr>
      </w:pPr>
      <w:r>
        <w:rPr>
          <w:rFonts w:ascii="Arial" w:cs="Arial" w:eastAsia="Arial" w:hAnsi="Arial"/>
          <w:sz w:val="18"/>
          <w:szCs w:val="18"/>
          <w:color w:val="auto"/>
        </w:rPr>
        <w:t>Mr. O’Rourke—20,285; Mr. Steinhafel—15,181; and Mr. Twomey—46,419. These numbers are different from the numbers set forth in the “Stock Options” column in footnote (2) to the “Directors and Executive Officers” stock ownership table beginning on page 6 which (i) sets forth information as of January 26, 2018 and (ii) does not include options that will become exercisable more than 60 days after January 26, 2018.</w:t>
      </w:r>
    </w:p>
    <w:p>
      <w:pPr>
        <w:spacing w:after="0" w:line="66" w:lineRule="exact"/>
        <w:rPr>
          <w:rFonts w:ascii="Arial" w:cs="Arial" w:eastAsia="Arial" w:hAnsi="Arial"/>
          <w:sz w:val="17"/>
          <w:szCs w:val="17"/>
          <w:color w:val="auto"/>
        </w:rPr>
      </w:pPr>
    </w:p>
    <w:p>
      <w:pPr>
        <w:ind w:left="460" w:right="60" w:hanging="452"/>
        <w:spacing w:after="0" w:line="23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The amount reported includes for (i) each non-employee director the value of products, parts, service or accessories, as described under “Company Products” on page 23; (ii) each of Ms. Harless and Messrs. Koch and Twomey a charitable donation under our director matching gift program, as described under “Charitable Giving” on page 23; and (iii) each of Ms. Cooper and Messrs. Ettinger, Koch and Steinhafel the incremental cost to the Company for spousal travel in connection with an off-site board meeting.</w:t>
      </w:r>
    </w:p>
    <w:p>
      <w:pPr>
        <w:spacing w:after="0" w:line="67" w:lineRule="exact"/>
        <w:rPr>
          <w:rFonts w:ascii="Arial" w:cs="Arial" w:eastAsia="Arial" w:hAnsi="Arial"/>
          <w:sz w:val="18"/>
          <w:szCs w:val="18"/>
          <w:color w:val="auto"/>
        </w:rPr>
      </w:pPr>
    </w:p>
    <w:p>
      <w:pPr>
        <w:ind w:left="460" w:right="160" w:hanging="452"/>
        <w:spacing w:after="0" w:line="23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Ettinger elected to convert his calendar 2016 and calendar 2017 retainers into shares of our common stock under the Amended and Restated 2010 Plan. On December 15, 2017, based on that day’s closing stock price of $64.70, as reported on the NYSE, Mr. Ettinger received 1,402 shares of our common stock in lieu of $90,709 cash that would have been paid in calendar 2017. The amount shown in the “Fees Earned or Paid in Cash” column represents the amount he earned for fiscal 2017.</w:t>
      </w:r>
    </w:p>
    <w:p>
      <w:pPr>
        <w:spacing w:after="0" w:line="66" w:lineRule="exact"/>
        <w:rPr>
          <w:rFonts w:ascii="Arial" w:cs="Arial" w:eastAsia="Arial" w:hAnsi="Arial"/>
          <w:sz w:val="18"/>
          <w:szCs w:val="18"/>
          <w:color w:val="auto"/>
        </w:rPr>
      </w:pPr>
    </w:p>
    <w:p>
      <w:pPr>
        <w:ind w:left="460" w:right="200" w:hanging="452"/>
        <w:spacing w:after="0" w:line="24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Ms. Harless elected to defer receipt of her (i) calendar 2016 and calendar 2017 retainers earned in fiscal 2016, and (ii) the annual stock award granted on November 1, 2016, each under the Deferred Plan for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Related Person Transactions and Policies and Procedures Regarding Related Person Transactions</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6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780" w:right="16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95"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are not material to our business or the business of such unaffiliated corporation, are deemed conclusively pre-approved.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Board of Directors Business Ethics Policy Statement</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Code of Conduct and Code of Ethics for our CEO and Senior Financial Personnel</w:t>
      </w:r>
    </w:p>
    <w:p>
      <w:pPr>
        <w:spacing w:after="0" w:line="126" w:lineRule="exact"/>
        <w:rPr>
          <w:sz w:val="20"/>
          <w:szCs w:val="20"/>
          <w:color w:val="auto"/>
        </w:rPr>
      </w:pPr>
    </w:p>
    <w:p>
      <w:pPr>
        <w:ind w:right="240" w:firstLine="456"/>
        <w:spacing w:after="0" w:line="236"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 Personnel applicable to our CEO (our principal executive officer), our Vice President, Treasurer and Chief Financial Officer (our principal financial and accounting officer), our Director, Corporate Controller and to all business unit controllers and senior accounting personnel identified by our Director, Corporate Controller who are also bound by the provisions set forth in the Code of Conduct relating to ethical conduct, conflicts of interest and compliance with the law. Our Code of Conduct and Code of Ethics for our CEO and Senior Financial Personnel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Personnel by posting such information on our website at www.thetorocompany.com (select the “Investor Information” link and then the “Corporate Governance” link).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Communications with Directors; Complaint Procedures</w:t>
      </w:r>
    </w:p>
    <w:p>
      <w:pPr>
        <w:spacing w:after="0" w:line="126"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Shareholders and other interested parties may communicate directly with our Board of Directors, our Board committees, our non-employee directors as a group, our Lead Independent Director, or any other specified individual director in writing by (i) sending a letter addressed to The Toro Company Board of Directors, c/o Vice President, Secretary and General Counsel, 8111 Lyndale Avenue South, Bloomington, Minnesota, 55420-1196, or (ii) sending an email to boardofdirectors@toro.com. Substantive communications, such as corporate governance matters or potential issues relating to accounting, internal controls or other auditing matters, are forwarded by our Vice President, Secretary and General Counsel to the relevant director(s) as appropriate. Communications not requiring the substantive attention of our Board, such as employment inquiries, sales solicitations, donation requests, questions about our products, and other such matters, are handled directly by our Management.</w:t>
      </w:r>
    </w:p>
    <w:p>
      <w:pPr>
        <w:spacing w:after="0" w:line="100" w:lineRule="exact"/>
        <w:rPr>
          <w:sz w:val="20"/>
          <w:szCs w:val="20"/>
          <w:color w:val="auto"/>
        </w:rPr>
      </w:pPr>
    </w:p>
    <w:p>
      <w:pPr>
        <w:ind w:right="40" w:firstLine="456"/>
        <w:spacing w:after="0" w:line="234" w:lineRule="auto"/>
        <w:rPr>
          <w:sz w:val="20"/>
          <w:szCs w:val="20"/>
          <w:color w:val="auto"/>
        </w:rPr>
      </w:pPr>
      <w:r>
        <w:rPr>
          <w:rFonts w:ascii="Arial" w:cs="Arial" w:eastAsia="Arial" w:hAnsi="Arial"/>
          <w:sz w:val="18"/>
          <w:szCs w:val="18"/>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 A</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PROPOSAL TWO—RATIFICATION OF SELECTION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66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FFFFFF"/>
        </w:rPr>
        <w:t>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Selection of Independent Registered Public Accounting Firm</w:t>
      </w:r>
    </w:p>
    <w:p>
      <w:pPr>
        <w:spacing w:after="0" w:line="126"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Audit Committee selects our external auditor. In this regard, the Audit Committee evaluates the qualifications, performance and independence of our external auditor and determines whether to re-engage the current external auditor. As part of its evaluation, the Audit Committee considers, among other factors, the quality and efficiency of the services provided by the external auditor, including the performance, technical expertise, 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 auditor’s fees. Upon consideration of these and other factors, the Audit Committee has selected KPMG LLP, or KPMG, to serve as our external auditor for fiscal 2018.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98"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Audit, Audit-Related, Tax and Other Fees</w:t>
      </w:r>
    </w:p>
    <w:p>
      <w:pPr>
        <w:spacing w:after="0" w:line="126"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2017 and fiscal 2016 by category, as described in the footnotes to the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shd w:val="clear" w:color="auto" w:fill="C00000"/>
          </w:tcPr>
          <w:p>
            <w:pPr>
              <w:spacing w:after="0"/>
              <w:rPr>
                <w:sz w:val="14"/>
                <w:szCs w:val="14"/>
                <w:color w:val="auto"/>
              </w:rPr>
            </w:pPr>
          </w:p>
        </w:tc>
        <w:tc>
          <w:tcPr>
            <w:tcW w:w="4900" w:type="dxa"/>
            <w:vAlign w:val="bottom"/>
            <w:gridSpan w:val="2"/>
            <w:shd w:val="clear" w:color="auto" w:fill="C00000"/>
          </w:tcPr>
          <w:p>
            <w:pPr>
              <w:jc w:val="right"/>
              <w:ind w:right="419"/>
              <w:spacing w:after="0"/>
              <w:rPr>
                <w:sz w:val="20"/>
                <w:szCs w:val="20"/>
                <w:color w:val="auto"/>
              </w:rPr>
            </w:pPr>
            <w:r>
              <w:rPr>
                <w:rFonts w:ascii="Arial" w:cs="Arial" w:eastAsia="Arial" w:hAnsi="Arial"/>
                <w:sz w:val="14"/>
                <w:szCs w:val="14"/>
                <w:b w:val="1"/>
                <w:bCs w:val="1"/>
                <w:color w:val="FFFFFF"/>
              </w:rPr>
              <w:t>Fiscal 2017</w:t>
            </w:r>
          </w:p>
        </w:tc>
        <w:tc>
          <w:tcPr>
            <w:tcW w:w="1360" w:type="dxa"/>
            <w:vAlign w:val="bottom"/>
            <w:gridSpan w:val="2"/>
            <w:shd w:val="clear" w:color="auto" w:fill="C00000"/>
          </w:tcPr>
          <w:p>
            <w:pPr>
              <w:jc w:val="right"/>
              <w:spacing w:after="0"/>
              <w:rPr>
                <w:sz w:val="20"/>
                <w:szCs w:val="20"/>
                <w:color w:val="auto"/>
              </w:rPr>
            </w:pPr>
            <w:r>
              <w:rPr>
                <w:rFonts w:ascii="Arial" w:cs="Arial" w:eastAsia="Arial" w:hAnsi="Arial"/>
                <w:sz w:val="14"/>
                <w:szCs w:val="14"/>
                <w:b w:val="1"/>
                <w:bCs w:val="1"/>
                <w:color w:val="FFFFFF"/>
              </w:rPr>
              <w:t>Fiscal 2016</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37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w w:val="98"/>
              </w:rPr>
              <w:t>1,248,875</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1,213,420</w:t>
            </w:r>
          </w:p>
        </w:tc>
      </w:tr>
      <w:tr>
        <w:trPr>
          <w:trHeight w:val="189"/>
        </w:trPr>
        <w:tc>
          <w:tcPr>
            <w:tcW w:w="5160" w:type="dxa"/>
            <w:vAlign w:val="bottom"/>
            <w:shd w:val="clear" w:color="auto" w:fill="D9D9D9"/>
          </w:tcPr>
          <w:p>
            <w:pPr>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3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9D9D9"/>
          </w:tcPr>
          <w:p>
            <w:pPr>
              <w:jc w:val="right"/>
              <w:ind w:right="399"/>
              <w:spacing w:after="0"/>
              <w:rPr>
                <w:sz w:val="20"/>
                <w:szCs w:val="20"/>
                <w:color w:val="auto"/>
              </w:rPr>
            </w:pPr>
            <w:r>
              <w:rPr>
                <w:rFonts w:ascii="Arial" w:cs="Arial" w:eastAsia="Arial" w:hAnsi="Arial"/>
                <w:sz w:val="16"/>
                <w:szCs w:val="16"/>
                <w:color w:val="auto"/>
              </w:rPr>
              <w:t>63,425</w:t>
            </w:r>
          </w:p>
        </w:tc>
        <w:tc>
          <w:tcPr>
            <w:tcW w:w="5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51,500</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37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146,333</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499,452</w:t>
            </w:r>
          </w:p>
        </w:tc>
      </w:tr>
      <w:tr>
        <w:trPr>
          <w:trHeight w:val="189"/>
        </w:trPr>
        <w:tc>
          <w:tcPr>
            <w:tcW w:w="5160" w:type="dxa"/>
            <w:vAlign w:val="bottom"/>
            <w:shd w:val="clear" w:color="auto" w:fill="D9D9D9"/>
          </w:tcPr>
          <w:p>
            <w:pPr>
              <w:spacing w:after="0"/>
              <w:rPr>
                <w:sz w:val="20"/>
                <w:szCs w:val="20"/>
                <w:color w:val="auto"/>
              </w:rPr>
            </w:pPr>
            <w:r>
              <w:rPr>
                <w:rFonts w:ascii="Arial" w:cs="Arial" w:eastAsia="Arial" w:hAnsi="Arial"/>
                <w:sz w:val="16"/>
                <w:szCs w:val="16"/>
                <w:color w:val="auto"/>
              </w:rPr>
              <w:t>All Other Fees</w:t>
            </w:r>
          </w:p>
        </w:tc>
        <w:tc>
          <w:tcPr>
            <w:tcW w:w="3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9D9D9"/>
          </w:tcPr>
          <w:p>
            <w:pPr>
              <w:jc w:val="right"/>
              <w:ind w:right="399"/>
              <w:spacing w:after="0"/>
              <w:rPr>
                <w:sz w:val="20"/>
                <w:szCs w:val="20"/>
                <w:color w:val="auto"/>
              </w:rPr>
            </w:pPr>
            <w:r>
              <w:rPr>
                <w:rFonts w:ascii="Arial" w:cs="Arial" w:eastAsia="Arial" w:hAnsi="Arial"/>
                <w:sz w:val="16"/>
                <w:szCs w:val="16"/>
                <w:color w:val="auto"/>
              </w:rPr>
              <w:t>0</w:t>
            </w:r>
          </w:p>
        </w:tc>
        <w:tc>
          <w:tcPr>
            <w:tcW w:w="5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3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2017 and fiscal 2016, respectively,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67" w:lineRule="exact"/>
        <w:rPr>
          <w:rFonts w:ascii="Arial" w:cs="Arial" w:eastAsia="Arial" w:hAnsi="Arial"/>
          <w:sz w:val="18"/>
          <w:szCs w:val="18"/>
          <w:color w:val="auto"/>
        </w:rPr>
      </w:pPr>
    </w:p>
    <w:p>
      <w:pPr>
        <w:ind w:left="460" w:right="28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issuance of a consent for a Form S-8 registration statement filed with the SEC on December 22, 2016, and various other attestation procedures.</w:t>
      </w:r>
    </w:p>
    <w:p>
      <w:pPr>
        <w:spacing w:after="0" w:line="61" w:lineRule="exact"/>
        <w:rPr>
          <w:rFonts w:ascii="Arial" w:cs="Arial" w:eastAsia="Arial" w:hAnsi="Arial"/>
          <w:sz w:val="18"/>
          <w:szCs w:val="18"/>
          <w:color w:val="auto"/>
        </w:rPr>
      </w:pPr>
    </w:p>
    <w:p>
      <w:pPr>
        <w:ind w:left="460" w:right="30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Pre-Approval Policies and Procedures</w:t>
      </w:r>
    </w:p>
    <w:p>
      <w:pPr>
        <w:spacing w:after="0" w:line="12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tbl>
      <w:tblPr>
        <w:tblLayout w:type="fixed"/>
        <w:tblInd w:w="0" w:type="dxa"/>
        <w:tblCellMar>
          <w:top w:w="0" w:type="dxa"/>
          <w:left w:w="0" w:type="dxa"/>
          <w:bottom w:w="0" w:type="dxa"/>
          <w:right w:w="0" w:type="dxa"/>
        </w:tblCellMar>
      </w:tblPr>
      <w:tr>
        <w:trPr>
          <w:trHeight w:val="491"/>
        </w:trPr>
        <w:tc>
          <w:tcPr>
            <w:tcW w:w="9420" w:type="dxa"/>
            <w:vAlign w:val="bottom"/>
            <w:shd w:val="clear" w:color="auto" w:fill="C00000"/>
          </w:tcPr>
          <w:p>
            <w:pPr>
              <w:jc w:val="center"/>
              <w:ind w:left="550"/>
              <w:spacing w:after="0"/>
              <w:rPr>
                <w:sz w:val="20"/>
                <w:szCs w:val="20"/>
                <w:color w:val="auto"/>
              </w:rPr>
            </w:pPr>
            <w:r>
              <w:rPr>
                <w:rFonts w:ascii="Arial" w:cs="Arial" w:eastAsia="Arial" w:hAnsi="Arial"/>
                <w:sz w:val="18"/>
                <w:szCs w:val="18"/>
                <w:b w:val="1"/>
                <w:bCs w:val="1"/>
                <w:color w:val="FFFFFF"/>
                <w:w w:val="99"/>
              </w:rPr>
              <w:t>The Board of Directors Recommends a Vote FOR Ratification of the Selection of</w:t>
            </w:r>
          </w:p>
        </w:tc>
        <w:tc>
          <w:tcPr>
            <w:tcW w:w="2000" w:type="dxa"/>
            <w:vAlign w:val="bottom"/>
            <w:shd w:val="clear" w:color="auto" w:fill="C00000"/>
          </w:tcPr>
          <w:p>
            <w:pPr>
              <w:ind w:left="860"/>
              <w:spacing w:after="0" w:line="473" w:lineRule="exact"/>
              <w:rPr>
                <w:sz w:val="20"/>
                <w:szCs w:val="20"/>
                <w:color w:val="auto"/>
              </w:rPr>
            </w:pPr>
            <w:r>
              <w:rPr>
                <w:rFonts w:ascii="MS PGothic" w:cs="MS PGothic" w:eastAsia="MS PGothic" w:hAnsi="MS PGothic"/>
                <w:sz w:val="50"/>
                <w:szCs w:val="50"/>
                <w:color w:val="FFFFFF"/>
              </w:rPr>
              <w:t>☑</w:t>
            </w:r>
          </w:p>
        </w:tc>
      </w:tr>
      <w:tr>
        <w:trPr>
          <w:trHeight w:val="239"/>
        </w:trPr>
        <w:tc>
          <w:tcPr>
            <w:tcW w:w="9420" w:type="dxa"/>
            <w:vAlign w:val="bottom"/>
            <w:shd w:val="clear" w:color="auto" w:fill="C00000"/>
          </w:tcPr>
          <w:p>
            <w:pPr>
              <w:jc w:val="center"/>
              <w:ind w:left="550"/>
              <w:spacing w:after="0"/>
              <w:rPr>
                <w:sz w:val="20"/>
                <w:szCs w:val="20"/>
                <w:color w:val="auto"/>
              </w:rPr>
            </w:pPr>
            <w:r>
              <w:rPr>
                <w:rFonts w:ascii="Arial" w:cs="Arial" w:eastAsia="Arial" w:hAnsi="Arial"/>
                <w:sz w:val="18"/>
                <w:szCs w:val="18"/>
                <w:b w:val="1"/>
                <w:bCs w:val="1"/>
                <w:color w:val="FFFFFF"/>
                <w:w w:val="99"/>
              </w:rPr>
              <w:t>KPMG LLP as Our Independent Registered Public Accounting Firm for Fiscal 2018</w:t>
            </w:r>
          </w:p>
        </w:tc>
        <w:tc>
          <w:tcPr>
            <w:tcW w:w="2000" w:type="dxa"/>
            <w:vAlign w:val="bottom"/>
            <w:shd w:val="clear" w:color="auto" w:fill="C00000"/>
          </w:tcPr>
          <w:p>
            <w:pPr>
              <w:spacing w:after="0"/>
              <w:rPr>
                <w:sz w:val="20"/>
                <w:szCs w:val="20"/>
                <w:color w:val="auto"/>
              </w:rPr>
            </w:pPr>
          </w:p>
        </w:tc>
      </w:tr>
      <w:tr>
        <w:trPr>
          <w:trHeight w:val="95"/>
        </w:trPr>
        <w:tc>
          <w:tcPr>
            <w:tcW w:w="9420" w:type="dxa"/>
            <w:vAlign w:val="bottom"/>
            <w:shd w:val="clear" w:color="auto" w:fill="C00000"/>
          </w:tcPr>
          <w:p>
            <w:pPr>
              <w:spacing w:after="0"/>
              <w:rPr>
                <w:sz w:val="8"/>
                <w:szCs w:val="8"/>
                <w:color w:val="auto"/>
              </w:rPr>
            </w:pPr>
          </w:p>
        </w:tc>
        <w:tc>
          <w:tcPr>
            <w:tcW w:w="2000" w:type="dxa"/>
            <w:vAlign w:val="bottom"/>
            <w:shd w:val="clear" w:color="auto" w:fill="C00000"/>
          </w:tcPr>
          <w:p>
            <w:pPr>
              <w:spacing w:after="0"/>
              <w:rPr>
                <w:sz w:val="8"/>
                <w:szCs w:val="8"/>
                <w:color w:val="auto"/>
              </w:rPr>
            </w:pPr>
          </w:p>
        </w:tc>
      </w:tr>
      <w:tr>
        <w:trPr>
          <w:trHeight w:val="365"/>
        </w:trPr>
        <w:tc>
          <w:tcPr>
            <w:tcW w:w="9420" w:type="dxa"/>
            <w:vAlign w:val="bottom"/>
          </w:tcPr>
          <w:p>
            <w:pPr>
              <w:jc w:val="right"/>
              <w:ind w:right="3510"/>
              <w:spacing w:after="0"/>
              <w:rPr>
                <w:sz w:val="20"/>
                <w:szCs w:val="20"/>
                <w:color w:val="auto"/>
              </w:rPr>
            </w:pPr>
            <w:r>
              <w:rPr>
                <w:rFonts w:ascii="Arial" w:cs="Arial" w:eastAsia="Arial" w:hAnsi="Arial"/>
                <w:sz w:val="18"/>
                <w:szCs w:val="18"/>
                <w:color w:val="auto"/>
              </w:rPr>
              <w:t>27</w:t>
            </w:r>
          </w:p>
        </w:tc>
        <w:tc>
          <w:tcPr>
            <w:tcW w:w="2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Audit Committee Report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2017.</w:t>
      </w:r>
    </w:p>
    <w:p>
      <w:pPr>
        <w:spacing w:after="0" w:line="104"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Audit Committee, is available online at www.thetorocompany.com (click on “Investor Information” and “Corporate Governance”).</w:t>
      </w:r>
    </w:p>
    <w:p>
      <w:pPr>
        <w:spacing w:after="0" w:line="97"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97"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2017, (ii) discussed with representatives of KPMG the matters required to be discussed by PCAOB Auditing Standard 1301 (Communications with Audit Committees),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Toro and its Management.</w:t>
      </w:r>
    </w:p>
    <w:p>
      <w:pPr>
        <w:spacing w:after="0" w:line="95"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2017 be included in our Annual Report on Form 10-K for the fiscal year ended October 31, 2017, for filing with the SEC.</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00000"/>
        </w:rPr>
        <w:t>Audit Committee:</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Janet K. Cooper (Chair)</w:t>
      </w:r>
    </w:p>
    <w:p>
      <w:pPr>
        <w:jc w:val="center"/>
        <w:ind w:right="-39"/>
        <w:spacing w:after="0" w:line="234" w:lineRule="auto"/>
        <w:rPr>
          <w:sz w:val="20"/>
          <w:szCs w:val="20"/>
          <w:color w:val="auto"/>
        </w:rPr>
      </w:pPr>
      <w:r>
        <w:rPr>
          <w:rFonts w:ascii="Arial" w:cs="Arial" w:eastAsia="Arial" w:hAnsi="Arial"/>
          <w:sz w:val="18"/>
          <w:szCs w:val="18"/>
          <w:color w:val="auto"/>
        </w:rPr>
        <w:t>Gary L. Ellis</w:t>
      </w:r>
    </w:p>
    <w:p>
      <w:pPr>
        <w:jc w:val="center"/>
        <w:ind w:right="-39"/>
        <w:spacing w:after="0" w:line="235" w:lineRule="auto"/>
        <w:rPr>
          <w:sz w:val="20"/>
          <w:szCs w:val="20"/>
          <w:color w:val="auto"/>
        </w:rPr>
      </w:pPr>
      <w:r>
        <w:rPr>
          <w:rFonts w:ascii="Arial" w:cs="Arial" w:eastAsia="Arial" w:hAnsi="Arial"/>
          <w:sz w:val="18"/>
          <w:szCs w:val="18"/>
          <w:color w:val="auto"/>
        </w:rPr>
        <w:t>Katherine J. Harless</w:t>
      </w:r>
    </w:p>
    <w:p>
      <w:pPr>
        <w:jc w:val="center"/>
        <w:ind w:right="-39"/>
        <w:spacing w:after="0" w:line="235" w:lineRule="auto"/>
        <w:rPr>
          <w:sz w:val="20"/>
          <w:szCs w:val="20"/>
          <w:color w:val="auto"/>
        </w:rPr>
      </w:pPr>
      <w:r>
        <w:rPr>
          <w:rFonts w:ascii="Arial" w:cs="Arial" w:eastAsia="Arial" w:hAnsi="Arial"/>
          <w:sz w:val="18"/>
          <w:szCs w:val="18"/>
          <w:color w:val="auto"/>
        </w:rPr>
        <w:t>D. Christian Koch</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James C. O’Rourke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PROPOSAL THREE—ADVISORY APPROVAL OF OUR EXECUTIVE COMPENSATION</w:t>
      </w:r>
    </w:p>
    <w:p>
      <w:pPr>
        <w:spacing w:after="0" w:line="28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Board is providing our shareholders with an advisory vote on our executive compensation pursuant to the Dodd-Frank Wall Street Consumer Protection Act, or the Dodd-Frank Act, and Section 14A of the Exchange Act. This advisory vote, commonly known as a say-on-pay vote, is a non-binding vote on the compensation paid to our named executive officers as set forth in the “Executive Compensation” section of this proxy statement beginning on page 31, including in the “Compensation Discussion and Analysis,” the accompanying compensation tables and the corresponding narrative discussion and footnotes. At the 2017 Annual Meeting of Shareholders held on March 21, 2017, over 98% of the votes cast by our shareholders were in favor of our say-on-pay vote. The Compensation &amp; Human Resources Committee believes that such results affirmed shareholder support of our approach to executive compensation.</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aligning the interests of our executives with those of our shareholders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 The “Compensation Discussion and Analysis,” beginning on page 31, describes our executive compensation program and the executive compensation decisions made by the Compensation &amp; Human Resources Committee in fiscal 2017 in more detail. Important considerations include:</w:t>
      </w:r>
    </w:p>
    <w:p>
      <w:pPr>
        <w:spacing w:after="0" w:line="112" w:lineRule="exact"/>
        <w:rPr>
          <w:sz w:val="20"/>
          <w:szCs w:val="20"/>
          <w:color w:val="auto"/>
        </w:rPr>
      </w:pPr>
    </w:p>
    <w:p>
      <w:pPr>
        <w:ind w:left="78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substantial portion of total executive compensation is linked directly to performance and requires that minimum, or threshold, levels of performance be met in order for there to be any payout.</w:t>
      </w:r>
    </w:p>
    <w:p>
      <w:pPr>
        <w:spacing w:after="0" w:line="61" w:lineRule="exact"/>
        <w:rPr>
          <w:rFonts w:ascii="Arial" w:cs="Arial" w:eastAsia="Arial" w:hAnsi="Arial"/>
          <w:sz w:val="18"/>
          <w:szCs w:val="18"/>
          <w:color w:val="auto"/>
        </w:rPr>
      </w:pPr>
    </w:p>
    <w:p>
      <w:pPr>
        <w:ind w:left="780" w:right="74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61" w:lineRule="exact"/>
        <w:rPr>
          <w:rFonts w:ascii="Arial" w:cs="Arial" w:eastAsia="Arial" w:hAnsi="Arial"/>
          <w:sz w:val="18"/>
          <w:szCs w:val="18"/>
          <w:color w:val="auto"/>
        </w:rPr>
      </w:pPr>
    </w:p>
    <w:p>
      <w:pPr>
        <w:ind w:left="780" w:right="6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w:t>
      </w:r>
    </w:p>
    <w:p>
      <w:pPr>
        <w:spacing w:after="0" w:line="61" w:lineRule="exact"/>
        <w:rPr>
          <w:rFonts w:ascii="Arial" w:cs="Arial" w:eastAsia="Arial" w:hAnsi="Arial"/>
          <w:sz w:val="18"/>
          <w:szCs w:val="18"/>
          <w:color w:val="auto"/>
        </w:rPr>
      </w:pPr>
    </w:p>
    <w:p>
      <w:pPr>
        <w:ind w:left="780" w:right="58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maintain stock ownership guidelines for each of our executive officers.</w:t>
      </w:r>
    </w:p>
    <w:p>
      <w:pPr>
        <w:spacing w:after="0" w:line="76" w:lineRule="exact"/>
        <w:rPr>
          <w:rFonts w:ascii="Arial" w:cs="Arial" w:eastAsia="Arial" w:hAnsi="Arial"/>
          <w:sz w:val="18"/>
          <w:szCs w:val="18"/>
          <w:color w:val="auto"/>
        </w:rPr>
      </w:pPr>
    </w:p>
    <w:p>
      <w:pPr>
        <w:ind w:left="780" w:right="80" w:hanging="326"/>
        <w:spacing w:after="0" w:line="24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executive officers and directors from purchasing Toro securities on margin, borrowing against any account in which Toro securities are held, or pledging Toro securities as collateral for a loan.</w:t>
      </w:r>
    </w:p>
    <w:p>
      <w:pPr>
        <w:spacing w:after="0" w:line="61" w:lineRule="exact"/>
        <w:rPr>
          <w:rFonts w:ascii="Arial" w:cs="Arial" w:eastAsia="Arial" w:hAnsi="Arial"/>
          <w:sz w:val="18"/>
          <w:szCs w:val="18"/>
          <w:color w:val="auto"/>
        </w:rPr>
      </w:pPr>
    </w:p>
    <w:p>
      <w:pPr>
        <w:ind w:left="780" w:right="6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insider trading policy prohibits employees, executive officers and directors from purchasing any financial instruments (including without limitation collars, equity swaps, prepaid variable forward contracts, and exchange funds) that are designed to hedge or offset any decrease in the market value of Toro securities.</w:t>
      </w:r>
    </w:p>
    <w:p>
      <w:pPr>
        <w:spacing w:after="0" w:line="6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04"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104" w:lineRule="exact"/>
        <w:rPr>
          <w:sz w:val="20"/>
          <w:szCs w:val="20"/>
          <w:color w:val="auto"/>
        </w:rPr>
      </w:pPr>
    </w:p>
    <w:p>
      <w:pPr>
        <w:ind w:left="460" w:right="180"/>
        <w:spacing w:after="0" w:line="239"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9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Shareholders are not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94"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In accordance with the result of the advisory vote on the frequency of the say-on-pay vote, which was conducted at the Company’s 2017 Annual Meeting of Shareholders, the Board of Directors has determined that the Company will continue to conduct an executive compensation advisory vote on an annual basis. Accordingly, the next say-on-pay vote will occur in 2019 in connection with our 2019 Annual Meeting of Shareholders.</w:t>
      </w:r>
    </w:p>
    <w:tbl>
      <w:tblPr>
        <w:tblLayout w:type="fixed"/>
        <w:tblInd w:w="0" w:type="dxa"/>
        <w:tblCellMar>
          <w:top w:w="0" w:type="dxa"/>
          <w:left w:w="0" w:type="dxa"/>
          <w:bottom w:w="0" w:type="dxa"/>
          <w:right w:w="0" w:type="dxa"/>
        </w:tblCellMar>
      </w:tblPr>
      <w:tr>
        <w:trPr>
          <w:trHeight w:val="491"/>
        </w:trPr>
        <w:tc>
          <w:tcPr>
            <w:tcW w:w="9400" w:type="dxa"/>
            <w:vAlign w:val="bottom"/>
            <w:shd w:val="clear" w:color="auto" w:fill="C00000"/>
          </w:tcPr>
          <w:p>
            <w:pPr>
              <w:jc w:val="center"/>
              <w:ind w:left="570"/>
              <w:spacing w:after="0"/>
              <w:rPr>
                <w:sz w:val="20"/>
                <w:szCs w:val="20"/>
                <w:color w:val="auto"/>
              </w:rPr>
            </w:pPr>
            <w:r>
              <w:rPr>
                <w:rFonts w:ascii="Arial" w:cs="Arial" w:eastAsia="Arial" w:hAnsi="Arial"/>
                <w:sz w:val="18"/>
                <w:szCs w:val="18"/>
                <w:b w:val="1"/>
                <w:bCs w:val="1"/>
                <w:color w:val="FFFFFF"/>
                <w:w w:val="99"/>
              </w:rPr>
              <w:t>The Board of Directors Recommends a Vote FOR Approval, on an Advisory Basis,</w:t>
            </w:r>
          </w:p>
        </w:tc>
        <w:tc>
          <w:tcPr>
            <w:tcW w:w="2020" w:type="dxa"/>
            <w:vAlign w:val="bottom"/>
            <w:shd w:val="clear" w:color="auto" w:fill="C00000"/>
          </w:tcPr>
          <w:p>
            <w:pPr>
              <w:ind w:left="880"/>
              <w:spacing w:after="0" w:line="471" w:lineRule="exact"/>
              <w:rPr>
                <w:sz w:val="20"/>
                <w:szCs w:val="20"/>
                <w:color w:val="auto"/>
              </w:rPr>
            </w:pPr>
            <w:r>
              <w:rPr>
                <w:rFonts w:ascii="MS PGothic" w:cs="MS PGothic" w:eastAsia="MS PGothic" w:hAnsi="MS PGothic"/>
                <w:sz w:val="50"/>
                <w:szCs w:val="50"/>
                <w:color w:val="FFFFFF"/>
              </w:rPr>
              <w:t>☑</w:t>
            </w:r>
          </w:p>
        </w:tc>
      </w:tr>
      <w:tr>
        <w:trPr>
          <w:trHeight w:val="239"/>
        </w:trPr>
        <w:tc>
          <w:tcPr>
            <w:tcW w:w="9400" w:type="dxa"/>
            <w:vAlign w:val="bottom"/>
            <w:shd w:val="clear" w:color="auto" w:fill="C00000"/>
          </w:tcPr>
          <w:p>
            <w:pPr>
              <w:jc w:val="center"/>
              <w:ind w:left="590"/>
              <w:spacing w:after="0"/>
              <w:rPr>
                <w:sz w:val="20"/>
                <w:szCs w:val="20"/>
                <w:color w:val="auto"/>
              </w:rPr>
            </w:pPr>
            <w:r>
              <w:rPr>
                <w:rFonts w:ascii="Arial" w:cs="Arial" w:eastAsia="Arial" w:hAnsi="Arial"/>
                <w:sz w:val="18"/>
                <w:szCs w:val="18"/>
                <w:b w:val="1"/>
                <w:bCs w:val="1"/>
                <w:color w:val="FFFFFF"/>
                <w:w w:val="99"/>
              </w:rPr>
              <w:t>of our Executive Compensation, or Say-On-Pay Vote.</w:t>
            </w:r>
          </w:p>
        </w:tc>
        <w:tc>
          <w:tcPr>
            <w:tcW w:w="2020" w:type="dxa"/>
            <w:vAlign w:val="bottom"/>
            <w:shd w:val="clear" w:color="auto" w:fill="C00000"/>
          </w:tcPr>
          <w:p>
            <w:pPr>
              <w:spacing w:after="0"/>
              <w:rPr>
                <w:sz w:val="20"/>
                <w:szCs w:val="20"/>
                <w:color w:val="auto"/>
              </w:rPr>
            </w:pPr>
          </w:p>
        </w:tc>
      </w:tr>
      <w:tr>
        <w:trPr>
          <w:trHeight w:val="95"/>
        </w:trPr>
        <w:tc>
          <w:tcPr>
            <w:tcW w:w="9400" w:type="dxa"/>
            <w:vAlign w:val="bottom"/>
            <w:shd w:val="clear" w:color="auto" w:fill="C00000"/>
          </w:tcPr>
          <w:p>
            <w:pPr>
              <w:spacing w:after="0"/>
              <w:rPr>
                <w:sz w:val="8"/>
                <w:szCs w:val="8"/>
                <w:color w:val="auto"/>
              </w:rPr>
            </w:pPr>
          </w:p>
        </w:tc>
        <w:tc>
          <w:tcPr>
            <w:tcW w:w="2020" w:type="dxa"/>
            <w:vAlign w:val="bottom"/>
            <w:shd w:val="clear" w:color="auto" w:fill="C00000"/>
          </w:tcPr>
          <w:p>
            <w:pPr>
              <w:spacing w:after="0"/>
              <w:rPr>
                <w:sz w:val="8"/>
                <w:szCs w:val="8"/>
                <w:color w:val="auto"/>
              </w:rPr>
            </w:pPr>
          </w:p>
        </w:tc>
      </w:tr>
      <w:tr>
        <w:trPr>
          <w:trHeight w:val="365"/>
        </w:trPr>
        <w:tc>
          <w:tcPr>
            <w:tcW w:w="9400" w:type="dxa"/>
            <w:vAlign w:val="bottom"/>
          </w:tcPr>
          <w:p>
            <w:pPr>
              <w:jc w:val="right"/>
              <w:ind w:right="3490"/>
              <w:spacing w:after="0"/>
              <w:rPr>
                <w:sz w:val="20"/>
                <w:szCs w:val="20"/>
                <w:color w:val="auto"/>
              </w:rPr>
            </w:pPr>
            <w:r>
              <w:rPr>
                <w:rFonts w:ascii="Arial" w:cs="Arial" w:eastAsia="Arial" w:hAnsi="Arial"/>
                <w:sz w:val="18"/>
                <w:szCs w:val="18"/>
                <w:color w:val="auto"/>
              </w:rPr>
              <w:t>30</w:t>
            </w:r>
          </w:p>
        </w:tc>
        <w:tc>
          <w:tcPr>
            <w:tcW w:w="2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FFFFFF"/>
        </w:rPr>
        <w:t>EXECUTIVE COMPENSATION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Compensation &amp; Human Resources Committee Report</w:t>
      </w:r>
    </w:p>
    <w:p>
      <w:pPr>
        <w:spacing w:after="0" w:line="126"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recommended to the Board that the “Compensation Discussion and Analysis” be included in this proxy statement and in our Annual Report on Form 10-K for the fiscal year ended October 31, 2017.</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 (Chair)</w:t>
      </w:r>
    </w:p>
    <w:p>
      <w:pPr>
        <w:jc w:val="center"/>
        <w:ind w:right="-19"/>
        <w:spacing w:after="0" w:line="234" w:lineRule="auto"/>
        <w:rPr>
          <w:sz w:val="20"/>
          <w:szCs w:val="20"/>
          <w:color w:val="auto"/>
        </w:rPr>
      </w:pPr>
      <w:r>
        <w:rPr>
          <w:rFonts w:ascii="Arial" w:cs="Arial" w:eastAsia="Arial" w:hAnsi="Arial"/>
          <w:sz w:val="18"/>
          <w:szCs w:val="18"/>
          <w:color w:val="auto"/>
        </w:rPr>
        <w:t>Robert C. Buhrmaster</w:t>
      </w:r>
    </w:p>
    <w:p>
      <w:pPr>
        <w:jc w:val="center"/>
        <w:ind w:right="-19"/>
        <w:spacing w:after="0" w:line="235" w:lineRule="auto"/>
        <w:rPr>
          <w:sz w:val="20"/>
          <w:szCs w:val="20"/>
          <w:color w:val="auto"/>
        </w:rPr>
      </w:pPr>
      <w:r>
        <w:rPr>
          <w:rFonts w:ascii="Arial" w:cs="Arial" w:eastAsia="Arial" w:hAnsi="Arial"/>
          <w:sz w:val="18"/>
          <w:szCs w:val="18"/>
          <w:color w:val="auto"/>
        </w:rPr>
        <w:t>Jeffrey M. Ettinger</w:t>
      </w:r>
    </w:p>
    <w:p>
      <w:pPr>
        <w:jc w:val="center"/>
        <w:ind w:right="-19"/>
        <w:spacing w:after="0" w:line="235" w:lineRule="auto"/>
        <w:rPr>
          <w:sz w:val="20"/>
          <w:szCs w:val="20"/>
          <w:color w:val="auto"/>
        </w:rPr>
      </w:pPr>
      <w:r>
        <w:rPr>
          <w:rFonts w:ascii="Arial" w:cs="Arial" w:eastAsia="Arial" w:hAnsi="Arial"/>
          <w:sz w:val="18"/>
          <w:szCs w:val="18"/>
          <w:color w:val="auto"/>
        </w:rPr>
        <w:t>James C. O‘Rourke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Compensation Discussion and Analysis</w:t>
      </w:r>
    </w:p>
    <w:p>
      <w:pPr>
        <w:spacing w:after="0" w:line="104"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key principles and approaches used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compensation paid or awarded to and earned by our named executive officers whose compensation is set forth in the “Summary Compensation Table” beginning on page 46.</w:t>
      </w:r>
    </w:p>
    <w:p>
      <w:pPr>
        <w:spacing w:after="0" w:line="83"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During the third quarter of fiscal 2017, we announced that Michael J. Hoffman would retire as Executive Chairman of the Board and that Richard M. Olson would become our Chairman of the Board, in addition to being our President and CEO. This transition was effective on November 3, 2017. Our named executive officers for fiscal 2017 were:</w:t>
      </w:r>
    </w:p>
    <w:p>
      <w:pPr>
        <w:spacing w:after="0" w:line="68"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Richard M. Olson, current Chairman of the Board, President and CEO;</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Renee J. Peterson, Vice President, Treasurer and Chief Financial Officer;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Michael J. Hoffman, former Executive Chairman of the Board;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William E. Brown, Jr., Group Vice President, Residential and Contractor Businesses;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Timothy P. Dordell, Vice President, Secretary and General Counsel.</w:t>
      </w:r>
    </w:p>
    <w:p>
      <w:pPr>
        <w:spacing w:after="0" w:line="10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our Executive Compensation” beginning on page 29.</w:t>
      </w:r>
    </w:p>
    <w:p>
      <w:pPr>
        <w:spacing w:after="0" w:line="72" w:lineRule="exact"/>
        <w:rPr>
          <w:sz w:val="20"/>
          <w:szCs w:val="20"/>
          <w:color w:val="auto"/>
        </w:rPr>
      </w:pPr>
    </w:p>
    <w:p>
      <w:pPr>
        <w:ind w:right="440" w:firstLine="456"/>
        <w:spacing w:after="0" w:line="247" w:lineRule="auto"/>
        <w:rPr>
          <w:sz w:val="20"/>
          <w:szCs w:val="20"/>
          <w:color w:val="auto"/>
        </w:rPr>
      </w:pPr>
      <w:r>
        <w:rPr>
          <w:rFonts w:ascii="Arial" w:cs="Arial" w:eastAsia="Arial" w:hAnsi="Arial"/>
          <w:sz w:val="18"/>
          <w:szCs w:val="18"/>
          <w:b w:val="1"/>
          <w:bCs w:val="1"/>
          <w:i w:val="1"/>
          <w:iCs w:val="1"/>
          <w:color w:val="auto"/>
        </w:rPr>
        <w:t>Executive Compensation Program Objectives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guiding compensation philosophy is to maintain an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102"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Align interests of executive officers with shareholder interests;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Link pay to performance;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competitive target total direct compensation opportunities.</w:t>
      </w:r>
    </w:p>
    <w:p>
      <w:pPr>
        <w:spacing w:after="0" w:line="82"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At our 2017 Annual Meeting of Shareholders, our shareholders had the opportunity to vote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advisory say-on-pay proposal and over 98% of the votes cast were in favor of such proposal. The Compensation &amp; Human Resources Committee believes that such results affirmed shareholder support of our approach to executive compensation and did not believe it was necessary to, and, therefore, did not, make any significant changes to our executive compensation program in fiscal 2017. Additionally, as required every six years, at our 2017 Annual Meeting of Shareholders, our shareholders had the opportunity to provide an advisory vote on the frequency of future advisory say-on-pay votes. Our Board of Directors recommended, and our shareholders approved, an annual say-on-pay vote.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8" w:lineRule="exact"/>
        <w:rPr>
          <w:sz w:val="20"/>
          <w:szCs w:val="20"/>
          <w:color w:val="auto"/>
        </w:rPr>
      </w:pPr>
    </w:p>
    <w:p>
      <w:pPr>
        <w:ind w:left="340" w:right="440" w:hanging="332"/>
        <w:spacing w:after="0" w:line="243" w:lineRule="auto"/>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link a substantial portion of total executive compensation directly to performance and require that minimum, or threshold, levels of performance be met in order for there to be any payout.</w:t>
      </w:r>
    </w:p>
    <w:p>
      <w:pPr>
        <w:spacing w:after="0" w:line="26" w:lineRule="exact"/>
        <w:rPr>
          <w:rFonts w:ascii="MS PGothic" w:cs="MS PGothic" w:eastAsia="MS PGothic" w:hAnsi="MS PGothic"/>
          <w:sz w:val="18"/>
          <w:szCs w:val="18"/>
          <w:color w:val="auto"/>
        </w:rPr>
      </w:pPr>
    </w:p>
    <w:p>
      <w:pPr>
        <w:ind w:left="340" w:right="660" w:hanging="332"/>
        <w:spacing w:after="0" w:line="243" w:lineRule="auto"/>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utilize a mix of earnings, revenue and asset-based performance measures for our annual cash incentive awards and long-term performance share awards.</w:t>
      </w:r>
    </w:p>
    <w:p>
      <w:pPr>
        <w:spacing w:after="0" w:line="26" w:lineRule="exact"/>
        <w:rPr>
          <w:rFonts w:ascii="MS PGothic" w:cs="MS PGothic" w:eastAsia="MS PGothic" w:hAnsi="MS PGothic"/>
          <w:sz w:val="18"/>
          <w:szCs w:val="18"/>
          <w:color w:val="auto"/>
        </w:rPr>
      </w:pPr>
    </w:p>
    <w:p>
      <w:pPr>
        <w:ind w:left="34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cap annual cash incentive award and long-term performance share award payouts at 200% of the target award.</w:t>
      </w:r>
    </w:p>
    <w:p>
      <w:pPr>
        <w:spacing w:after="0" w:line="49" w:lineRule="exact"/>
        <w:rPr>
          <w:rFonts w:ascii="MS PGothic" w:cs="MS PGothic" w:eastAsia="MS PGothic" w:hAnsi="MS PGothic"/>
          <w:sz w:val="18"/>
          <w:szCs w:val="18"/>
          <w:color w:val="auto"/>
        </w:rPr>
      </w:pPr>
    </w:p>
    <w:p>
      <w:pPr>
        <w:ind w:left="340" w:right="920" w:hanging="332"/>
        <w:spacing w:after="0" w:line="243" w:lineRule="auto"/>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utilize three-year performance share awards, the payouts of which vary based on performance and are contingent upon the achievement of three-year performance goals.</w:t>
      </w:r>
    </w:p>
    <w:p>
      <w:pPr>
        <w:spacing w:after="0" w:line="26" w:lineRule="exact"/>
        <w:rPr>
          <w:rFonts w:ascii="MS PGothic" w:cs="MS PGothic" w:eastAsia="MS PGothic" w:hAnsi="MS PGothic"/>
          <w:sz w:val="18"/>
          <w:szCs w:val="18"/>
          <w:color w:val="auto"/>
        </w:rPr>
      </w:pPr>
    </w:p>
    <w:p>
      <w:pPr>
        <w:ind w:left="340" w:right="2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utilize stock options, the value of which is contingent upon long-term stock price performance since stock options only have value if the stock price at the time of exercise exceeds the exercise price; the exercise price reflects the closing price of our common stock, as reported on the NYSE, on the date of grant.</w:t>
      </w:r>
    </w:p>
    <w:p>
      <w:pPr>
        <w:spacing w:after="0" w:line="27" w:lineRule="exact"/>
        <w:rPr>
          <w:rFonts w:ascii="MS PGothic" w:cs="MS PGothic" w:eastAsia="MS PGothic" w:hAnsi="MS PGothic"/>
          <w:sz w:val="18"/>
          <w:szCs w:val="18"/>
          <w:color w:val="auto"/>
        </w:rPr>
      </w:pPr>
    </w:p>
    <w:p>
      <w:pPr>
        <w:ind w:left="34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impose a minimum vesting requirement of three years or more for our time-based equity awards.</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maintain stock ownership guidelines for our executive officers.</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include clawback provisions within our annual cash incentive and long-term incentive awards.</w:t>
      </w:r>
    </w:p>
    <w:p>
      <w:pPr>
        <w:spacing w:after="0" w:line="49" w:lineRule="exact"/>
        <w:rPr>
          <w:rFonts w:ascii="MS PGothic" w:cs="MS PGothic" w:eastAsia="MS PGothic" w:hAnsi="MS PGothic"/>
          <w:sz w:val="18"/>
          <w:szCs w:val="18"/>
          <w:color w:val="auto"/>
        </w:rPr>
      </w:pPr>
    </w:p>
    <w:p>
      <w:pPr>
        <w:ind w:left="340" w:right="440" w:hanging="332"/>
        <w:spacing w:after="0" w:line="243" w:lineRule="auto"/>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have an independent Compensation &amp; Human Resources Committee which is advised by an independent external compensation consultant.</w:t>
      </w:r>
    </w:p>
    <w:p>
      <w:pPr>
        <w:spacing w:after="0" w:line="26" w:lineRule="exact"/>
        <w:rPr>
          <w:rFonts w:ascii="MS PGothic" w:cs="MS PGothic" w:eastAsia="MS PGothic" w:hAnsi="MS PGothic"/>
          <w:sz w:val="18"/>
          <w:szCs w:val="18"/>
          <w:color w:val="auto"/>
        </w:rPr>
      </w:pPr>
    </w:p>
    <w:p>
      <w:pPr>
        <w:ind w:left="340" w:hanging="332"/>
        <w:spacing w:after="0"/>
        <w:tabs>
          <w:tab w:leader="none" w:pos="34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We provide our shareholders with the opportunity to cast an advisory say-on-pay vote on an annual basis.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allow repricing or exchange of any equity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7470" cy="77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individual employment agreements with any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7470" cy="77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7470"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provide gross-up payments to cover personal income taxes or excise taxes that pertain to executive or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7470" cy="77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allow hedging or pledging of Toro securities by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7470"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62" w:lineRule="exact"/>
        <w:rPr>
          <w:sz w:val="20"/>
          <w:szCs w:val="20"/>
          <w:color w:val="auto"/>
        </w:rPr>
      </w:pPr>
    </w:p>
    <w:p>
      <w:pPr>
        <w:ind w:right="340" w:firstLine="456"/>
        <w:spacing w:after="0" w:line="271" w:lineRule="auto"/>
        <w:rPr>
          <w:sz w:val="20"/>
          <w:szCs w:val="20"/>
          <w:color w:val="auto"/>
        </w:rPr>
      </w:pPr>
      <w:r>
        <w:rPr>
          <w:rFonts w:ascii="Arial" w:cs="Arial" w:eastAsia="Arial" w:hAnsi="Arial"/>
          <w:sz w:val="18"/>
          <w:szCs w:val="18"/>
          <w:b w:val="1"/>
          <w:bCs w:val="1"/>
          <w:i w:val="1"/>
          <w:iCs w:val="1"/>
          <w:color w:val="auto"/>
        </w:rPr>
        <w:t xml:space="preserve">Pay Levels/Mix. </w:t>
      </w:r>
      <w:r>
        <w:rPr>
          <w:rFonts w:ascii="Arial" w:cs="Arial" w:eastAsia="Arial" w:hAnsi="Arial"/>
          <w:sz w:val="18"/>
          <w:szCs w:val="18"/>
          <w:color w:val="auto"/>
        </w:rPr>
        <w:t>A significant portion of our executive officers’ target total direct compensation is comprised of short-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performance-based, or at risk, compensation to directly link their pay to performance. For fiscal 2017:</w:t>
      </w:r>
    </w:p>
    <w:p>
      <w:pPr>
        <w:spacing w:after="0" w:line="81"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82% of the target total direct compensation for our President and CEO was performance-based.</w:t>
      </w:r>
    </w:p>
    <w:p>
      <w:pPr>
        <w:spacing w:after="0" w:line="117" w:lineRule="exact"/>
        <w:rPr>
          <w:rFonts w:ascii="Arial" w:cs="Arial" w:eastAsia="Arial" w:hAnsi="Arial"/>
          <w:sz w:val="18"/>
          <w:szCs w:val="18"/>
          <w:color w:val="auto"/>
        </w:rPr>
      </w:pPr>
    </w:p>
    <w:p>
      <w:pPr>
        <w:ind w:left="780" w:right="100" w:hanging="326"/>
        <w:spacing w:after="0" w:line="23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68% of the target total direct compensation for our other named executive officers, excluding Mr. Hoffman, was performance-based. As a result of the revised role and responsibilities anticipated in connection with Mr. Hoffman’s transition from Chairman and CEO to Executive Chairman at the beginning of fiscal 2017, including the expectation that he focus on providing leadership to the Board and not on the Company’s operations or day-to-day management, the Compensation &amp; Human Resources Committee did not issue a three-year performance share award to Mr. Hoffman for the fiscal 2017 to fiscal 2019 performance period. Therefore, Mr. Hoffman’s compensation is not included in this calculation.</w:t>
      </w:r>
    </w:p>
    <w:p>
      <w:pPr>
        <w:spacing w:after="0" w:line="9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Short-term variable compensation is in the form of annual cash incentive awards. Long-term variable compensation is in the form of stock options that vest over three years and three-year performance share awards. We target pay opportunities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for each element of compensation and in total; variance around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is dependent on a number of factors. We also provide our executive officers with modest perquisites and market competitive retirement and benefit plans.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6062980" cy="1895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298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Excluding Mr. Hoffman</w:t>
      </w:r>
    </w:p>
    <w:p>
      <w:pPr>
        <w:spacing w:after="0" w:line="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Fiscal 2017 Financial Highlights</w:t>
      </w:r>
      <w:r>
        <w:rPr>
          <w:rFonts w:ascii="Arial" w:cs="Arial" w:eastAsia="Arial" w:hAnsi="Arial"/>
          <w:sz w:val="18"/>
          <w:szCs w:val="18"/>
          <w:color w:val="auto"/>
        </w:rPr>
        <w:t>.  Below are brief financial highlights for fiscal 2017.</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Financial Highlights</w:t>
            </w:r>
          </w:p>
        </w:tc>
        <w:tc>
          <w:tcPr>
            <w:tcW w:w="3300" w:type="dxa"/>
            <w:vAlign w:val="bottom"/>
            <w:shd w:val="clear" w:color="auto" w:fill="C00000"/>
          </w:tcPr>
          <w:p>
            <w:pPr>
              <w:jc w:val="right"/>
              <w:ind w:right="41"/>
              <w:spacing w:after="0"/>
              <w:rPr>
                <w:sz w:val="20"/>
                <w:szCs w:val="20"/>
                <w:color w:val="auto"/>
              </w:rPr>
            </w:pPr>
            <w:r>
              <w:rPr>
                <w:rFonts w:ascii="Arial" w:cs="Arial" w:eastAsia="Arial" w:hAnsi="Arial"/>
                <w:sz w:val="14"/>
                <w:szCs w:val="14"/>
                <w:b w:val="1"/>
                <w:bCs w:val="1"/>
                <w:color w:val="FFFFFF"/>
              </w:rPr>
              <w:t>Fiscal 2016</w:t>
            </w:r>
          </w:p>
        </w:tc>
        <w:tc>
          <w:tcPr>
            <w:tcW w:w="1040" w:type="dxa"/>
            <w:vAlign w:val="bottom"/>
            <w:shd w:val="clear" w:color="auto" w:fill="C00000"/>
          </w:tcPr>
          <w:p>
            <w:pPr>
              <w:jc w:val="right"/>
              <w:ind w:right="41"/>
              <w:spacing w:after="0"/>
              <w:rPr>
                <w:sz w:val="20"/>
                <w:szCs w:val="20"/>
                <w:color w:val="auto"/>
              </w:rPr>
            </w:pPr>
            <w:r>
              <w:rPr>
                <w:rFonts w:ascii="Arial" w:cs="Arial" w:eastAsia="Arial" w:hAnsi="Arial"/>
                <w:sz w:val="14"/>
                <w:szCs w:val="14"/>
                <w:b w:val="1"/>
                <w:bCs w:val="1"/>
                <w:color w:val="FFFFFF"/>
              </w:rPr>
              <w:t>Fiscal 2017</w:t>
            </w:r>
          </w:p>
        </w:tc>
        <w:tc>
          <w:tcPr>
            <w:tcW w:w="2060" w:type="dxa"/>
            <w:vAlign w:val="bottom"/>
            <w:shd w:val="clear" w:color="auto" w:fill="C00000"/>
          </w:tcPr>
          <w:p>
            <w:pPr>
              <w:ind w:left="840"/>
              <w:spacing w:after="0"/>
              <w:rPr>
                <w:sz w:val="20"/>
                <w:szCs w:val="20"/>
                <w:color w:val="auto"/>
              </w:rPr>
            </w:pPr>
            <w:r>
              <w:rPr>
                <w:rFonts w:ascii="Arial" w:cs="Arial" w:eastAsia="Arial" w:hAnsi="Arial"/>
                <w:sz w:val="14"/>
                <w:szCs w:val="14"/>
                <w:b w:val="1"/>
                <w:bCs w:val="1"/>
                <w:color w:val="FFFFFF"/>
              </w:rPr>
              <w:t>Change</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Net sales (in millions)</w:t>
            </w:r>
          </w:p>
        </w:tc>
        <w:tc>
          <w:tcPr>
            <w:tcW w:w="3300" w:type="dxa"/>
            <w:vAlign w:val="bottom"/>
          </w:tcPr>
          <w:p>
            <w:pPr>
              <w:jc w:val="right"/>
              <w:ind w:right="41"/>
              <w:spacing w:after="0"/>
              <w:rPr>
                <w:sz w:val="20"/>
                <w:szCs w:val="20"/>
                <w:color w:val="auto"/>
              </w:rPr>
            </w:pPr>
            <w:r>
              <w:rPr>
                <w:rFonts w:ascii="Arial" w:cs="Arial" w:eastAsia="Arial" w:hAnsi="Arial"/>
                <w:sz w:val="16"/>
                <w:szCs w:val="16"/>
                <w:color w:val="auto"/>
              </w:rPr>
              <w:t>$2,392.2</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$2,505.2</w:t>
            </w:r>
          </w:p>
        </w:tc>
        <w:tc>
          <w:tcPr>
            <w:tcW w:w="2060" w:type="dxa"/>
            <w:vAlign w:val="bottom"/>
          </w:tcPr>
          <w:p>
            <w:pPr>
              <w:jc w:val="center"/>
              <w:ind w:left="61"/>
              <w:spacing w:after="0"/>
              <w:rPr>
                <w:sz w:val="20"/>
                <w:szCs w:val="20"/>
                <w:color w:val="auto"/>
              </w:rPr>
            </w:pPr>
            <w:r>
              <w:rPr>
                <w:rFonts w:ascii="Arial" w:cs="Arial" w:eastAsia="Arial" w:hAnsi="Arial"/>
                <w:sz w:val="16"/>
                <w:szCs w:val="16"/>
                <w:color w:val="auto"/>
              </w:rPr>
              <w:t>+4.7%</w:t>
            </w:r>
          </w:p>
        </w:tc>
      </w:tr>
      <w:tr>
        <w:trPr>
          <w:trHeight w:val="189"/>
        </w:trPr>
        <w:tc>
          <w:tcPr>
            <w:tcW w:w="5020" w:type="dxa"/>
            <w:vAlign w:val="bottom"/>
            <w:shd w:val="clear" w:color="auto" w:fill="D9D9D9"/>
          </w:tcPr>
          <w:p>
            <w:pPr>
              <w:spacing w:after="0"/>
              <w:rPr>
                <w:sz w:val="20"/>
                <w:szCs w:val="20"/>
                <w:color w:val="auto"/>
              </w:rPr>
            </w:pPr>
            <w:r>
              <w:rPr>
                <w:rFonts w:ascii="Arial" w:cs="Arial" w:eastAsia="Arial" w:hAnsi="Arial"/>
                <w:sz w:val="16"/>
                <w:szCs w:val="16"/>
                <w:color w:val="auto"/>
              </w:rPr>
              <w:t>Diluted net EPS</w:t>
            </w:r>
          </w:p>
        </w:tc>
        <w:tc>
          <w:tcPr>
            <w:tcW w:w="330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$2.06</w:t>
            </w:r>
          </w:p>
        </w:tc>
        <w:tc>
          <w:tcPr>
            <w:tcW w:w="104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$2.41</w:t>
            </w:r>
          </w:p>
        </w:tc>
        <w:tc>
          <w:tcPr>
            <w:tcW w:w="2060" w:type="dxa"/>
            <w:vAlign w:val="bottom"/>
            <w:shd w:val="clear" w:color="auto" w:fill="D9D9D9"/>
          </w:tcPr>
          <w:p>
            <w:pPr>
              <w:jc w:val="center"/>
              <w:ind w:left="61"/>
              <w:spacing w:after="0"/>
              <w:rPr>
                <w:sz w:val="20"/>
                <w:szCs w:val="20"/>
                <w:color w:val="auto"/>
              </w:rPr>
            </w:pPr>
            <w:r>
              <w:rPr>
                <w:rFonts w:ascii="Arial" w:cs="Arial" w:eastAsia="Arial" w:hAnsi="Arial"/>
                <w:sz w:val="16"/>
                <w:szCs w:val="16"/>
                <w:color w:val="auto"/>
              </w:rPr>
              <w:t>+ 17.0%</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Corporate average net assets turns*</w:t>
            </w:r>
          </w:p>
        </w:tc>
        <w:tc>
          <w:tcPr>
            <w:tcW w:w="3300" w:type="dxa"/>
            <w:vAlign w:val="bottom"/>
          </w:tcPr>
          <w:p>
            <w:pPr>
              <w:jc w:val="right"/>
              <w:ind w:right="41"/>
              <w:spacing w:after="0"/>
              <w:rPr>
                <w:sz w:val="20"/>
                <w:szCs w:val="20"/>
                <w:color w:val="auto"/>
              </w:rPr>
            </w:pPr>
            <w:r>
              <w:rPr>
                <w:rFonts w:ascii="Arial" w:cs="Arial" w:eastAsia="Arial" w:hAnsi="Arial"/>
                <w:sz w:val="16"/>
                <w:szCs w:val="16"/>
                <w:color w:val="auto"/>
              </w:rPr>
              <w:t>2.14940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2.39530</w:t>
            </w:r>
          </w:p>
        </w:tc>
        <w:tc>
          <w:tcPr>
            <w:tcW w:w="2060" w:type="dxa"/>
            <w:vAlign w:val="bottom"/>
          </w:tcPr>
          <w:p>
            <w:pPr>
              <w:ind w:left="140"/>
              <w:spacing w:after="0"/>
              <w:rPr>
                <w:sz w:val="20"/>
                <w:szCs w:val="20"/>
                <w:color w:val="auto"/>
              </w:rPr>
            </w:pPr>
            <w:r>
              <w:rPr>
                <w:rFonts w:ascii="Arial" w:cs="Arial" w:eastAsia="Arial" w:hAnsi="Arial"/>
                <w:sz w:val="16"/>
                <w:szCs w:val="16"/>
                <w:color w:val="auto"/>
              </w:rPr>
              <w:t>Increase of 0.249 points</w:t>
            </w:r>
          </w:p>
        </w:tc>
      </w:tr>
      <w:tr>
        <w:trPr>
          <w:trHeight w:val="189"/>
        </w:trPr>
        <w:tc>
          <w:tcPr>
            <w:tcW w:w="5020" w:type="dxa"/>
            <w:vAlign w:val="bottom"/>
            <w:shd w:val="clear" w:color="auto" w:fill="D9D9D9"/>
          </w:tcPr>
          <w:p>
            <w:pPr>
              <w:spacing w:after="0"/>
              <w:rPr>
                <w:sz w:val="20"/>
                <w:szCs w:val="20"/>
                <w:color w:val="auto"/>
              </w:rPr>
            </w:pPr>
            <w:r>
              <w:rPr>
                <w:rFonts w:ascii="Arial" w:cs="Arial" w:eastAsia="Arial" w:hAnsi="Arial"/>
                <w:sz w:val="16"/>
                <w:szCs w:val="16"/>
                <w:color w:val="auto"/>
              </w:rPr>
              <w:t>Quarterly cash dividend</w:t>
            </w:r>
          </w:p>
        </w:tc>
        <w:tc>
          <w:tcPr>
            <w:tcW w:w="330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$0.15</w:t>
            </w:r>
          </w:p>
        </w:tc>
        <w:tc>
          <w:tcPr>
            <w:tcW w:w="1040" w:type="dxa"/>
            <w:vAlign w:val="bottom"/>
            <w:shd w:val="clear" w:color="auto" w:fill="D9D9D9"/>
          </w:tcPr>
          <w:p>
            <w:pPr>
              <w:jc w:val="right"/>
              <w:ind w:right="41"/>
              <w:spacing w:after="0"/>
              <w:rPr>
                <w:sz w:val="20"/>
                <w:szCs w:val="20"/>
                <w:color w:val="auto"/>
              </w:rPr>
            </w:pPr>
            <w:r>
              <w:rPr>
                <w:rFonts w:ascii="Arial" w:cs="Arial" w:eastAsia="Arial" w:hAnsi="Arial"/>
                <w:sz w:val="16"/>
                <w:szCs w:val="16"/>
                <w:color w:val="auto"/>
              </w:rPr>
              <w:t>$0.175</w:t>
            </w:r>
          </w:p>
        </w:tc>
        <w:tc>
          <w:tcPr>
            <w:tcW w:w="2060" w:type="dxa"/>
            <w:vAlign w:val="bottom"/>
            <w:shd w:val="clear" w:color="auto" w:fill="D9D9D9"/>
          </w:tcPr>
          <w:p>
            <w:pPr>
              <w:jc w:val="center"/>
              <w:ind w:left="61"/>
              <w:spacing w:after="0"/>
              <w:rPr>
                <w:sz w:val="20"/>
                <w:szCs w:val="20"/>
                <w:color w:val="auto"/>
              </w:rPr>
            </w:pPr>
            <w:r>
              <w:rPr>
                <w:rFonts w:ascii="Arial" w:cs="Arial" w:eastAsia="Arial" w:hAnsi="Arial"/>
                <w:sz w:val="16"/>
                <w:szCs w:val="16"/>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Corporate average net asset turns is defined as total cost of goods sold divided by the twelve month average of net assets less the twelve month average of cash and cash equivalents. Net assets is defined as the fiscal year monthly average of total assets less accounts payables, accrued liabilities, income taxes and other long-term liabilities.</w:t>
      </w:r>
    </w:p>
    <w:p>
      <w:pPr>
        <w:spacing w:after="0" w:line="95" w:lineRule="exact"/>
        <w:rPr>
          <w:sz w:val="20"/>
          <w:szCs w:val="20"/>
          <w:color w:val="auto"/>
        </w:rPr>
      </w:pPr>
    </w:p>
    <w:p>
      <w:pPr>
        <w:ind w:right="480" w:firstLine="456"/>
        <w:spacing w:after="0" w:line="246" w:lineRule="auto"/>
        <w:rPr>
          <w:sz w:val="20"/>
          <w:szCs w:val="20"/>
          <w:color w:val="auto"/>
        </w:rPr>
      </w:pPr>
      <w:r>
        <w:rPr>
          <w:rFonts w:ascii="Arial" w:cs="Arial" w:eastAsia="Arial" w:hAnsi="Arial"/>
          <w:sz w:val="18"/>
          <w:szCs w:val="18"/>
          <w:color w:val="auto"/>
        </w:rPr>
        <w:t>Additionally, during fiscal 2017, we returned nearly $236 million to shareholders through the payment of approximately $76 million in dividends and the repurchase of approximately $160 million of our common stock.</w:t>
      </w:r>
    </w:p>
    <w:p>
      <w:pPr>
        <w:spacing w:after="0" w:line="67" w:lineRule="exact"/>
        <w:rPr>
          <w:sz w:val="20"/>
          <w:szCs w:val="20"/>
          <w:color w:val="auto"/>
        </w:rPr>
      </w:pPr>
    </w:p>
    <w:p>
      <w:pPr>
        <w:ind w:right="4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Impact on Annual Cash Incentives. </w:t>
      </w:r>
      <w:r>
        <w:rPr>
          <w:rFonts w:ascii="Arial" w:cs="Arial" w:eastAsia="Arial" w:hAnsi="Arial"/>
          <w:sz w:val="18"/>
          <w:szCs w:val="18"/>
          <w:color w:val="auto"/>
        </w:rPr>
        <w:t>As described in more detail under “Annual Cash Incentives” beginning on page 37, our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corporate performance as compared to the corporate performance measures established for the fiscal 2017 annual cash incentive awards, is indicated in the table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2260" w:type="dxa"/>
            <w:vAlign w:val="bottom"/>
            <w:shd w:val="clear" w:color="auto" w:fill="C00000"/>
          </w:tcPr>
          <w:p>
            <w:pPr>
              <w:jc w:val="center"/>
              <w:ind w:left="963"/>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Maximum</w:t>
            </w:r>
          </w:p>
        </w:tc>
        <w:tc>
          <w:tcPr>
            <w:tcW w:w="2420" w:type="dxa"/>
            <w:vAlign w:val="bottom"/>
            <w:shd w:val="clear" w:color="auto" w:fill="C00000"/>
          </w:tcPr>
          <w:p>
            <w:pPr>
              <w:spacing w:after="0"/>
              <w:rPr>
                <w:sz w:val="14"/>
                <w:szCs w:val="14"/>
                <w:color w:val="auto"/>
              </w:rPr>
            </w:pPr>
          </w:p>
        </w:tc>
      </w:tr>
      <w:tr>
        <w:trPr>
          <w:trHeight w:val="189"/>
        </w:trPr>
        <w:tc>
          <w:tcPr>
            <w:tcW w:w="40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2017 Performance Measures</w:t>
            </w:r>
          </w:p>
        </w:tc>
        <w:tc>
          <w:tcPr>
            <w:tcW w:w="2260" w:type="dxa"/>
            <w:vAlign w:val="bottom"/>
            <w:shd w:val="clear" w:color="auto" w:fill="C00000"/>
          </w:tcPr>
          <w:p>
            <w:pPr>
              <w:jc w:val="center"/>
              <w:ind w:left="963"/>
              <w:spacing w:after="0"/>
              <w:rPr>
                <w:sz w:val="20"/>
                <w:szCs w:val="20"/>
                <w:color w:val="auto"/>
              </w:rPr>
            </w:pPr>
            <w:r>
              <w:rPr>
                <w:rFonts w:ascii="Arial" w:cs="Arial" w:eastAsia="Arial" w:hAnsi="Arial"/>
                <w:sz w:val="14"/>
                <w:szCs w:val="14"/>
                <w:b w:val="1"/>
                <w:bCs w:val="1"/>
                <w:color w:val="FFFFFF"/>
              </w:rPr>
              <w:t>(40% payout)</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(200% payout)</w:t>
            </w:r>
          </w:p>
        </w:tc>
        <w:tc>
          <w:tcPr>
            <w:tcW w:w="2420" w:type="dxa"/>
            <w:vAlign w:val="bottom"/>
            <w:shd w:val="clear" w:color="auto" w:fill="C00000"/>
          </w:tcPr>
          <w:p>
            <w:pPr>
              <w:jc w:val="center"/>
              <w:ind w:left="100"/>
              <w:spacing w:after="0"/>
              <w:rPr>
                <w:sz w:val="20"/>
                <w:szCs w:val="20"/>
                <w:color w:val="auto"/>
              </w:rPr>
            </w:pPr>
            <w:r>
              <w:rPr>
                <w:rFonts w:ascii="Arial" w:cs="Arial" w:eastAsia="Arial" w:hAnsi="Arial"/>
                <w:sz w:val="14"/>
                <w:szCs w:val="14"/>
                <w:b w:val="1"/>
                <w:bCs w:val="1"/>
                <w:color w:val="FFFFFF"/>
              </w:rPr>
              <w:t>Actual</w:t>
            </w: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40% diluted net EPS</w:t>
            </w:r>
          </w:p>
        </w:tc>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20" w:type="dxa"/>
            <w:vAlign w:val="bottom"/>
          </w:tcPr>
          <w:p>
            <w:pPr>
              <w:jc w:val="center"/>
              <w:ind w:left="80"/>
              <w:spacing w:after="0"/>
              <w:rPr>
                <w:sz w:val="20"/>
                <w:szCs w:val="20"/>
                <w:color w:val="auto"/>
              </w:rPr>
            </w:pPr>
            <w:r>
              <w:rPr>
                <w:rFonts w:ascii="Arial" w:cs="Arial" w:eastAsia="Arial" w:hAnsi="Arial"/>
                <w:sz w:val="16"/>
                <w:szCs w:val="16"/>
                <w:color w:val="auto"/>
              </w:rPr>
              <w:t>$2.41</w:t>
            </w:r>
          </w:p>
        </w:tc>
      </w:tr>
      <w:tr>
        <w:trPr>
          <w:trHeight w:val="201"/>
        </w:trPr>
        <w:tc>
          <w:tcPr>
            <w:tcW w:w="4080" w:type="dxa"/>
            <w:vAlign w:val="bottom"/>
          </w:tcPr>
          <w:p>
            <w:pPr>
              <w:spacing w:after="0"/>
              <w:rPr>
                <w:sz w:val="17"/>
                <w:szCs w:val="17"/>
                <w:color w:val="auto"/>
              </w:rPr>
            </w:pPr>
          </w:p>
        </w:tc>
        <w:tc>
          <w:tcPr>
            <w:tcW w:w="2260" w:type="dxa"/>
            <w:vAlign w:val="bottom"/>
          </w:tcPr>
          <w:p>
            <w:pPr>
              <w:jc w:val="center"/>
              <w:ind w:left="963"/>
              <w:spacing w:after="0"/>
              <w:rPr>
                <w:sz w:val="20"/>
                <w:szCs w:val="20"/>
                <w:color w:val="auto"/>
              </w:rPr>
            </w:pPr>
            <w:r>
              <w:rPr>
                <w:rFonts w:ascii="Arial" w:cs="Arial" w:eastAsia="Arial" w:hAnsi="Arial"/>
                <w:sz w:val="16"/>
                <w:szCs w:val="16"/>
                <w:color w:val="auto"/>
              </w:rPr>
              <w:t>$1.81</w:t>
            </w:r>
          </w:p>
        </w:tc>
        <w:tc>
          <w:tcPr>
            <w:tcW w:w="1340" w:type="dxa"/>
            <w:vAlign w:val="bottom"/>
          </w:tcPr>
          <w:p>
            <w:pPr>
              <w:jc w:val="center"/>
              <w:spacing w:after="0"/>
              <w:rPr>
                <w:sz w:val="20"/>
                <w:szCs w:val="20"/>
                <w:color w:val="auto"/>
              </w:rPr>
            </w:pPr>
            <w:r>
              <w:rPr>
                <w:rFonts w:ascii="Arial" w:cs="Arial" w:eastAsia="Arial" w:hAnsi="Arial"/>
                <w:sz w:val="16"/>
                <w:szCs w:val="16"/>
                <w:color w:val="auto"/>
              </w:rPr>
              <w:t>$2.26</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$2.71</w:t>
            </w:r>
          </w:p>
        </w:tc>
        <w:tc>
          <w:tcPr>
            <w:tcW w:w="2420" w:type="dxa"/>
            <w:vAlign w:val="bottom"/>
          </w:tcPr>
          <w:p>
            <w:pPr>
              <w:jc w:val="center"/>
              <w:ind w:left="100"/>
              <w:spacing w:after="0"/>
              <w:rPr>
                <w:sz w:val="20"/>
                <w:szCs w:val="20"/>
                <w:color w:val="auto"/>
              </w:rPr>
            </w:pPr>
            <w:r>
              <w:rPr>
                <w:rFonts w:ascii="Arial" w:cs="Arial" w:eastAsia="Arial" w:hAnsi="Arial"/>
                <w:sz w:val="16"/>
                <w:szCs w:val="16"/>
                <w:color w:val="auto"/>
              </w:rPr>
              <w:t>(between target and maximum)</w:t>
            </w:r>
          </w:p>
        </w:tc>
      </w:tr>
      <w:tr>
        <w:trPr>
          <w:trHeight w:val="191"/>
        </w:trPr>
        <w:tc>
          <w:tcPr>
            <w:tcW w:w="4080" w:type="dxa"/>
            <w:vAlign w:val="bottom"/>
            <w:shd w:val="clear" w:color="auto" w:fill="D9D9D9"/>
          </w:tcPr>
          <w:p>
            <w:pPr>
              <w:spacing w:after="0"/>
              <w:rPr>
                <w:sz w:val="20"/>
                <w:szCs w:val="20"/>
                <w:color w:val="auto"/>
              </w:rPr>
            </w:pPr>
            <w:r>
              <w:rPr>
                <w:rFonts w:ascii="Arial" w:cs="Arial" w:eastAsia="Arial" w:hAnsi="Arial"/>
                <w:sz w:val="16"/>
                <w:szCs w:val="16"/>
                <w:color w:val="auto"/>
              </w:rPr>
              <w:t>30% corporate revenue growth</w:t>
            </w:r>
          </w:p>
        </w:tc>
        <w:tc>
          <w:tcPr>
            <w:tcW w:w="226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color w:val="auto"/>
              </w:rPr>
              <w:t>4.7%</w:t>
            </w:r>
          </w:p>
        </w:tc>
      </w:tr>
      <w:tr>
        <w:trPr>
          <w:trHeight w:val="201"/>
        </w:trPr>
        <w:tc>
          <w:tcPr>
            <w:tcW w:w="4080" w:type="dxa"/>
            <w:vAlign w:val="bottom"/>
            <w:shd w:val="clear" w:color="auto" w:fill="D9D9D9"/>
          </w:tcPr>
          <w:p>
            <w:pPr>
              <w:spacing w:after="0"/>
              <w:rPr>
                <w:sz w:val="17"/>
                <w:szCs w:val="17"/>
                <w:color w:val="auto"/>
              </w:rPr>
            </w:pPr>
          </w:p>
        </w:tc>
        <w:tc>
          <w:tcPr>
            <w:tcW w:w="2260" w:type="dxa"/>
            <w:vAlign w:val="bottom"/>
            <w:shd w:val="clear" w:color="auto" w:fill="D9D9D9"/>
          </w:tcPr>
          <w:p>
            <w:pPr>
              <w:jc w:val="center"/>
              <w:ind w:left="963"/>
              <w:spacing w:after="0"/>
              <w:rPr>
                <w:sz w:val="20"/>
                <w:szCs w:val="20"/>
                <w:color w:val="auto"/>
              </w:rPr>
            </w:pPr>
            <w:r>
              <w:rPr>
                <w:rFonts w:ascii="Arial" w:cs="Arial" w:eastAsia="Arial" w:hAnsi="Arial"/>
                <w:sz w:val="16"/>
                <w:szCs w:val="16"/>
                <w:color w:val="auto"/>
                <w:w w:val="94"/>
              </w:rPr>
              <w:t>2%</w:t>
            </w:r>
          </w:p>
        </w:tc>
        <w:tc>
          <w:tcPr>
            <w:tcW w:w="13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4.0% – 5.6%</w:t>
            </w:r>
          </w:p>
        </w:tc>
        <w:tc>
          <w:tcPr>
            <w:tcW w:w="132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7.6%</w:t>
            </w: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color w:val="auto"/>
              </w:rPr>
              <w:t>(at target)</w:t>
            </w: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30% corporate average net assets turns</w:t>
            </w:r>
          </w:p>
        </w:tc>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20" w:type="dxa"/>
            <w:vAlign w:val="bottom"/>
          </w:tcPr>
          <w:p>
            <w:pPr>
              <w:jc w:val="center"/>
              <w:ind w:left="80"/>
              <w:spacing w:after="0"/>
              <w:rPr>
                <w:sz w:val="20"/>
                <w:szCs w:val="20"/>
                <w:color w:val="auto"/>
              </w:rPr>
            </w:pPr>
            <w:r>
              <w:rPr>
                <w:rFonts w:ascii="Arial" w:cs="Arial" w:eastAsia="Arial" w:hAnsi="Arial"/>
                <w:sz w:val="16"/>
                <w:szCs w:val="16"/>
                <w:color w:val="auto"/>
              </w:rPr>
              <w:t>2.39530</w:t>
            </w:r>
          </w:p>
        </w:tc>
      </w:tr>
      <w:tr>
        <w:trPr>
          <w:trHeight w:val="201"/>
        </w:trPr>
        <w:tc>
          <w:tcPr>
            <w:tcW w:w="4080" w:type="dxa"/>
            <w:vAlign w:val="bottom"/>
          </w:tcPr>
          <w:p>
            <w:pPr>
              <w:spacing w:after="0"/>
              <w:rPr>
                <w:sz w:val="17"/>
                <w:szCs w:val="17"/>
                <w:color w:val="auto"/>
              </w:rPr>
            </w:pPr>
          </w:p>
        </w:tc>
        <w:tc>
          <w:tcPr>
            <w:tcW w:w="2260" w:type="dxa"/>
            <w:vAlign w:val="bottom"/>
          </w:tcPr>
          <w:p>
            <w:pPr>
              <w:jc w:val="center"/>
              <w:ind w:left="963"/>
              <w:spacing w:after="0"/>
              <w:rPr>
                <w:sz w:val="20"/>
                <w:szCs w:val="20"/>
                <w:color w:val="auto"/>
              </w:rPr>
            </w:pPr>
            <w:r>
              <w:rPr>
                <w:rFonts w:ascii="Arial" w:cs="Arial" w:eastAsia="Arial" w:hAnsi="Arial"/>
                <w:sz w:val="16"/>
                <w:szCs w:val="16"/>
                <w:color w:val="auto"/>
              </w:rPr>
              <w:t>1.89691</w:t>
            </w:r>
          </w:p>
        </w:tc>
        <w:tc>
          <w:tcPr>
            <w:tcW w:w="1340" w:type="dxa"/>
            <w:vAlign w:val="bottom"/>
          </w:tcPr>
          <w:p>
            <w:pPr>
              <w:jc w:val="center"/>
              <w:spacing w:after="0"/>
              <w:rPr>
                <w:sz w:val="20"/>
                <w:szCs w:val="20"/>
                <w:color w:val="auto"/>
              </w:rPr>
            </w:pPr>
            <w:r>
              <w:rPr>
                <w:rFonts w:ascii="Arial" w:cs="Arial" w:eastAsia="Arial" w:hAnsi="Arial"/>
                <w:sz w:val="16"/>
                <w:szCs w:val="16"/>
                <w:color w:val="auto"/>
              </w:rPr>
              <w:t>2.23166</w:t>
            </w:r>
          </w:p>
        </w:tc>
        <w:tc>
          <w:tcPr>
            <w:tcW w:w="1320" w:type="dxa"/>
            <w:vAlign w:val="bottom"/>
          </w:tcPr>
          <w:p>
            <w:pPr>
              <w:jc w:val="center"/>
              <w:spacing w:after="0"/>
              <w:rPr>
                <w:sz w:val="20"/>
                <w:szCs w:val="20"/>
                <w:color w:val="auto"/>
              </w:rPr>
            </w:pPr>
            <w:r>
              <w:rPr>
                <w:rFonts w:ascii="Arial" w:cs="Arial" w:eastAsia="Arial" w:hAnsi="Arial"/>
                <w:sz w:val="16"/>
                <w:szCs w:val="16"/>
                <w:color w:val="auto"/>
              </w:rPr>
              <w:t>2.56641</w:t>
            </w:r>
          </w:p>
        </w:tc>
        <w:tc>
          <w:tcPr>
            <w:tcW w:w="2420" w:type="dxa"/>
            <w:vAlign w:val="bottom"/>
          </w:tcPr>
          <w:p>
            <w:pPr>
              <w:jc w:val="center"/>
              <w:ind w:left="100"/>
              <w:spacing w:after="0"/>
              <w:rPr>
                <w:sz w:val="20"/>
                <w:szCs w:val="20"/>
                <w:color w:val="auto"/>
              </w:rPr>
            </w:pPr>
            <w:r>
              <w:rPr>
                <w:rFonts w:ascii="Arial" w:cs="Arial" w:eastAsia="Arial" w:hAnsi="Arial"/>
                <w:sz w:val="16"/>
                <w:szCs w:val="16"/>
                <w:color w:val="auto"/>
              </w:rPr>
              <w:t>(between target and maximum)</w:t>
            </w:r>
          </w:p>
        </w:tc>
      </w:tr>
      <w:tr>
        <w:trPr>
          <w:trHeight w:val="189"/>
        </w:trPr>
        <w:tc>
          <w:tcPr>
            <w:tcW w:w="4080" w:type="dxa"/>
            <w:vAlign w:val="bottom"/>
            <w:shd w:val="clear" w:color="auto" w:fill="D9D9D9"/>
          </w:tcPr>
          <w:p>
            <w:pPr>
              <w:spacing w:after="0"/>
              <w:rPr>
                <w:sz w:val="20"/>
                <w:szCs w:val="20"/>
                <w:color w:val="auto"/>
              </w:rPr>
            </w:pPr>
            <w:r>
              <w:rPr>
                <w:rFonts w:ascii="Arial" w:cs="Arial" w:eastAsia="Arial" w:hAnsi="Arial"/>
                <w:sz w:val="16"/>
                <w:szCs w:val="16"/>
                <w:b w:val="1"/>
                <w:bCs w:val="1"/>
                <w:color w:val="auto"/>
              </w:rPr>
              <w:t>Corporate performance payout</w:t>
            </w:r>
          </w:p>
        </w:tc>
        <w:tc>
          <w:tcPr>
            <w:tcW w:w="226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b w:val="1"/>
                <w:bCs w:val="1"/>
                <w:color w:val="auto"/>
              </w:rPr>
              <w:t>127.94% of target</w:t>
            </w:r>
          </w:p>
        </w:tc>
      </w:tr>
    </w:tbl>
    <w:p>
      <w:pPr>
        <w:spacing w:after="0" w:line="85" w:lineRule="exact"/>
        <w:rPr>
          <w:sz w:val="20"/>
          <w:szCs w:val="20"/>
          <w:color w:val="auto"/>
        </w:rPr>
      </w:pPr>
    </w:p>
    <w:p>
      <w:pPr>
        <w:ind w:right="3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Impact on Long-Term Incentives. </w:t>
      </w:r>
      <w:r>
        <w:rPr>
          <w:rFonts w:ascii="Arial" w:cs="Arial" w:eastAsia="Arial" w:hAnsi="Arial"/>
          <w:sz w:val="18"/>
          <w:szCs w:val="18"/>
          <w:color w:val="auto"/>
        </w:rPr>
        <w:t>As described in more detail under “Long-Term Incentives—Performance Measures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 Ending in Fiscal 2017” beginning on page 42, the three-year cumulative corporate performance for fiscal 2015 to fiscal 2017 as compared to the cumulative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corporate performance measures established for the fiscal 2015 to fiscal 2017 performance period, is indicated in the table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2015 to Fiscal 2017</w:t>
            </w:r>
          </w:p>
        </w:tc>
        <w:tc>
          <w:tcPr>
            <w:tcW w:w="1480" w:type="dxa"/>
            <w:vAlign w:val="bottom"/>
            <w:shd w:val="clear" w:color="auto" w:fill="C00000"/>
          </w:tcPr>
          <w:p>
            <w:pPr>
              <w:jc w:val="right"/>
              <w:ind w:right="183"/>
              <w:spacing w:after="0"/>
              <w:rPr>
                <w:sz w:val="20"/>
                <w:szCs w:val="20"/>
                <w:color w:val="auto"/>
              </w:rPr>
            </w:pPr>
            <w:r>
              <w:rPr>
                <w:rFonts w:ascii="Arial" w:cs="Arial" w:eastAsia="Arial" w:hAnsi="Arial"/>
                <w:sz w:val="14"/>
                <w:szCs w:val="14"/>
                <w:b w:val="1"/>
                <w:bCs w:val="1"/>
                <w:color w:val="FFFFFF"/>
              </w:rPr>
              <w:t>Threshold</w:t>
            </w:r>
          </w:p>
        </w:tc>
        <w:tc>
          <w:tcPr>
            <w:tcW w:w="1260" w:type="dxa"/>
            <w:vAlign w:val="bottom"/>
            <w:shd w:val="clear" w:color="auto" w:fill="C00000"/>
          </w:tcPr>
          <w:p>
            <w:pPr>
              <w:jc w:val="right"/>
              <w:ind w:right="343"/>
              <w:spacing w:after="0"/>
              <w:rPr>
                <w:sz w:val="20"/>
                <w:szCs w:val="20"/>
                <w:color w:val="auto"/>
              </w:rPr>
            </w:pPr>
            <w:r>
              <w:rPr>
                <w:rFonts w:ascii="Arial" w:cs="Arial" w:eastAsia="Arial" w:hAnsi="Arial"/>
                <w:sz w:val="14"/>
                <w:szCs w:val="14"/>
                <w:b w:val="1"/>
                <w:bCs w:val="1"/>
                <w:color w:val="FFFFFF"/>
              </w:rPr>
              <w:t>Target</w:t>
            </w:r>
          </w:p>
        </w:tc>
        <w:tc>
          <w:tcPr>
            <w:tcW w:w="1300" w:type="dxa"/>
            <w:vAlign w:val="bottom"/>
            <w:shd w:val="clear" w:color="auto" w:fill="C00000"/>
          </w:tcPr>
          <w:p>
            <w:pPr>
              <w:jc w:val="right"/>
              <w:ind w:right="243"/>
              <w:spacing w:after="0"/>
              <w:rPr>
                <w:sz w:val="20"/>
                <w:szCs w:val="20"/>
                <w:color w:val="auto"/>
              </w:rPr>
            </w:pPr>
            <w:r>
              <w:rPr>
                <w:rFonts w:ascii="Arial" w:cs="Arial" w:eastAsia="Arial" w:hAnsi="Arial"/>
                <w:sz w:val="14"/>
                <w:szCs w:val="14"/>
                <w:b w:val="1"/>
                <w:bCs w:val="1"/>
                <w:color w:val="FFFFFF"/>
              </w:rPr>
              <w:t>Maximum</w:t>
            </w:r>
          </w:p>
        </w:tc>
        <w:tc>
          <w:tcPr>
            <w:tcW w:w="2440" w:type="dxa"/>
            <w:vAlign w:val="bottom"/>
            <w:shd w:val="clear" w:color="auto" w:fill="C00000"/>
          </w:tcPr>
          <w:p>
            <w:pPr>
              <w:spacing w:after="0"/>
              <w:rPr>
                <w:sz w:val="14"/>
                <w:szCs w:val="14"/>
                <w:color w:val="auto"/>
              </w:rPr>
            </w:pPr>
          </w:p>
        </w:tc>
      </w:tr>
      <w:tr>
        <w:trPr>
          <w:trHeight w:val="189"/>
        </w:trPr>
        <w:tc>
          <w:tcPr>
            <w:tcW w:w="49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Measures</w:t>
            </w:r>
          </w:p>
        </w:tc>
        <w:tc>
          <w:tcPr>
            <w:tcW w:w="1480" w:type="dxa"/>
            <w:vAlign w:val="bottom"/>
            <w:shd w:val="clear" w:color="auto" w:fill="C00000"/>
          </w:tcPr>
          <w:p>
            <w:pPr>
              <w:jc w:val="right"/>
              <w:ind w:right="83"/>
              <w:spacing w:after="0"/>
              <w:rPr>
                <w:sz w:val="20"/>
                <w:szCs w:val="20"/>
                <w:color w:val="auto"/>
              </w:rPr>
            </w:pPr>
            <w:r>
              <w:rPr>
                <w:rFonts w:ascii="Arial" w:cs="Arial" w:eastAsia="Arial" w:hAnsi="Arial"/>
                <w:sz w:val="14"/>
                <w:szCs w:val="14"/>
                <w:b w:val="1"/>
                <w:bCs w:val="1"/>
                <w:color w:val="FFFFFF"/>
              </w:rPr>
              <w:t>(40% payout)</w:t>
            </w:r>
          </w:p>
        </w:tc>
        <w:tc>
          <w:tcPr>
            <w:tcW w:w="1260" w:type="dxa"/>
            <w:vAlign w:val="bottom"/>
            <w:shd w:val="clear" w:color="auto" w:fill="C00000"/>
          </w:tcPr>
          <w:p>
            <w:pPr>
              <w:jc w:val="right"/>
              <w:ind w:right="63"/>
              <w:spacing w:after="0"/>
              <w:rPr>
                <w:sz w:val="20"/>
                <w:szCs w:val="20"/>
                <w:color w:val="auto"/>
              </w:rPr>
            </w:pPr>
            <w:r>
              <w:rPr>
                <w:rFonts w:ascii="Arial" w:cs="Arial" w:eastAsia="Arial" w:hAnsi="Arial"/>
                <w:sz w:val="14"/>
                <w:szCs w:val="14"/>
                <w:b w:val="1"/>
                <w:bCs w:val="1"/>
                <w:color w:val="FFFFFF"/>
              </w:rPr>
              <w:t>(100% payout)</w:t>
            </w:r>
          </w:p>
        </w:tc>
        <w:tc>
          <w:tcPr>
            <w:tcW w:w="1300" w:type="dxa"/>
            <w:vAlign w:val="bottom"/>
            <w:shd w:val="clear" w:color="auto" w:fill="C00000"/>
          </w:tcPr>
          <w:p>
            <w:pPr>
              <w:jc w:val="right"/>
              <w:ind w:right="103"/>
              <w:spacing w:after="0"/>
              <w:rPr>
                <w:sz w:val="20"/>
                <w:szCs w:val="20"/>
                <w:color w:val="auto"/>
              </w:rPr>
            </w:pPr>
            <w:r>
              <w:rPr>
                <w:rFonts w:ascii="Arial" w:cs="Arial" w:eastAsia="Arial" w:hAnsi="Arial"/>
                <w:sz w:val="14"/>
                <w:szCs w:val="14"/>
                <w:b w:val="1"/>
                <w:bCs w:val="1"/>
                <w:color w:val="FFFFFF"/>
              </w:rPr>
              <w:t>(200% payout)</w:t>
            </w:r>
          </w:p>
        </w:tc>
        <w:tc>
          <w:tcPr>
            <w:tcW w:w="2440" w:type="dxa"/>
            <w:vAlign w:val="bottom"/>
            <w:shd w:val="clear" w:color="auto" w:fill="C00000"/>
          </w:tcPr>
          <w:p>
            <w:pPr>
              <w:jc w:val="center"/>
              <w:ind w:left="40"/>
              <w:spacing w:after="0"/>
              <w:rPr>
                <w:sz w:val="20"/>
                <w:szCs w:val="20"/>
                <w:color w:val="auto"/>
              </w:rPr>
            </w:pPr>
            <w:r>
              <w:rPr>
                <w:rFonts w:ascii="Arial" w:cs="Arial" w:eastAsia="Arial" w:hAnsi="Arial"/>
                <w:sz w:val="14"/>
                <w:szCs w:val="14"/>
                <w:b w:val="1"/>
                <w:bCs w:val="1"/>
                <w:color w:val="FFFFFF"/>
              </w:rPr>
              <w:t>Actual</w:t>
            </w:r>
          </w:p>
        </w:tc>
      </w:tr>
      <w:tr>
        <w:trPr>
          <w:trHeight w:val="191"/>
        </w:trPr>
        <w:tc>
          <w:tcPr>
            <w:tcW w:w="4940" w:type="dxa"/>
            <w:vAlign w:val="bottom"/>
          </w:tcPr>
          <w:p>
            <w:pPr>
              <w:spacing w:after="0"/>
              <w:rPr>
                <w:sz w:val="20"/>
                <w:szCs w:val="20"/>
                <w:color w:val="auto"/>
              </w:rPr>
            </w:pPr>
            <w:r>
              <w:rPr>
                <w:rFonts w:ascii="Arial" w:cs="Arial" w:eastAsia="Arial" w:hAnsi="Arial"/>
                <w:sz w:val="16"/>
                <w:szCs w:val="16"/>
                <w:color w:val="auto"/>
              </w:rPr>
              <w:t>50% cumulative corporate net income plus after-tax interest (in</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tcPr>
          <w:p>
            <w:pPr>
              <w:jc w:val="center"/>
              <w:ind w:left="40"/>
              <w:spacing w:after="0"/>
              <w:rPr>
                <w:sz w:val="20"/>
                <w:szCs w:val="20"/>
                <w:color w:val="auto"/>
              </w:rPr>
            </w:pPr>
            <w:r>
              <w:rPr>
                <w:rFonts w:ascii="Arial" w:cs="Arial" w:eastAsia="Arial" w:hAnsi="Arial"/>
                <w:sz w:val="16"/>
                <w:szCs w:val="16"/>
                <w:color w:val="auto"/>
              </w:rPr>
              <w:t>$720,518</w:t>
            </w:r>
          </w:p>
        </w:tc>
      </w:tr>
      <w:tr>
        <w:trPr>
          <w:trHeight w:val="201"/>
        </w:trPr>
        <w:tc>
          <w:tcPr>
            <w:tcW w:w="4940" w:type="dxa"/>
            <w:vAlign w:val="bottom"/>
          </w:tcPr>
          <w:p>
            <w:pPr>
              <w:ind w:left="180"/>
              <w:spacing w:after="0"/>
              <w:rPr>
                <w:sz w:val="20"/>
                <w:szCs w:val="20"/>
                <w:color w:val="auto"/>
              </w:rPr>
            </w:pPr>
            <w:r>
              <w:rPr>
                <w:rFonts w:ascii="Arial" w:cs="Arial" w:eastAsia="Arial" w:hAnsi="Arial"/>
                <w:sz w:val="16"/>
                <w:szCs w:val="16"/>
                <w:color w:val="auto"/>
              </w:rPr>
              <w:t>thousands)*</w:t>
            </w: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$527,552</w:t>
            </w: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$659,441</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$747,364</w:t>
            </w:r>
          </w:p>
        </w:tc>
        <w:tc>
          <w:tcPr>
            <w:tcW w:w="2440" w:type="dxa"/>
            <w:vAlign w:val="bottom"/>
          </w:tcPr>
          <w:p>
            <w:pPr>
              <w:jc w:val="center"/>
              <w:ind w:left="40"/>
              <w:spacing w:after="0"/>
              <w:rPr>
                <w:sz w:val="20"/>
                <w:szCs w:val="20"/>
                <w:color w:val="auto"/>
              </w:rPr>
            </w:pPr>
            <w:r>
              <w:rPr>
                <w:rFonts w:ascii="Arial" w:cs="Arial" w:eastAsia="Arial" w:hAnsi="Arial"/>
                <w:sz w:val="16"/>
                <w:szCs w:val="16"/>
                <w:color w:val="auto"/>
              </w:rPr>
              <w:t>(between target and maximum)</w:t>
            </w:r>
          </w:p>
        </w:tc>
      </w:tr>
      <w:tr>
        <w:trPr>
          <w:trHeight w:val="191"/>
        </w:trPr>
        <w:tc>
          <w:tcPr>
            <w:tcW w:w="4940" w:type="dxa"/>
            <w:vAlign w:val="bottom"/>
            <w:shd w:val="clear" w:color="auto" w:fill="D9D9D9"/>
          </w:tcPr>
          <w:p>
            <w:pPr>
              <w:spacing w:after="0"/>
              <w:rPr>
                <w:sz w:val="20"/>
                <w:szCs w:val="20"/>
                <w:color w:val="auto"/>
              </w:rPr>
            </w:pPr>
            <w:r>
              <w:rPr>
                <w:rFonts w:ascii="Arial" w:cs="Arial" w:eastAsia="Arial" w:hAnsi="Arial"/>
                <w:sz w:val="16"/>
                <w:szCs w:val="16"/>
                <w:color w:val="auto"/>
              </w:rPr>
              <w:t>30% cumulative corporate revenue (in thousands)</w:t>
            </w:r>
          </w:p>
        </w:tc>
        <w:tc>
          <w:tcPr>
            <w:tcW w:w="148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1300" w:type="dxa"/>
            <w:vAlign w:val="bottom"/>
            <w:shd w:val="clear" w:color="auto" w:fill="D9D9D9"/>
          </w:tcPr>
          <w:p>
            <w:pPr>
              <w:spacing w:after="0"/>
              <w:rPr>
                <w:sz w:val="16"/>
                <w:szCs w:val="16"/>
                <w:color w:val="auto"/>
              </w:rPr>
            </w:pPr>
          </w:p>
        </w:tc>
        <w:tc>
          <w:tcPr>
            <w:tcW w:w="2440" w:type="dxa"/>
            <w:vAlign w:val="bottom"/>
            <w:shd w:val="clear" w:color="auto" w:fill="D9D9D9"/>
          </w:tcPr>
          <w:p>
            <w:pPr>
              <w:jc w:val="center"/>
              <w:ind w:left="40"/>
              <w:spacing w:after="0"/>
              <w:rPr>
                <w:sz w:val="20"/>
                <w:szCs w:val="20"/>
                <w:color w:val="auto"/>
              </w:rPr>
            </w:pPr>
            <w:r>
              <w:rPr>
                <w:rFonts w:ascii="Arial" w:cs="Arial" w:eastAsia="Arial" w:hAnsi="Arial"/>
                <w:sz w:val="16"/>
                <w:szCs w:val="16"/>
                <w:color w:val="auto"/>
                <w:w w:val="99"/>
              </w:rPr>
              <w:t>$7,288,227</w:t>
            </w:r>
          </w:p>
        </w:tc>
      </w:tr>
      <w:tr>
        <w:trPr>
          <w:trHeight w:val="201"/>
        </w:trPr>
        <w:tc>
          <w:tcPr>
            <w:tcW w:w="4940" w:type="dxa"/>
            <w:vAlign w:val="bottom"/>
            <w:shd w:val="clear" w:color="auto" w:fill="D9D9D9"/>
          </w:tcPr>
          <w:p>
            <w:pPr>
              <w:spacing w:after="0"/>
              <w:rPr>
                <w:sz w:val="17"/>
                <w:szCs w:val="17"/>
                <w:color w:val="auto"/>
              </w:rPr>
            </w:pPr>
          </w:p>
        </w:tc>
        <w:tc>
          <w:tcPr>
            <w:tcW w:w="148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$6,822,529</w:t>
            </w:r>
          </w:p>
        </w:tc>
        <w:tc>
          <w:tcPr>
            <w:tcW w:w="126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$7,607,515</w:t>
            </w:r>
          </w:p>
        </w:tc>
        <w:tc>
          <w:tcPr>
            <w:tcW w:w="130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$7,661,187</w:t>
            </w:r>
          </w:p>
        </w:tc>
        <w:tc>
          <w:tcPr>
            <w:tcW w:w="2440" w:type="dxa"/>
            <w:vAlign w:val="bottom"/>
            <w:shd w:val="clear" w:color="auto" w:fill="D9D9D9"/>
          </w:tcPr>
          <w:p>
            <w:pPr>
              <w:jc w:val="center"/>
              <w:ind w:left="40"/>
              <w:spacing w:after="0"/>
              <w:rPr>
                <w:sz w:val="20"/>
                <w:szCs w:val="20"/>
                <w:color w:val="auto"/>
              </w:rPr>
            </w:pPr>
            <w:r>
              <w:rPr>
                <w:rFonts w:ascii="Arial" w:cs="Arial" w:eastAsia="Arial" w:hAnsi="Arial"/>
                <w:sz w:val="16"/>
                <w:szCs w:val="16"/>
                <w:color w:val="auto"/>
              </w:rPr>
              <w:t>(between threshold and target)</w:t>
            </w:r>
          </w:p>
        </w:tc>
      </w:tr>
      <w:tr>
        <w:trPr>
          <w:trHeight w:val="191"/>
        </w:trPr>
        <w:tc>
          <w:tcPr>
            <w:tcW w:w="4940" w:type="dxa"/>
            <w:vAlign w:val="bottom"/>
          </w:tcPr>
          <w:p>
            <w:pPr>
              <w:spacing w:after="0"/>
              <w:rPr>
                <w:sz w:val="20"/>
                <w:szCs w:val="20"/>
                <w:color w:val="auto"/>
              </w:rPr>
            </w:pPr>
            <w:r>
              <w:rPr>
                <w:rFonts w:ascii="Arial" w:cs="Arial" w:eastAsia="Arial" w:hAnsi="Arial"/>
                <w:sz w:val="16"/>
                <w:szCs w:val="16"/>
                <w:color w:val="auto"/>
              </w:rPr>
              <w:t>20% cumulative corporate average net assets turns</w:t>
            </w:r>
          </w:p>
        </w:tc>
        <w:tc>
          <w:tcPr>
            <w:tcW w:w="1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tcPr>
          <w:p>
            <w:pPr>
              <w:jc w:val="center"/>
              <w:ind w:left="40"/>
              <w:spacing w:after="0"/>
              <w:rPr>
                <w:sz w:val="20"/>
                <w:szCs w:val="20"/>
                <w:color w:val="auto"/>
              </w:rPr>
            </w:pPr>
            <w:r>
              <w:rPr>
                <w:rFonts w:ascii="Arial" w:cs="Arial" w:eastAsia="Arial" w:hAnsi="Arial"/>
                <w:sz w:val="16"/>
                <w:szCs w:val="16"/>
                <w:color w:val="auto"/>
              </w:rPr>
              <w:t>6.66650</w:t>
            </w:r>
          </w:p>
        </w:tc>
      </w:tr>
      <w:tr>
        <w:trPr>
          <w:trHeight w:val="201"/>
        </w:trPr>
        <w:tc>
          <w:tcPr>
            <w:tcW w:w="4940" w:type="dxa"/>
            <w:vAlign w:val="bottom"/>
          </w:tcPr>
          <w:p>
            <w:pPr>
              <w:spacing w:after="0"/>
              <w:rPr>
                <w:sz w:val="17"/>
                <w:szCs w:val="17"/>
                <w:color w:val="auto"/>
              </w:rPr>
            </w:pP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5.55672</w:t>
            </w: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6.53732</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7.51792</w:t>
            </w:r>
          </w:p>
        </w:tc>
        <w:tc>
          <w:tcPr>
            <w:tcW w:w="2440" w:type="dxa"/>
            <w:vAlign w:val="bottom"/>
          </w:tcPr>
          <w:p>
            <w:pPr>
              <w:jc w:val="center"/>
              <w:ind w:left="40"/>
              <w:spacing w:after="0"/>
              <w:rPr>
                <w:sz w:val="20"/>
                <w:szCs w:val="20"/>
                <w:color w:val="auto"/>
              </w:rPr>
            </w:pPr>
            <w:r>
              <w:rPr>
                <w:rFonts w:ascii="Arial" w:cs="Arial" w:eastAsia="Arial" w:hAnsi="Arial"/>
                <w:sz w:val="16"/>
                <w:szCs w:val="16"/>
                <w:color w:val="auto"/>
              </w:rPr>
              <w:t>(between target and maximum)</w:t>
            </w:r>
          </w:p>
        </w:tc>
      </w:tr>
      <w:tr>
        <w:trPr>
          <w:trHeight w:val="189"/>
        </w:trPr>
        <w:tc>
          <w:tcPr>
            <w:tcW w:w="4940" w:type="dxa"/>
            <w:vAlign w:val="bottom"/>
            <w:shd w:val="clear" w:color="auto" w:fill="D9D9D9"/>
          </w:tcPr>
          <w:p>
            <w:pPr>
              <w:spacing w:after="0"/>
              <w:rPr>
                <w:sz w:val="20"/>
                <w:szCs w:val="20"/>
                <w:color w:val="auto"/>
              </w:rPr>
            </w:pPr>
            <w:r>
              <w:rPr>
                <w:rFonts w:ascii="Arial" w:cs="Arial" w:eastAsia="Arial" w:hAnsi="Arial"/>
                <w:sz w:val="16"/>
                <w:szCs w:val="16"/>
                <w:b w:val="1"/>
                <w:bCs w:val="1"/>
                <w:color w:val="auto"/>
              </w:rPr>
              <w:t>Fiscal 2015 to fiscal 2017 performance share award payout</w:t>
            </w:r>
          </w:p>
        </w:tc>
        <w:tc>
          <w:tcPr>
            <w:tcW w:w="1480" w:type="dxa"/>
            <w:vAlign w:val="bottom"/>
            <w:shd w:val="clear" w:color="auto" w:fill="D9D9D9"/>
          </w:tcPr>
          <w:p>
            <w:pPr>
              <w:spacing w:after="0"/>
              <w:rPr>
                <w:sz w:val="16"/>
                <w:szCs w:val="16"/>
                <w:color w:val="auto"/>
              </w:rPr>
            </w:pPr>
          </w:p>
        </w:tc>
        <w:tc>
          <w:tcPr>
            <w:tcW w:w="1260" w:type="dxa"/>
            <w:vAlign w:val="bottom"/>
            <w:shd w:val="clear" w:color="auto" w:fill="D9D9D9"/>
          </w:tcPr>
          <w:p>
            <w:pPr>
              <w:spacing w:after="0"/>
              <w:rPr>
                <w:sz w:val="16"/>
                <w:szCs w:val="16"/>
                <w:color w:val="auto"/>
              </w:rPr>
            </w:pPr>
          </w:p>
        </w:tc>
        <w:tc>
          <w:tcPr>
            <w:tcW w:w="1300" w:type="dxa"/>
            <w:vAlign w:val="bottom"/>
            <w:shd w:val="clear" w:color="auto" w:fill="D9D9D9"/>
          </w:tcPr>
          <w:p>
            <w:pPr>
              <w:spacing w:after="0"/>
              <w:rPr>
                <w:sz w:val="16"/>
                <w:szCs w:val="16"/>
                <w:color w:val="auto"/>
              </w:rPr>
            </w:pPr>
          </w:p>
        </w:tc>
        <w:tc>
          <w:tcPr>
            <w:tcW w:w="2440" w:type="dxa"/>
            <w:vAlign w:val="bottom"/>
            <w:shd w:val="clear" w:color="auto" w:fill="D9D9D9"/>
          </w:tcPr>
          <w:p>
            <w:pPr>
              <w:jc w:val="center"/>
              <w:ind w:left="40"/>
              <w:spacing w:after="0"/>
              <w:rPr>
                <w:sz w:val="20"/>
                <w:szCs w:val="20"/>
                <w:color w:val="auto"/>
              </w:rPr>
            </w:pPr>
            <w:r>
              <w:rPr>
                <w:rFonts w:ascii="Arial" w:cs="Arial" w:eastAsia="Arial" w:hAnsi="Arial"/>
                <w:sz w:val="16"/>
                <w:szCs w:val="16"/>
                <w:b w:val="1"/>
                <w:bCs w:val="1"/>
                <w:color w:val="auto"/>
              </w:rPr>
              <w:t>130.05%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86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Cumulative corporate net income plus after-tax interest is defined as net earnings plus interest expense, net of taxes.</w:t>
      </w:r>
    </w:p>
    <w:p>
      <w:pPr>
        <w:spacing w:after="0" w:line="82" w:lineRule="exact"/>
        <w:rPr>
          <w:sz w:val="20"/>
          <w:szCs w:val="20"/>
          <w:color w:val="auto"/>
        </w:rPr>
      </w:pPr>
    </w:p>
    <w:p>
      <w:pPr>
        <w:ind w:right="180" w:firstLine="456"/>
        <w:spacing w:after="0" w:line="247"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There are several elements to our executive officer compensation decision-making, which</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allow us to most effectively implement our established compensation philosophy. The Compensation &amp; Human Resources Committee, its independent external compensation consultant and Management all have a role in decision making for executive officer compensation. These roles are described below:</w:t>
      </w:r>
    </w:p>
    <w:p>
      <w:pPr>
        <w:spacing w:after="0" w:line="66" w:lineRule="exact"/>
        <w:rPr>
          <w:sz w:val="20"/>
          <w:szCs w:val="20"/>
          <w:color w:val="auto"/>
        </w:rPr>
      </w:pPr>
    </w:p>
    <w:p>
      <w:pPr>
        <w:ind w:right="660" w:firstLine="456"/>
        <w:spacing w:after="0" w:line="247"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solely of independent directors, oversees our executive compensation program. Within its duties, the Committee approves compensation for each of our executive officers. In addition, compensation approved by the Committee for our CEO, is submitted to the independent directors of the Board for ratification. In doing so, the Committee:</w:t>
      </w:r>
    </w:p>
    <w:p>
      <w:pPr>
        <w:spacing w:after="0" w:line="102" w:lineRule="exact"/>
        <w:rPr>
          <w:sz w:val="20"/>
          <w:szCs w:val="20"/>
          <w:color w:val="auto"/>
        </w:rPr>
      </w:pPr>
    </w:p>
    <w:p>
      <w:pPr>
        <w:ind w:left="780" w:right="320" w:hanging="326"/>
        <w:spacing w:after="0" w:line="246"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61" w:lineRule="exact"/>
        <w:rPr>
          <w:rFonts w:ascii="Arial" w:cs="Arial" w:eastAsia="Arial" w:hAnsi="Arial"/>
          <w:sz w:val="18"/>
          <w:szCs w:val="18"/>
          <w:color w:val="auto"/>
        </w:rPr>
      </w:pPr>
    </w:p>
    <w:p>
      <w:pPr>
        <w:ind w:left="780" w:right="580" w:hanging="326"/>
        <w:spacing w:after="0" w:line="246"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approves corporate and division financial performance measures, weightings, goals and performance adjustment events, if any, related to our annual and long-term incentive awards;</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long-term performance share award payouts;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proposed changes to other elements of our executive compensation program.</w:t>
      </w:r>
    </w:p>
    <w:p>
      <w:pPr>
        <w:spacing w:after="0" w:line="104"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During fiscal 2017, the Committee received input from Willis Towers Watson, its independent external compensation consultant, and our Management, including our Chairman, President and CEO, Vice President, Human Resources and Distributor Development and our Managing Director, Total Rewards and Employee Services.</w:t>
      </w:r>
    </w:p>
    <w:p>
      <w:pPr>
        <w:spacing w:after="0" w:line="73" w:lineRule="exact"/>
        <w:rPr>
          <w:sz w:val="20"/>
          <w:szCs w:val="20"/>
          <w:color w:val="auto"/>
        </w:rPr>
      </w:pPr>
    </w:p>
    <w:p>
      <w:pPr>
        <w:ind w:right="260" w:firstLine="456"/>
        <w:spacing w:after="0" w:line="271" w:lineRule="auto"/>
        <w:rPr>
          <w:sz w:val="20"/>
          <w:szCs w:val="20"/>
          <w:color w:val="auto"/>
        </w:rPr>
      </w:pPr>
      <w:r>
        <w:rPr>
          <w:rFonts w:ascii="Arial" w:cs="Arial" w:eastAsia="Arial" w:hAnsi="Arial"/>
          <w:sz w:val="18"/>
          <w:szCs w:val="18"/>
          <w:b w:val="1"/>
          <w:bCs w:val="1"/>
          <w:i w:val="1"/>
          <w:iCs w:val="1"/>
          <w:color w:val="auto"/>
        </w:rPr>
        <w:t xml:space="preserve">Role of the Independent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68"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 representative from Willis Towers Watson attended two of the three Committee meetings in fiscal 2017, including attendance in executive session without Management present, and generally communicated with the Chair of the Committee in advance of, and/or following, such Committee meetings. During fiscal 2017, Willis Towers Watson reviewed and discussed executive compensation structure and trends with Management and the Committee and provided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5"/>
          <w:szCs w:val="15"/>
          <w:color w:val="auto"/>
        </w:rPr>
        <w:t>th</w:t>
      </w:r>
      <w:r>
        <w:rPr>
          <w:rFonts w:ascii="Arial" w:cs="Arial" w:eastAsia="Arial" w:hAnsi="Arial"/>
          <w:sz w:val="18"/>
          <w:szCs w:val="18"/>
          <w:color w:val="auto"/>
        </w:rPr>
        <w:t>, 50</w:t>
      </w:r>
      <w:r>
        <w:rPr>
          <w:rFonts w:ascii="Arial" w:cs="Arial" w:eastAsia="Arial" w:hAnsi="Arial"/>
          <w:sz w:val="15"/>
          <w:szCs w:val="15"/>
          <w:color w:val="auto"/>
        </w:rPr>
        <w:t>th</w:t>
      </w:r>
      <w:r>
        <w:rPr>
          <w:rFonts w:ascii="Arial" w:cs="Arial" w:eastAsia="Arial" w:hAnsi="Arial"/>
          <w:sz w:val="18"/>
          <w:szCs w:val="18"/>
          <w:color w:val="auto"/>
        </w:rPr>
        <w:t xml:space="preserve"> and 75</w:t>
      </w:r>
      <w:r>
        <w:rPr>
          <w:rFonts w:ascii="Arial" w:cs="Arial" w:eastAsia="Arial" w:hAnsi="Arial"/>
          <w:sz w:val="15"/>
          <w:szCs w:val="15"/>
          <w:color w:val="auto"/>
        </w:rPr>
        <w:t>th</w:t>
      </w:r>
      <w:r>
        <w:rPr>
          <w:rFonts w:ascii="Arial" w:cs="Arial" w:eastAsia="Arial" w:hAnsi="Arial"/>
          <w:sz w:val="18"/>
          <w:szCs w:val="18"/>
          <w:color w:val="auto"/>
        </w:rPr>
        <w:t xml:space="preserve"> percentiles. Additionally, during fiscal 2017, Willis Towers Watson reviewed and discussed executive officer compensation recommendations made by Management in advance of applicable Committee meetings and participated in discussions at the Committee meetings regarding those recommendations. Willis Towers Watson is engaged by the Committee from time to time to perform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other compensation consulting services, which in fiscal 2017 included a review of non-employee director compensation and a review of the current risk management practices and risk-taking incentives used by us for compensating executive officers.</w:t>
      </w:r>
    </w:p>
    <w:p>
      <w:pPr>
        <w:spacing w:after="0" w:line="67" w:lineRule="exact"/>
        <w:rPr>
          <w:sz w:val="20"/>
          <w:szCs w:val="20"/>
          <w:color w:val="auto"/>
        </w:rPr>
      </w:pPr>
    </w:p>
    <w:p>
      <w:pPr>
        <w:ind w:right="120" w:firstLine="456"/>
        <w:spacing w:after="0" w:line="242"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and information regarding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duties and responsibilities to Willis Towers Watson and provide analysis and recommendations on executive officer compensation to the Committee based on the comparison to market; the executive’s level of professional experience; the executive’s duties and responsibilities; individual performance; tenure in the position; corporate, division and/or plant performance, as applicable; internal pay comparisons; and outside market factors, including general economic conditions. None of our executive officers provides input or recommendations with respect to his or her own compensation.</w:t>
      </w:r>
    </w:p>
    <w:p>
      <w:pPr>
        <w:spacing w:after="0" w:line="71" w:lineRule="exact"/>
        <w:rPr>
          <w:sz w:val="20"/>
          <w:szCs w:val="20"/>
          <w:color w:val="auto"/>
        </w:rPr>
      </w:pPr>
    </w:p>
    <w:p>
      <w:pPr>
        <w:ind w:right="100" w:firstLine="456"/>
        <w:spacing w:after="0"/>
        <w:rPr>
          <w:sz w:val="20"/>
          <w:szCs w:val="20"/>
          <w:color w:val="auto"/>
        </w:rPr>
      </w:pPr>
      <w:r>
        <w:rPr>
          <w:rFonts w:ascii="Arial" w:cs="Arial" w:eastAsia="Arial" w:hAnsi="Arial"/>
          <w:sz w:val="18"/>
          <w:szCs w:val="18"/>
          <w:b w:val="1"/>
          <w:bCs w:val="1"/>
          <w:i w:val="1"/>
          <w:iCs w:val="1"/>
          <w:color w:val="auto"/>
        </w:rPr>
        <w:t xml:space="preserve">Use of Market Data. </w:t>
      </w:r>
      <w:r>
        <w:rPr>
          <w:rFonts w:ascii="Arial" w:cs="Arial" w:eastAsia="Arial" w:hAnsi="Arial"/>
          <w:sz w:val="18"/>
          <w:szCs w:val="18"/>
          <w:color w:val="auto"/>
        </w:rPr>
        <w:t>Since one of the objectives of our executive compensation program is to provide market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during fiscal 2017 the Committee used market data provided by Willis Towers Watson to help evaluate and make compensation decisions. Market data, which is size-adjusted, is provided by Willis Towers Watson through its executive compensation database, which includes over 1,000 participating companies.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for executive compensation purposes. The market data provided by Willis Towers Watson was in aggregate form and, therefore, individual data for participating companies in the survey was not considered when determining executive officer compensation in total or for any individual officer or element.</w:t>
      </w:r>
    </w:p>
    <w:p>
      <w:pPr>
        <w:spacing w:after="0" w:line="73" w:lineRule="exact"/>
        <w:rPr>
          <w:sz w:val="20"/>
          <w:szCs w:val="20"/>
          <w:color w:val="auto"/>
        </w:rPr>
      </w:pPr>
    </w:p>
    <w:p>
      <w:pPr>
        <w:ind w:left="460"/>
        <w:spacing w:after="0"/>
        <w:tabs>
          <w:tab w:leader="none" w:pos="3000" w:val="left"/>
        </w:tabs>
        <w:rPr>
          <w:sz w:val="20"/>
          <w:szCs w:val="20"/>
          <w:color w:val="auto"/>
        </w:rPr>
      </w:pPr>
      <w:r>
        <w:rPr>
          <w:rFonts w:ascii="Arial" w:cs="Arial" w:eastAsia="Arial" w:hAnsi="Arial"/>
          <w:sz w:val="18"/>
          <w:szCs w:val="18"/>
          <w:b w:val="1"/>
          <w:bCs w:val="1"/>
          <w:color w:val="auto"/>
        </w:rPr>
        <w:t>Fiscal 2017 CEO Transition.</w:t>
      </w:r>
      <w:r>
        <w:rPr>
          <w:sz w:val="20"/>
          <w:szCs w:val="20"/>
          <w:color w:val="auto"/>
        </w:rPr>
        <w:tab/>
      </w:r>
      <w:r>
        <w:rPr>
          <w:rFonts w:ascii="Arial" w:cs="Arial" w:eastAsia="Arial" w:hAnsi="Arial"/>
          <w:sz w:val="18"/>
          <w:szCs w:val="18"/>
          <w:color w:val="auto"/>
        </w:rPr>
        <w:t>On July 19, 2016, we announced the following effective on November 1, 2016, the first day of fiscal 2017:</w:t>
      </w:r>
    </w:p>
    <w:p>
      <w:pPr>
        <w:spacing w:after="0" w:line="139"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Olson’s promotion to President and CEO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Hoffman would continue to serve as Executive Chairman.</w:t>
      </w:r>
    </w:p>
    <w:p>
      <w:pPr>
        <w:spacing w:after="0" w:line="1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connection with this announcement, and commensurate with their new responsibilities, the following compensation decisions were made, which were also effective on November 1, 2016:</w:t>
      </w:r>
    </w:p>
    <w:p>
      <w:pPr>
        <w:spacing w:after="0" w:line="102" w:lineRule="exact"/>
        <w:rPr>
          <w:sz w:val="20"/>
          <w:szCs w:val="20"/>
          <w:color w:val="auto"/>
        </w:rPr>
      </w:pPr>
    </w:p>
    <w:p>
      <w:pPr>
        <w:ind w:left="780" w:right="4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Olson’s fiscal 2017 annual base salary was set at $775,000, an increase from his fiscal 2016 base salary of $500,000; his fiscal 2017 annual cash incentive payout percentage was set at 100% of his fiscal year base salary, an increase from 80% of his fiscal year 2016 base salary; and</w:t>
      </w:r>
    </w:p>
    <w:p>
      <w:pPr>
        <w:spacing w:after="0" w:line="67" w:lineRule="exact"/>
        <w:rPr>
          <w:rFonts w:ascii="Arial" w:cs="Arial" w:eastAsia="Arial" w:hAnsi="Arial"/>
          <w:sz w:val="18"/>
          <w:szCs w:val="18"/>
          <w:color w:val="auto"/>
        </w:rPr>
      </w:pPr>
    </w:p>
    <w:p>
      <w:pPr>
        <w:ind w:left="780" w:right="4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Hoffman’s fiscal 2017 annual base salary was set at $680,000, a decrease from his fiscal 2016 base salary of $990,000; his fiscal 2017 annual cash incentive payout percentage was set at 125% of his fiscal year base salary, the same as his percentage for fiscal 2016.</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Compensation decisions for Mr. Olson were made using the same process described under “How We Make Compensation Decisions” beginning on page 34. In determining compensation decisions for Mr. Hoffman for fiscal 2017, the Committee did the following: reviewed applicable published market survey data provided by Willis Towers Watson; reviewed relevant compensation data in certain proxy statements of other U.S. public companies that had experienced a CEO transaction; discussed such market data and compensation practices with our independent external compensation consultant; and reviewed Mr. Hoffman’s outstanding equity awards. The result of that review, in addition to considering Mr. Hoffman’s reduced roles and responsibilities for fiscal 2017, were the determining factors that the Committee used in setting Mr. Hoffman’s fiscal 2017 compensation.</w:t>
      </w:r>
    </w:p>
    <w:p>
      <w:pPr>
        <w:spacing w:after="0" w:line="73" w:lineRule="exact"/>
        <w:rPr>
          <w:sz w:val="20"/>
          <w:szCs w:val="20"/>
          <w:color w:val="auto"/>
        </w:rPr>
      </w:pPr>
    </w:p>
    <w:p>
      <w:pPr>
        <w:ind w:right="220" w:firstLine="456"/>
        <w:spacing w:after="0" w:line="247"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2017, our executive compensation program consisted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key 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2017.</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tabs>
          <w:tab w:leader="none" w:pos="258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Key Characteristics</w:t>
      </w:r>
    </w:p>
    <w:p>
      <w:pPr>
        <w:spacing w:after="0" w:line="1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A fixed amount, paid in cash and reviewed</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annually and,</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if appropriate, adjusted.</w:t>
      </w:r>
    </w:p>
    <w:p>
      <w:pPr>
        <w:spacing w:after="0" w:line="383"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Annual Cash</w:t>
      </w:r>
      <w:r>
        <w:rPr>
          <w:sz w:val="20"/>
          <w:szCs w:val="20"/>
          <w:color w:val="auto"/>
        </w:rPr>
        <w:tab/>
      </w:r>
      <w:r>
        <w:rPr>
          <w:rFonts w:ascii="Arial" w:cs="Arial" w:eastAsia="Arial" w:hAnsi="Arial"/>
          <w:sz w:val="16"/>
          <w:szCs w:val="16"/>
          <w:color w:val="auto"/>
        </w:rPr>
        <w:t>A variable, short-term element of compensation</w:t>
      </w:r>
    </w:p>
    <w:p>
      <w:pPr>
        <w:spacing w:after="0" w:line="5"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Incentive</w:t>
      </w:r>
      <w:r>
        <w:rPr>
          <w:sz w:val="20"/>
          <w:szCs w:val="20"/>
          <w:color w:val="auto"/>
        </w:rPr>
        <w:tab/>
      </w:r>
      <w:r>
        <w:rPr>
          <w:rFonts w:ascii="Arial" w:cs="Arial" w:eastAsia="Arial" w:hAnsi="Arial"/>
          <w:sz w:val="16"/>
          <w:szCs w:val="16"/>
          <w:color w:val="auto"/>
        </w:rPr>
        <w:t>that is payable in cash based on achievement of</w:t>
      </w:r>
    </w:p>
    <w:p>
      <w:pPr>
        <w:spacing w:after="0" w:line="5" w:lineRule="exact"/>
        <w:rPr>
          <w:sz w:val="20"/>
          <w:szCs w:val="20"/>
          <w:color w:val="auto"/>
        </w:rPr>
      </w:pPr>
    </w:p>
    <w:p>
      <w:pPr>
        <w:ind w:left="1500" w:right="180"/>
        <w:spacing w:after="0" w:line="253" w:lineRule="auto"/>
        <w:rPr>
          <w:sz w:val="20"/>
          <w:szCs w:val="20"/>
          <w:color w:val="auto"/>
        </w:rPr>
      </w:pPr>
      <w:r>
        <w:rPr>
          <w:rFonts w:ascii="Arial" w:cs="Arial" w:eastAsia="Arial" w:hAnsi="Arial"/>
          <w:sz w:val="16"/>
          <w:szCs w:val="16"/>
          <w:color w:val="auto"/>
        </w:rPr>
        <w:t>key pre-established annual corporate financial goals and for division participants, division financial goals.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Long-Term</w:t>
      </w:r>
      <w:r>
        <w:rPr>
          <w:sz w:val="20"/>
          <w:szCs w:val="20"/>
          <w:color w:val="auto"/>
        </w:rPr>
        <w:tab/>
      </w:r>
      <w:r>
        <w:rPr>
          <w:rFonts w:ascii="Arial" w:cs="Arial" w:eastAsia="Arial" w:hAnsi="Arial"/>
          <w:sz w:val="16"/>
          <w:szCs w:val="16"/>
          <w:color w:val="auto"/>
        </w:rPr>
        <w:t>A variable, long-term element of compensation</w:t>
      </w:r>
    </w:p>
    <w:p>
      <w:pPr>
        <w:spacing w:after="0" w:line="5"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Incentives</w:t>
      </w:r>
      <w:r>
        <w:rPr>
          <w:sz w:val="20"/>
          <w:szCs w:val="20"/>
          <w:color w:val="auto"/>
        </w:rPr>
        <w:tab/>
      </w:r>
      <w:r>
        <w:rPr>
          <w:rFonts w:ascii="Arial" w:cs="Arial" w:eastAsia="Arial" w:hAnsi="Arial"/>
          <w:sz w:val="16"/>
          <w:szCs w:val="16"/>
          <w:color w:val="auto"/>
        </w:rPr>
        <w:t>that is provided in the form of stock options and</w:t>
      </w:r>
    </w:p>
    <w:p>
      <w:pPr>
        <w:spacing w:after="0" w:line="5" w:lineRule="exact"/>
        <w:rPr>
          <w:sz w:val="20"/>
          <w:szCs w:val="20"/>
          <w:color w:val="auto"/>
        </w:rPr>
      </w:pPr>
    </w:p>
    <w:p>
      <w:pPr>
        <w:ind w:left="1500" w:right="80"/>
        <w:spacing w:after="0" w:line="249" w:lineRule="auto"/>
        <w:rPr>
          <w:sz w:val="20"/>
          <w:szCs w:val="20"/>
          <w:color w:val="auto"/>
        </w:rPr>
      </w:pPr>
      <w:r>
        <w:rPr>
          <w:rFonts w:ascii="Arial" w:cs="Arial" w:eastAsia="Arial" w:hAnsi="Arial"/>
          <w:sz w:val="16"/>
          <w:szCs w:val="16"/>
          <w:color w:val="auto"/>
        </w:rPr>
        <w:t>performance share awards. Stock options are time-based and vest no more frequently than ratably over three years and performance share awards are payable based on achievement of cumulative financial goals after three years and are paid out in shares of our common stock.</w:t>
      </w:r>
    </w:p>
    <w:p>
      <w:pPr>
        <w:spacing w:after="0" w:line="178"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Health and</w:t>
      </w:r>
      <w:r>
        <w:rPr>
          <w:sz w:val="20"/>
          <w:szCs w:val="20"/>
          <w:color w:val="auto"/>
        </w:rPr>
        <w:tab/>
      </w:r>
      <w:r>
        <w:rPr>
          <w:rFonts w:ascii="Arial" w:cs="Arial" w:eastAsia="Arial" w:hAnsi="Arial"/>
          <w:sz w:val="16"/>
          <w:szCs w:val="16"/>
          <w:color w:val="auto"/>
        </w:rPr>
        <w:t>Includes medical and dental insurance; life,</w:t>
      </w:r>
    </w:p>
    <w:p>
      <w:pPr>
        <w:spacing w:after="0" w:line="5"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Welfare Benefits</w:t>
      </w:r>
      <w:r>
        <w:rPr>
          <w:sz w:val="20"/>
          <w:szCs w:val="20"/>
          <w:color w:val="auto"/>
        </w:rPr>
        <w:tab/>
      </w:r>
      <w:r>
        <w:rPr>
          <w:rFonts w:ascii="Arial" w:cs="Arial" w:eastAsia="Arial" w:hAnsi="Arial"/>
          <w:sz w:val="16"/>
          <w:szCs w:val="16"/>
          <w:color w:val="auto"/>
        </w:rPr>
        <w:t>accidental death and dismemberment insurance;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and disability insurance.</w:t>
      </w:r>
    </w:p>
    <w:p>
      <w:pPr>
        <w:spacing w:after="0" w:line="5"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Retirement Plans</w:t>
        <w:tab/>
        <w:t>Includes a defined contribution retirement plan</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and certain nonqualified retirement plans.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-93345</wp:posOffset>
            </wp:positionV>
            <wp:extent cx="7246620"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right="40"/>
        <w:spacing w:after="0" w:line="253" w:lineRule="auto"/>
        <w:rPr>
          <w:sz w:val="20"/>
          <w:szCs w:val="20"/>
          <w:color w:val="auto"/>
        </w:rPr>
      </w:pPr>
      <w:r>
        <w:rPr>
          <w:rFonts w:ascii="Arial" w:cs="Arial" w:eastAsia="Arial" w:hAnsi="Arial"/>
          <w:sz w:val="16"/>
          <w:szCs w:val="16"/>
          <w:color w:val="auto"/>
        </w:rPr>
        <w:t>Provide a source of fixed income that is market competitive and reflects scope and responsibility of the position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229870</wp:posOffset>
            </wp:positionV>
            <wp:extent cx="7246620" cy="10204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020445"/>
                    </a:xfrm>
                    <a:prstGeom prst="rect">
                      <a:avLst/>
                    </a:prstGeom>
                    <a:noFill/>
                  </pic:spPr>
                </pic:pic>
              </a:graphicData>
            </a:graphic>
          </wp:anchor>
        </w:drawing>
      </w:r>
    </w:p>
    <w:p>
      <w:pPr>
        <w:spacing w:after="0" w:line="34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Motivate and reward our executive officers for achievement of annual financial business goals intended to drive overall company and division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7246620" cy="360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67" w:lineRule="exact"/>
        <w:rPr>
          <w:sz w:val="20"/>
          <w:szCs w:val="20"/>
          <w:color w:val="auto"/>
        </w:rPr>
      </w:pPr>
    </w:p>
    <w:p>
      <w:pPr>
        <w:ind w:right="1160"/>
        <w:spacing w:after="0" w:line="260" w:lineRule="auto"/>
        <w:rPr>
          <w:sz w:val="20"/>
          <w:szCs w:val="20"/>
          <w:color w:val="auto"/>
        </w:rPr>
      </w:pPr>
      <w:r>
        <w:rPr>
          <w:rFonts w:ascii="Arial" w:cs="Arial" w:eastAsia="Arial" w:hAnsi="Arial"/>
          <w:sz w:val="16"/>
          <w:szCs w:val="16"/>
          <w:color w:val="auto"/>
        </w:rPr>
        <w:t>Provide competitive health and welfare benefits.</w:t>
      </w:r>
    </w:p>
    <w:p>
      <w:pPr>
        <w:spacing w:after="0" w:line="169"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FFFFFF"/>
        </w:rPr>
        <w:t>Key Fiscal 2017 Actions</w:t>
      </w:r>
    </w:p>
    <w:p>
      <w:pPr>
        <w:spacing w:after="0" w:line="16"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Named executive officers, other than Messrs. Olson and Hoffman, received base salary increases ranging from 3.7% to 5.4% of their then current annual base salaries.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Target awards as a percent of base salary for named executive officers, other than Messrs. Olson and Hoffman, were established at 60% to 75% of fiscal year base salary.</w:t>
      </w:r>
    </w:p>
    <w:p>
      <w:pPr>
        <w:spacing w:after="0" w:line="68"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Corporate performance measures and weightings were established for all of our named executive officers for fiscal 2017.</w:t>
      </w:r>
    </w:p>
    <w:p>
      <w:pPr>
        <w:spacing w:after="0" w:line="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Our named executive officers, other than Mr. Hoffman, were granted stock options and performance share awards.</w:t>
      </w:r>
    </w:p>
    <w:p>
      <w:pPr>
        <w:spacing w:after="0" w:line="66"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Corporate performance measures and weightings were established for all of our named executive officers receiving performance share awards for our fiscal 2017 to fiscal 2019 performance period.</w:t>
      </w:r>
    </w:p>
    <w:p>
      <w:pPr>
        <w:spacing w:after="0" w:line="9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No significant changes were made to health and welfare benefits.</w:t>
      </w:r>
    </w:p>
    <w:p>
      <w:pPr>
        <w:spacing w:after="0" w:line="169"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No significant changes were made to retirement plans.</w:t>
      </w:r>
    </w:p>
    <w:p>
      <w:pPr>
        <w:spacing w:after="0" w:line="173" w:lineRule="exact"/>
        <w:rPr>
          <w:sz w:val="20"/>
          <w:szCs w:val="20"/>
          <w:color w:val="auto"/>
        </w:rPr>
      </w:pPr>
    </w:p>
    <w:p>
      <w:pPr>
        <w:sectPr>
          <w:pgSz w:w="11900" w:h="16838" w:orient="portrait"/>
          <w:cols w:equalWidth="0" w:num="3">
            <w:col w:w="5000" w:space="160"/>
            <w:col w:w="3060" w:space="100"/>
            <w:col w:w="3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60" w:type="dxa"/>
            <w:vAlign w:val="bottom"/>
            <w:shd w:val="clear" w:color="auto" w:fill="D9D9D9"/>
          </w:tcPr>
          <w:p>
            <w:pPr>
              <w:spacing w:after="0"/>
              <w:rPr>
                <w:sz w:val="20"/>
                <w:szCs w:val="20"/>
                <w:color w:val="auto"/>
              </w:rPr>
            </w:pPr>
            <w:r>
              <w:rPr>
                <w:rFonts w:ascii="Arial" w:cs="Arial" w:eastAsia="Arial" w:hAnsi="Arial"/>
                <w:sz w:val="16"/>
                <w:szCs w:val="16"/>
                <w:color w:val="auto"/>
              </w:rPr>
              <w:t>Perquisites</w:t>
            </w:r>
          </w:p>
        </w:tc>
        <w:tc>
          <w:tcPr>
            <w:tcW w:w="3920" w:type="dxa"/>
            <w:vAlign w:val="bottom"/>
            <w:shd w:val="clear" w:color="auto" w:fill="D9D9D9"/>
          </w:tcPr>
          <w:p>
            <w:pPr>
              <w:ind w:left="340"/>
              <w:spacing w:after="0"/>
              <w:rPr>
                <w:sz w:val="20"/>
                <w:szCs w:val="20"/>
                <w:color w:val="auto"/>
              </w:rPr>
            </w:pPr>
            <w:r>
              <w:rPr>
                <w:rFonts w:ascii="Arial" w:cs="Arial" w:eastAsia="Arial" w:hAnsi="Arial"/>
                <w:sz w:val="16"/>
                <w:szCs w:val="16"/>
                <w:color w:val="auto"/>
              </w:rPr>
              <w:t>Includes a company-leased automobile, financial</w:t>
            </w: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Assist in promoting the health and</w:t>
            </w:r>
          </w:p>
        </w:tc>
        <w:tc>
          <w:tcPr>
            <w:tcW w:w="3160" w:type="dxa"/>
            <w:vAlign w:val="bottom"/>
            <w:shd w:val="clear" w:color="auto" w:fill="D9D9D9"/>
          </w:tcPr>
          <w:p>
            <w:pPr>
              <w:ind w:left="60"/>
              <w:spacing w:after="0"/>
              <w:rPr>
                <w:sz w:val="20"/>
                <w:szCs w:val="20"/>
                <w:color w:val="auto"/>
              </w:rPr>
            </w:pPr>
            <w:r>
              <w:rPr>
                <w:rFonts w:ascii="Arial" w:cs="Arial" w:eastAsia="Arial" w:hAnsi="Arial"/>
                <w:sz w:val="16"/>
                <w:szCs w:val="16"/>
                <w:color w:val="auto"/>
              </w:rPr>
              <w:t>No significant changes were made to</w:t>
            </w:r>
          </w:p>
        </w:tc>
      </w:tr>
      <w:tr>
        <w:trPr>
          <w:trHeight w:val="189"/>
        </w:trPr>
        <w:tc>
          <w:tcPr>
            <w:tcW w:w="1160" w:type="dxa"/>
            <w:vAlign w:val="bottom"/>
            <w:shd w:val="clear" w:color="auto" w:fill="D9D9D9"/>
          </w:tcPr>
          <w:p>
            <w:pPr>
              <w:spacing w:after="0"/>
              <w:rPr>
                <w:sz w:val="16"/>
                <w:szCs w:val="16"/>
                <w:color w:val="auto"/>
              </w:rPr>
            </w:pPr>
          </w:p>
        </w:tc>
        <w:tc>
          <w:tcPr>
            <w:tcW w:w="3920" w:type="dxa"/>
            <w:vAlign w:val="bottom"/>
            <w:shd w:val="clear" w:color="auto" w:fill="D9D9D9"/>
          </w:tcPr>
          <w:p>
            <w:pPr>
              <w:ind w:left="340"/>
              <w:spacing w:after="0"/>
              <w:rPr>
                <w:sz w:val="20"/>
                <w:szCs w:val="20"/>
                <w:color w:val="auto"/>
              </w:rPr>
            </w:pPr>
            <w:r>
              <w:rPr>
                <w:rFonts w:ascii="Arial" w:cs="Arial" w:eastAsia="Arial" w:hAnsi="Arial"/>
                <w:sz w:val="16"/>
                <w:szCs w:val="16"/>
                <w:color w:val="auto"/>
              </w:rPr>
              <w:t>planning allowance, company products and</w:t>
            </w: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personal financial security of our executive</w:t>
            </w:r>
          </w:p>
        </w:tc>
        <w:tc>
          <w:tcPr>
            <w:tcW w:w="3160" w:type="dxa"/>
            <w:vAlign w:val="bottom"/>
            <w:shd w:val="clear" w:color="auto" w:fill="D9D9D9"/>
          </w:tcPr>
          <w:p>
            <w:pPr>
              <w:ind w:left="60"/>
              <w:spacing w:after="0"/>
              <w:rPr>
                <w:sz w:val="20"/>
                <w:szCs w:val="20"/>
                <w:color w:val="auto"/>
              </w:rPr>
            </w:pPr>
            <w:r>
              <w:rPr>
                <w:rFonts w:ascii="Arial" w:cs="Arial" w:eastAsia="Arial" w:hAnsi="Arial"/>
                <w:sz w:val="16"/>
                <w:szCs w:val="16"/>
                <w:color w:val="auto"/>
              </w:rPr>
              <w:t>perquisites.</w:t>
            </w:r>
          </w:p>
        </w:tc>
      </w:tr>
      <w:tr>
        <w:trPr>
          <w:trHeight w:val="189"/>
        </w:trPr>
        <w:tc>
          <w:tcPr>
            <w:tcW w:w="1160" w:type="dxa"/>
            <w:vAlign w:val="bottom"/>
            <w:shd w:val="clear" w:color="auto" w:fill="D9D9D9"/>
          </w:tcPr>
          <w:p>
            <w:pPr>
              <w:spacing w:after="0"/>
              <w:rPr>
                <w:sz w:val="16"/>
                <w:szCs w:val="16"/>
                <w:color w:val="auto"/>
              </w:rPr>
            </w:pPr>
          </w:p>
        </w:tc>
        <w:tc>
          <w:tcPr>
            <w:tcW w:w="3920" w:type="dxa"/>
            <w:vAlign w:val="bottom"/>
            <w:shd w:val="clear" w:color="auto" w:fill="D9D9D9"/>
          </w:tcPr>
          <w:p>
            <w:pPr>
              <w:ind w:left="340"/>
              <w:spacing w:after="0"/>
              <w:rPr>
                <w:sz w:val="20"/>
                <w:szCs w:val="20"/>
                <w:color w:val="auto"/>
              </w:rPr>
            </w:pPr>
            <w:r>
              <w:rPr>
                <w:rFonts w:ascii="Arial" w:cs="Arial" w:eastAsia="Arial" w:hAnsi="Arial"/>
                <w:sz w:val="16"/>
                <w:szCs w:val="16"/>
                <w:color w:val="auto"/>
              </w:rPr>
              <w:t>executive physicals.</w:t>
            </w: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officers; promote the personal use of our</w:t>
            </w:r>
          </w:p>
        </w:tc>
        <w:tc>
          <w:tcPr>
            <w:tcW w:w="3160" w:type="dxa"/>
            <w:vAlign w:val="bottom"/>
            <w:shd w:val="clear" w:color="auto" w:fill="D9D9D9"/>
          </w:tcPr>
          <w:p>
            <w:pPr>
              <w:spacing w:after="0"/>
              <w:rPr>
                <w:sz w:val="16"/>
                <w:szCs w:val="16"/>
                <w:color w:val="auto"/>
              </w:rPr>
            </w:pPr>
          </w:p>
        </w:tc>
      </w:tr>
      <w:tr>
        <w:trPr>
          <w:trHeight w:val="189"/>
        </w:trPr>
        <w:tc>
          <w:tcPr>
            <w:tcW w:w="1160" w:type="dxa"/>
            <w:vAlign w:val="bottom"/>
            <w:shd w:val="clear" w:color="auto" w:fill="D9D9D9"/>
          </w:tcPr>
          <w:p>
            <w:pPr>
              <w:spacing w:after="0"/>
              <w:rPr>
                <w:sz w:val="16"/>
                <w:szCs w:val="16"/>
                <w:color w:val="auto"/>
              </w:rPr>
            </w:pPr>
          </w:p>
        </w:tc>
        <w:tc>
          <w:tcPr>
            <w:tcW w:w="3920" w:type="dxa"/>
            <w:vAlign w:val="bottom"/>
            <w:shd w:val="clear" w:color="auto" w:fill="D9D9D9"/>
          </w:tcPr>
          <w:p>
            <w:pPr>
              <w:spacing w:after="0"/>
              <w:rPr>
                <w:sz w:val="16"/>
                <w:szCs w:val="16"/>
                <w:color w:val="auto"/>
              </w:rPr>
            </w:pP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products by our executive officers; and</w:t>
            </w:r>
          </w:p>
        </w:tc>
        <w:tc>
          <w:tcPr>
            <w:tcW w:w="3160" w:type="dxa"/>
            <w:vAlign w:val="bottom"/>
            <w:shd w:val="clear" w:color="auto" w:fill="D9D9D9"/>
          </w:tcPr>
          <w:p>
            <w:pPr>
              <w:spacing w:after="0"/>
              <w:rPr>
                <w:sz w:val="16"/>
                <w:szCs w:val="16"/>
                <w:color w:val="auto"/>
              </w:rPr>
            </w:pPr>
          </w:p>
        </w:tc>
      </w:tr>
      <w:tr>
        <w:trPr>
          <w:trHeight w:val="189"/>
        </w:trPr>
        <w:tc>
          <w:tcPr>
            <w:tcW w:w="1160" w:type="dxa"/>
            <w:vAlign w:val="bottom"/>
            <w:shd w:val="clear" w:color="auto" w:fill="D9D9D9"/>
          </w:tcPr>
          <w:p>
            <w:pPr>
              <w:spacing w:after="0"/>
              <w:rPr>
                <w:sz w:val="16"/>
                <w:szCs w:val="16"/>
                <w:color w:val="auto"/>
              </w:rPr>
            </w:pPr>
          </w:p>
        </w:tc>
        <w:tc>
          <w:tcPr>
            <w:tcW w:w="3920" w:type="dxa"/>
            <w:vAlign w:val="bottom"/>
            <w:shd w:val="clear" w:color="auto" w:fill="D9D9D9"/>
          </w:tcPr>
          <w:p>
            <w:pPr>
              <w:spacing w:after="0"/>
              <w:rPr>
                <w:sz w:val="16"/>
                <w:szCs w:val="16"/>
                <w:color w:val="auto"/>
              </w:rPr>
            </w:pP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promote the attraction and retention of our</w:t>
            </w:r>
          </w:p>
        </w:tc>
        <w:tc>
          <w:tcPr>
            <w:tcW w:w="3160" w:type="dxa"/>
            <w:vAlign w:val="bottom"/>
            <w:shd w:val="clear" w:color="auto" w:fill="D9D9D9"/>
          </w:tcPr>
          <w:p>
            <w:pPr>
              <w:spacing w:after="0"/>
              <w:rPr>
                <w:sz w:val="16"/>
                <w:szCs w:val="16"/>
                <w:color w:val="auto"/>
              </w:rPr>
            </w:pPr>
          </w:p>
        </w:tc>
      </w:tr>
      <w:tr>
        <w:trPr>
          <w:trHeight w:val="187"/>
        </w:trPr>
        <w:tc>
          <w:tcPr>
            <w:tcW w:w="1160" w:type="dxa"/>
            <w:vAlign w:val="bottom"/>
            <w:shd w:val="clear" w:color="auto" w:fill="D9D9D9"/>
          </w:tcPr>
          <w:p>
            <w:pPr>
              <w:spacing w:after="0"/>
              <w:rPr>
                <w:sz w:val="16"/>
                <w:szCs w:val="16"/>
                <w:color w:val="auto"/>
              </w:rPr>
            </w:pPr>
          </w:p>
        </w:tc>
        <w:tc>
          <w:tcPr>
            <w:tcW w:w="3920" w:type="dxa"/>
            <w:vAlign w:val="bottom"/>
            <w:shd w:val="clear" w:color="auto" w:fill="D9D9D9"/>
          </w:tcPr>
          <w:p>
            <w:pPr>
              <w:spacing w:after="0"/>
              <w:rPr>
                <w:sz w:val="16"/>
                <w:szCs w:val="16"/>
                <w:color w:val="auto"/>
              </w:rPr>
            </w:pPr>
          </w:p>
        </w:tc>
        <w:tc>
          <w:tcPr>
            <w:tcW w:w="3180" w:type="dxa"/>
            <w:vAlign w:val="bottom"/>
            <w:shd w:val="clear" w:color="auto" w:fill="D9D9D9"/>
          </w:tcPr>
          <w:p>
            <w:pPr>
              <w:ind w:left="80"/>
              <w:spacing w:after="0"/>
              <w:rPr>
                <w:sz w:val="20"/>
                <w:szCs w:val="20"/>
                <w:color w:val="auto"/>
              </w:rPr>
            </w:pPr>
            <w:r>
              <w:rPr>
                <w:rFonts w:ascii="Arial" w:cs="Arial" w:eastAsia="Arial" w:hAnsi="Arial"/>
                <w:sz w:val="16"/>
                <w:szCs w:val="16"/>
                <w:color w:val="auto"/>
              </w:rPr>
              <w:t>executive officers.</w:t>
            </w:r>
          </w:p>
        </w:tc>
        <w:tc>
          <w:tcPr>
            <w:tcW w:w="3160" w:type="dxa"/>
            <w:vAlign w:val="bottom"/>
            <w:shd w:val="clear" w:color="auto" w:fill="D9D9D9"/>
          </w:tcPr>
          <w:p>
            <w:pPr>
              <w:spacing w:after="0"/>
              <w:rPr>
                <w:sz w:val="16"/>
                <w:szCs w:val="16"/>
                <w:color w:val="auto"/>
              </w:rPr>
            </w:pPr>
          </w:p>
        </w:tc>
      </w:tr>
    </w:tbl>
    <w:p>
      <w:pPr>
        <w:spacing w:after="0" w:line="107" w:lineRule="exact"/>
        <w:rPr>
          <w:sz w:val="20"/>
          <w:szCs w:val="20"/>
          <w:color w:val="auto"/>
        </w:rPr>
      </w:pPr>
    </w:p>
    <w:p>
      <w:pPr>
        <w:ind w:right="1160" w:firstLine="456"/>
        <w:spacing w:after="0" w:line="246"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2017.</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08" w:lineRule="exact"/>
        <w:rPr>
          <w:sz w:val="20"/>
          <w:szCs w:val="20"/>
          <w:color w:val="auto"/>
        </w:rPr>
      </w:pPr>
    </w:p>
    <w:p>
      <w:pPr>
        <w:ind w:right="20" w:firstLine="456"/>
        <w:spacing w:after="0" w:line="24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 competitive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scope and responsibility of their positions. Base salaries for our executive officers are reviewed and discussed at the regular meeting of the Compensation &amp; Human Resources Committee held in November or December of each year. Additionally, base salaries for executive officers are reviewed upon a change in an executive officer’s responsibilities or role.</w:t>
      </w:r>
    </w:p>
    <w:p>
      <w:pPr>
        <w:spacing w:after="0" w:line="73" w:lineRule="exact"/>
        <w:rPr>
          <w:sz w:val="20"/>
          <w:szCs w:val="20"/>
          <w:color w:val="auto"/>
        </w:rPr>
      </w:pPr>
    </w:p>
    <w:p>
      <w:pPr>
        <w:ind w:right="60" w:firstLine="456"/>
        <w:spacing w:after="0" w:line="251"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When we recommended fiscal 2017 base salaries for our named executive officers, the following factors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current base salary, positioning relative to competitive market data, scope and complexity of the position, experience, tenure, historical and current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levels of function, division, and individual performance and internal pay comparisons. Fiscal 2017 annual base salaries, fiscal 2017 annual base salary increases compared to fiscal 2016 and fiscal 2017 annual base salaries compared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provided in the table below for our named executive officers: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shd w:val="clear" w:color="auto" w:fill="C00000"/>
          </w:tcPr>
          <w:p>
            <w:pPr>
              <w:spacing w:after="0"/>
              <w:rPr>
                <w:sz w:val="14"/>
                <w:szCs w:val="14"/>
                <w:color w:val="auto"/>
              </w:rPr>
            </w:pPr>
          </w:p>
        </w:tc>
        <w:tc>
          <w:tcPr>
            <w:tcW w:w="4060" w:type="dxa"/>
            <w:vAlign w:val="bottom"/>
            <w:shd w:val="clear" w:color="auto" w:fill="C00000"/>
          </w:tcPr>
          <w:p>
            <w:pPr>
              <w:spacing w:after="0"/>
              <w:rPr>
                <w:sz w:val="14"/>
                <w:szCs w:val="14"/>
                <w:color w:val="auto"/>
              </w:rPr>
            </w:pPr>
          </w:p>
        </w:tc>
        <w:tc>
          <w:tcPr>
            <w:tcW w:w="1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2017</w:t>
            </w:r>
          </w:p>
        </w:tc>
        <w:tc>
          <w:tcPr>
            <w:tcW w:w="188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Fiscal 2017</w:t>
            </w:r>
          </w:p>
        </w:tc>
      </w:tr>
      <w:tr>
        <w:trPr>
          <w:trHeight w:val="162"/>
        </w:trPr>
        <w:tc>
          <w:tcPr>
            <w:tcW w:w="3820" w:type="dxa"/>
            <w:vAlign w:val="bottom"/>
            <w:shd w:val="clear" w:color="auto" w:fill="C00000"/>
          </w:tcPr>
          <w:p>
            <w:pPr>
              <w:spacing w:after="0"/>
              <w:rPr>
                <w:sz w:val="14"/>
                <w:szCs w:val="14"/>
                <w:color w:val="auto"/>
              </w:rPr>
            </w:pPr>
          </w:p>
        </w:tc>
        <w:tc>
          <w:tcPr>
            <w:tcW w:w="4060" w:type="dxa"/>
            <w:vAlign w:val="bottom"/>
            <w:shd w:val="clear" w:color="auto" w:fill="C00000"/>
          </w:tcPr>
          <w:p>
            <w:pPr>
              <w:spacing w:after="0"/>
              <w:rPr>
                <w:sz w:val="14"/>
                <w:szCs w:val="14"/>
                <w:color w:val="auto"/>
              </w:rPr>
            </w:pPr>
          </w:p>
        </w:tc>
        <w:tc>
          <w:tcPr>
            <w:tcW w:w="1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Annual Base</w:t>
            </w:r>
          </w:p>
        </w:tc>
        <w:tc>
          <w:tcPr>
            <w:tcW w:w="188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Annual Base Salary</w:t>
            </w:r>
          </w:p>
        </w:tc>
      </w:tr>
      <w:tr>
        <w:trPr>
          <w:trHeight w:val="159"/>
        </w:trPr>
        <w:tc>
          <w:tcPr>
            <w:tcW w:w="3820" w:type="dxa"/>
            <w:vAlign w:val="bottom"/>
            <w:shd w:val="clear" w:color="auto" w:fill="C00000"/>
          </w:tcPr>
          <w:p>
            <w:pPr>
              <w:spacing w:after="0"/>
              <w:rPr>
                <w:sz w:val="13"/>
                <w:szCs w:val="13"/>
                <w:color w:val="auto"/>
              </w:rPr>
            </w:pPr>
          </w:p>
        </w:tc>
        <w:tc>
          <w:tcPr>
            <w:tcW w:w="4060" w:type="dxa"/>
            <w:vAlign w:val="bottom"/>
            <w:shd w:val="clear" w:color="auto" w:fill="C00000"/>
          </w:tcPr>
          <w:p>
            <w:pPr>
              <w:jc w:val="right"/>
              <w:ind w:right="322"/>
              <w:spacing w:after="0" w:line="159" w:lineRule="exact"/>
              <w:rPr>
                <w:sz w:val="20"/>
                <w:szCs w:val="20"/>
                <w:color w:val="auto"/>
              </w:rPr>
            </w:pPr>
            <w:r>
              <w:rPr>
                <w:rFonts w:ascii="Arial" w:cs="Arial" w:eastAsia="Arial" w:hAnsi="Arial"/>
                <w:sz w:val="14"/>
                <w:szCs w:val="14"/>
                <w:b w:val="1"/>
                <w:bCs w:val="1"/>
                <w:color w:val="FFFFFF"/>
              </w:rPr>
              <w:t>Fiscal 2017</w:t>
            </w:r>
          </w:p>
        </w:tc>
        <w:tc>
          <w:tcPr>
            <w:tcW w:w="16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Salary Change</w:t>
            </w:r>
          </w:p>
        </w:tc>
        <w:tc>
          <w:tcPr>
            <w:tcW w:w="1880" w:type="dxa"/>
            <w:vAlign w:val="bottom"/>
            <w:shd w:val="clear" w:color="auto" w:fill="C00000"/>
          </w:tcPr>
          <w:p>
            <w:pPr>
              <w:jc w:val="center"/>
              <w:ind w:left="25"/>
              <w:spacing w:after="0" w:line="159" w:lineRule="exact"/>
              <w:rPr>
                <w:sz w:val="20"/>
                <w:szCs w:val="20"/>
                <w:color w:val="auto"/>
              </w:rPr>
            </w:pPr>
            <w:r>
              <w:rPr>
                <w:rFonts w:ascii="Arial" w:cs="Arial" w:eastAsia="Arial" w:hAnsi="Arial"/>
                <w:sz w:val="14"/>
                <w:szCs w:val="14"/>
                <w:b w:val="1"/>
                <w:bCs w:val="1"/>
                <w:color w:val="FFFFFF"/>
              </w:rPr>
              <w:t>Compared to</w:t>
            </w:r>
          </w:p>
        </w:tc>
      </w:tr>
      <w:tr>
        <w:trPr>
          <w:trHeight w:val="166"/>
        </w:trPr>
        <w:tc>
          <w:tcPr>
            <w:tcW w:w="3820" w:type="dxa"/>
            <w:vAlign w:val="bottom"/>
            <w:shd w:val="clear" w:color="auto" w:fill="C00000"/>
          </w:tcPr>
          <w:p>
            <w:pPr>
              <w:spacing w:after="0"/>
              <w:rPr>
                <w:sz w:val="14"/>
                <w:szCs w:val="14"/>
                <w:color w:val="auto"/>
              </w:rPr>
            </w:pPr>
          </w:p>
        </w:tc>
        <w:tc>
          <w:tcPr>
            <w:tcW w:w="4060" w:type="dxa"/>
            <w:vAlign w:val="bottom"/>
            <w:shd w:val="clear" w:color="auto" w:fill="C00000"/>
          </w:tcPr>
          <w:p>
            <w:pPr>
              <w:jc w:val="right"/>
              <w:ind w:right="262"/>
              <w:spacing w:after="0"/>
              <w:rPr>
                <w:sz w:val="20"/>
                <w:szCs w:val="20"/>
                <w:color w:val="auto"/>
              </w:rPr>
            </w:pPr>
            <w:r>
              <w:rPr>
                <w:rFonts w:ascii="Arial" w:cs="Arial" w:eastAsia="Arial" w:hAnsi="Arial"/>
                <w:sz w:val="14"/>
                <w:szCs w:val="14"/>
                <w:b w:val="1"/>
                <w:bCs w:val="1"/>
                <w:color w:val="FFFFFF"/>
              </w:rPr>
              <w:t>Annual Base</w:t>
            </w:r>
          </w:p>
        </w:tc>
        <w:tc>
          <w:tcPr>
            <w:tcW w:w="1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Compared to</w:t>
            </w:r>
          </w:p>
        </w:tc>
        <w:tc>
          <w:tcPr>
            <w:tcW w:w="1880" w:type="dxa"/>
            <w:vAlign w:val="bottom"/>
            <w:shd w:val="clear" w:color="auto" w:fill="C00000"/>
          </w:tcPr>
          <w:p>
            <w:pPr>
              <w:jc w:val="center"/>
              <w:ind w:left="25"/>
              <w:spacing w:after="0" w:line="165" w:lineRule="exact"/>
              <w:rPr>
                <w:sz w:val="20"/>
                <w:szCs w:val="20"/>
                <w:color w:val="auto"/>
              </w:rPr>
            </w:pPr>
            <w:r>
              <w:rPr>
                <w:rFonts w:ascii="Arial" w:cs="Arial" w:eastAsia="Arial" w:hAnsi="Arial"/>
                <w:sz w:val="12"/>
                <w:szCs w:val="12"/>
                <w:b w:val="1"/>
                <w:bCs w:val="1"/>
                <w:color w:val="FFFFFF"/>
              </w:rPr>
              <w:t>Market 50</w:t>
            </w:r>
            <w:r>
              <w:rPr>
                <w:rFonts w:ascii="Arial" w:cs="Arial" w:eastAsia="Arial" w:hAnsi="Arial"/>
                <w:sz w:val="19"/>
                <w:szCs w:val="19"/>
                <w:b w:val="1"/>
                <w:bCs w:val="1"/>
                <w:color w:val="FFFFFF"/>
                <w:vertAlign w:val="superscript"/>
              </w:rPr>
              <w:t>th</w:t>
            </w:r>
          </w:p>
        </w:tc>
      </w:tr>
      <w:tr>
        <w:trPr>
          <w:trHeight w:val="189"/>
        </w:trPr>
        <w:tc>
          <w:tcPr>
            <w:tcW w:w="38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4060" w:type="dxa"/>
            <w:vAlign w:val="bottom"/>
            <w:shd w:val="clear" w:color="auto" w:fill="C00000"/>
          </w:tcPr>
          <w:p>
            <w:pPr>
              <w:jc w:val="right"/>
              <w:ind w:right="482"/>
              <w:spacing w:after="0"/>
              <w:rPr>
                <w:sz w:val="20"/>
                <w:szCs w:val="20"/>
                <w:color w:val="auto"/>
              </w:rPr>
            </w:pPr>
            <w:r>
              <w:rPr>
                <w:rFonts w:ascii="Arial" w:cs="Arial" w:eastAsia="Arial" w:hAnsi="Arial"/>
                <w:sz w:val="14"/>
                <w:szCs w:val="14"/>
                <w:b w:val="1"/>
                <w:bCs w:val="1"/>
                <w:color w:val="FFFFFF"/>
              </w:rPr>
              <w:t>Salary</w:t>
            </w:r>
          </w:p>
        </w:tc>
        <w:tc>
          <w:tcPr>
            <w:tcW w:w="16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2016</w:t>
            </w:r>
          </w:p>
        </w:tc>
        <w:tc>
          <w:tcPr>
            <w:tcW w:w="188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Percentile</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Mr. Olson</w:t>
            </w:r>
          </w:p>
        </w:tc>
        <w:tc>
          <w:tcPr>
            <w:tcW w:w="4060" w:type="dxa"/>
            <w:vAlign w:val="bottom"/>
          </w:tcPr>
          <w:p>
            <w:pPr>
              <w:jc w:val="right"/>
              <w:ind w:right="262"/>
              <w:spacing w:after="0"/>
              <w:rPr>
                <w:sz w:val="20"/>
                <w:szCs w:val="20"/>
                <w:color w:val="auto"/>
              </w:rPr>
            </w:pPr>
            <w:r>
              <w:rPr>
                <w:rFonts w:ascii="Arial" w:cs="Arial" w:eastAsia="Arial" w:hAnsi="Arial"/>
                <w:sz w:val="16"/>
                <w:szCs w:val="16"/>
                <w:color w:val="auto"/>
              </w:rPr>
              <w:t>$775,000</w:t>
            </w:r>
          </w:p>
        </w:tc>
        <w:tc>
          <w:tcPr>
            <w:tcW w:w="1660" w:type="dxa"/>
            <w:vAlign w:val="bottom"/>
          </w:tcPr>
          <w:p>
            <w:pPr>
              <w:jc w:val="right"/>
              <w:ind w:right="263"/>
              <w:spacing w:after="0"/>
              <w:rPr>
                <w:sz w:val="20"/>
                <w:szCs w:val="20"/>
                <w:color w:val="auto"/>
              </w:rPr>
            </w:pPr>
            <w:r>
              <w:rPr>
                <w:rFonts w:ascii="Arial" w:cs="Arial" w:eastAsia="Arial" w:hAnsi="Arial"/>
                <w:sz w:val="16"/>
                <w:szCs w:val="16"/>
                <w:color w:val="auto"/>
              </w:rPr>
              <w:t>55.0%</w:t>
            </w:r>
          </w:p>
        </w:tc>
        <w:tc>
          <w:tcPr>
            <w:tcW w:w="1880" w:type="dxa"/>
            <w:vAlign w:val="bottom"/>
          </w:tcPr>
          <w:p>
            <w:pPr>
              <w:jc w:val="right"/>
              <w:ind w:right="165"/>
              <w:spacing w:after="0"/>
              <w:rPr>
                <w:sz w:val="20"/>
                <w:szCs w:val="20"/>
                <w:color w:val="auto"/>
              </w:rPr>
            </w:pPr>
            <w:r>
              <w:rPr>
                <w:rFonts w:ascii="Arial" w:cs="Arial" w:eastAsia="Arial" w:hAnsi="Arial"/>
                <w:sz w:val="16"/>
                <w:szCs w:val="16"/>
                <w:color w:val="auto"/>
              </w:rPr>
              <w:t>16% below</w:t>
            </w:r>
          </w:p>
        </w:tc>
      </w:tr>
      <w:tr>
        <w:trPr>
          <w:trHeight w:val="189"/>
        </w:trPr>
        <w:tc>
          <w:tcPr>
            <w:tcW w:w="382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406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$505,000</w:t>
            </w:r>
          </w:p>
        </w:tc>
        <w:tc>
          <w:tcPr>
            <w:tcW w:w="1660" w:type="dxa"/>
            <w:vAlign w:val="bottom"/>
            <w:shd w:val="clear" w:color="auto" w:fill="D9D9D9"/>
          </w:tcPr>
          <w:p>
            <w:pPr>
              <w:jc w:val="right"/>
              <w:ind w:right="263"/>
              <w:spacing w:after="0"/>
              <w:rPr>
                <w:sz w:val="20"/>
                <w:szCs w:val="20"/>
                <w:color w:val="auto"/>
              </w:rPr>
            </w:pPr>
            <w:r>
              <w:rPr>
                <w:rFonts w:ascii="Arial" w:cs="Arial" w:eastAsia="Arial" w:hAnsi="Arial"/>
                <w:sz w:val="16"/>
                <w:szCs w:val="16"/>
                <w:color w:val="auto"/>
              </w:rPr>
              <w:t>4.1%</w:t>
            </w:r>
          </w:p>
        </w:tc>
        <w:tc>
          <w:tcPr>
            <w:tcW w:w="1880" w:type="dxa"/>
            <w:vAlign w:val="bottom"/>
            <w:shd w:val="clear" w:color="auto" w:fill="D9D9D9"/>
          </w:tcPr>
          <w:p>
            <w:pPr>
              <w:jc w:val="right"/>
              <w:ind w:right="165"/>
              <w:spacing w:after="0"/>
              <w:rPr>
                <w:sz w:val="20"/>
                <w:szCs w:val="20"/>
                <w:color w:val="auto"/>
              </w:rPr>
            </w:pPr>
            <w:r>
              <w:rPr>
                <w:rFonts w:ascii="Arial" w:cs="Arial" w:eastAsia="Arial" w:hAnsi="Arial"/>
                <w:sz w:val="16"/>
                <w:szCs w:val="16"/>
                <w:color w:val="auto"/>
              </w:rPr>
              <w:t>1% below</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Mr. Hoffman</w:t>
            </w:r>
          </w:p>
        </w:tc>
        <w:tc>
          <w:tcPr>
            <w:tcW w:w="4060" w:type="dxa"/>
            <w:vAlign w:val="bottom"/>
          </w:tcPr>
          <w:p>
            <w:pPr>
              <w:jc w:val="right"/>
              <w:ind w:right="262"/>
              <w:spacing w:after="0"/>
              <w:rPr>
                <w:sz w:val="20"/>
                <w:szCs w:val="20"/>
                <w:color w:val="auto"/>
              </w:rPr>
            </w:pPr>
            <w:r>
              <w:rPr>
                <w:rFonts w:ascii="Arial" w:cs="Arial" w:eastAsia="Arial" w:hAnsi="Arial"/>
                <w:sz w:val="16"/>
                <w:szCs w:val="16"/>
                <w:color w:val="auto"/>
              </w:rPr>
              <w:t>$680,000</w:t>
            </w:r>
          </w:p>
        </w:tc>
        <w:tc>
          <w:tcPr>
            <w:tcW w:w="1660" w:type="dxa"/>
            <w:vAlign w:val="bottom"/>
          </w:tcPr>
          <w:p>
            <w:pPr>
              <w:jc w:val="right"/>
              <w:ind w:right="263"/>
              <w:spacing w:after="0"/>
              <w:rPr>
                <w:sz w:val="20"/>
                <w:szCs w:val="20"/>
                <w:color w:val="auto"/>
              </w:rPr>
            </w:pPr>
            <w:r>
              <w:rPr>
                <w:rFonts w:ascii="Arial" w:cs="Arial" w:eastAsia="Arial" w:hAnsi="Arial"/>
                <w:sz w:val="16"/>
                <w:szCs w:val="16"/>
                <w:color w:val="auto"/>
              </w:rPr>
              <w:t>-31.1%</w:t>
            </w:r>
          </w:p>
        </w:tc>
        <w:tc>
          <w:tcPr>
            <w:tcW w:w="1880" w:type="dxa"/>
            <w:vAlign w:val="bottom"/>
          </w:tcPr>
          <w:p>
            <w:pPr>
              <w:jc w:val="right"/>
              <w:ind w:right="145"/>
              <w:spacing w:after="0"/>
              <w:rPr>
                <w:sz w:val="20"/>
                <w:szCs w:val="20"/>
                <w:color w:val="auto"/>
              </w:rPr>
            </w:pPr>
            <w:r>
              <w:rPr>
                <w:rFonts w:ascii="Arial" w:cs="Arial" w:eastAsia="Arial" w:hAnsi="Arial"/>
                <w:sz w:val="16"/>
                <w:szCs w:val="16"/>
                <w:color w:val="auto"/>
              </w:rPr>
              <w:t>NA</w:t>
            </w:r>
          </w:p>
        </w:tc>
      </w:tr>
      <w:tr>
        <w:trPr>
          <w:trHeight w:val="189"/>
        </w:trPr>
        <w:tc>
          <w:tcPr>
            <w:tcW w:w="382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406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$432,000</w:t>
            </w:r>
          </w:p>
        </w:tc>
        <w:tc>
          <w:tcPr>
            <w:tcW w:w="1660" w:type="dxa"/>
            <w:vAlign w:val="bottom"/>
            <w:shd w:val="clear" w:color="auto" w:fill="D9D9D9"/>
          </w:tcPr>
          <w:p>
            <w:pPr>
              <w:jc w:val="right"/>
              <w:ind w:right="263"/>
              <w:spacing w:after="0"/>
              <w:rPr>
                <w:sz w:val="20"/>
                <w:szCs w:val="20"/>
                <w:color w:val="auto"/>
              </w:rPr>
            </w:pPr>
            <w:r>
              <w:rPr>
                <w:rFonts w:ascii="Arial" w:cs="Arial" w:eastAsia="Arial" w:hAnsi="Arial"/>
                <w:sz w:val="16"/>
                <w:szCs w:val="16"/>
                <w:color w:val="auto"/>
              </w:rPr>
              <w:t>5.4%</w:t>
            </w:r>
          </w:p>
        </w:tc>
        <w:tc>
          <w:tcPr>
            <w:tcW w:w="1880" w:type="dxa"/>
            <w:vAlign w:val="bottom"/>
            <w:shd w:val="clear" w:color="auto" w:fill="D9D9D9"/>
          </w:tcPr>
          <w:p>
            <w:pPr>
              <w:jc w:val="right"/>
              <w:ind w:right="165"/>
              <w:spacing w:after="0"/>
              <w:rPr>
                <w:sz w:val="20"/>
                <w:szCs w:val="20"/>
                <w:color w:val="auto"/>
              </w:rPr>
            </w:pPr>
            <w:r>
              <w:rPr>
                <w:rFonts w:ascii="Arial" w:cs="Arial" w:eastAsia="Arial" w:hAnsi="Arial"/>
                <w:sz w:val="16"/>
                <w:szCs w:val="16"/>
                <w:color w:val="auto"/>
              </w:rPr>
              <w:t>6% below</w:t>
            </w:r>
          </w:p>
        </w:tc>
      </w:tr>
      <w:tr>
        <w:trPr>
          <w:trHeight w:val="197"/>
        </w:trPr>
        <w:tc>
          <w:tcPr>
            <w:tcW w:w="3820" w:type="dxa"/>
            <w:vAlign w:val="bottom"/>
          </w:tcPr>
          <w:p>
            <w:pPr>
              <w:spacing w:after="0"/>
              <w:rPr>
                <w:sz w:val="20"/>
                <w:szCs w:val="20"/>
                <w:color w:val="auto"/>
              </w:rPr>
            </w:pPr>
            <w:r>
              <w:rPr>
                <w:rFonts w:ascii="Arial" w:cs="Arial" w:eastAsia="Arial" w:hAnsi="Arial"/>
                <w:sz w:val="16"/>
                <w:szCs w:val="16"/>
                <w:color w:val="auto"/>
              </w:rPr>
              <w:t>Mr. Dordell</w:t>
            </w:r>
          </w:p>
        </w:tc>
        <w:tc>
          <w:tcPr>
            <w:tcW w:w="4060" w:type="dxa"/>
            <w:vAlign w:val="bottom"/>
          </w:tcPr>
          <w:p>
            <w:pPr>
              <w:jc w:val="right"/>
              <w:ind w:right="262"/>
              <w:spacing w:after="0"/>
              <w:rPr>
                <w:sz w:val="20"/>
                <w:szCs w:val="20"/>
                <w:color w:val="auto"/>
              </w:rPr>
            </w:pPr>
            <w:r>
              <w:rPr>
                <w:rFonts w:ascii="Arial" w:cs="Arial" w:eastAsia="Arial" w:hAnsi="Arial"/>
                <w:sz w:val="16"/>
                <w:szCs w:val="16"/>
                <w:color w:val="auto"/>
              </w:rPr>
              <w:t>$425,000</w:t>
            </w:r>
          </w:p>
        </w:tc>
        <w:tc>
          <w:tcPr>
            <w:tcW w:w="1660" w:type="dxa"/>
            <w:vAlign w:val="bottom"/>
          </w:tcPr>
          <w:p>
            <w:pPr>
              <w:jc w:val="right"/>
              <w:ind w:right="263"/>
              <w:spacing w:after="0"/>
              <w:rPr>
                <w:sz w:val="20"/>
                <w:szCs w:val="20"/>
                <w:color w:val="auto"/>
              </w:rPr>
            </w:pPr>
            <w:r>
              <w:rPr>
                <w:rFonts w:ascii="Arial" w:cs="Arial" w:eastAsia="Arial" w:hAnsi="Arial"/>
                <w:sz w:val="16"/>
                <w:szCs w:val="16"/>
                <w:color w:val="auto"/>
              </w:rPr>
              <w:t>3.7%</w:t>
            </w:r>
          </w:p>
        </w:tc>
        <w:tc>
          <w:tcPr>
            <w:tcW w:w="1880" w:type="dxa"/>
            <w:vAlign w:val="bottom"/>
          </w:tcPr>
          <w:p>
            <w:pPr>
              <w:jc w:val="right"/>
              <w:ind w:right="165"/>
              <w:spacing w:after="0"/>
              <w:rPr>
                <w:sz w:val="20"/>
                <w:szCs w:val="20"/>
                <w:color w:val="auto"/>
              </w:rPr>
            </w:pPr>
            <w:r>
              <w:rPr>
                <w:rFonts w:ascii="Arial" w:cs="Arial" w:eastAsia="Arial" w:hAnsi="Arial"/>
                <w:sz w:val="16"/>
                <w:szCs w:val="16"/>
                <w:color w:val="auto"/>
              </w:rPr>
              <w:t>1% above</w:t>
            </w:r>
          </w:p>
        </w:tc>
      </w:tr>
    </w:tbl>
    <w:p>
      <w:pPr>
        <w:spacing w:after="0" w:line="10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 connection with the fiscal 2017 CEO transition, Mr. Olson’s fiscal 2017 annual base salary was set at $775,000. The Compensation &amp; Human Resources Committee believes that this increase in base salary is reflective of the significant increase in his duties and responsibilities, while also positioned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which is appropriate given Mr. Olson is new to the CEO role. In addition, Mr. Hoffman’s base salary was set at $680,000, a decrease from his fiscal 2016 base salary of $ 990,000. The base salary decision for Mr. Hoffman was based on the process described in “Fiscal 2017 CEO Transition” on page 35. The base salary increases for all other named executive officers were intended to bring their respective annual base salaries to, or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08" w:lineRule="exact"/>
        <w:rPr>
          <w:sz w:val="20"/>
          <w:szCs w:val="20"/>
          <w:color w:val="auto"/>
        </w:rPr>
      </w:pPr>
    </w:p>
    <w:p>
      <w:pPr>
        <w:ind w:right="60" w:firstLine="456"/>
        <w:spacing w:after="0" w:line="25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meet our compensation program objective of linking pay to performance, we provide the opportunity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earn an annual cash incentive, which is designed to motivate attainment and reward accomplishment of annual financial business goals. This is done by establishing financial goals that link to our annual financial plan.</w:t>
      </w:r>
    </w:p>
    <w:p>
      <w:pPr>
        <w:spacing w:after="0" w:line="8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At the beginning of each fiscal year, during its regular meeting held in November or December, the Compensation &amp; Human Resources Committee approves a target award expressed as a percentage of base salary for each executive officer. Additionally, the Committee approves specific performance measures, weightings, goals and performance adjustment events, if any, at the corporate and division level for the fiscal year. The performance measures are derived from a list of performance measures included in our Amended and Restated 2010 Plan.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certifies, actual performance as compared to the established corporate and division goals along with a corresponding payout percentage, which is expressed as a percent of target performance. Annual cash incentive awards are paid out to the executive officers in December, and are contingent on the issuance of our press release announcing our financial results for the recently completed fiscal year.</w:t>
      </w:r>
    </w:p>
    <w:p>
      <w:pPr>
        <w:spacing w:after="0" w:line="80"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50</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percentile for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total cash compensation (sum of base salary and target annual cash incentive) for the position in which such executive officer serves. Our objective is that when we achieve target levels of performance for each measure, resulting total cash compensation paid to our executive officers is within a reasonable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exceeds established target annual financial business goals and will generally be less than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if actual performance for each measure is below established target annual financial business goals. In addition to considering the market data, the Committee also considers experience, tenure, scope and complexity of the executive officer’s position, individual contributions and performance, as well as internal pay equity. Actual awards can range from 0% (if threshold levels of performance are not met) to 200% of the target award (if maximum levels of performance are met for all of the performance measures) and the resulting competitiveness of total cash compensation will also vary accordingly.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December 2016, the Committee approved the fiscal 2017 target awards shown below for our named executive officers. The fiscal 2017 target annual cash incentive award, the change in the target award percentage, the resulting fiscal 2017 target total cash compensation (sum of fiscal 2017 annual base salary and fiscal 2017 target annual cash incentive award) and the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also provided.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shd w:val="clear" w:color="auto" w:fill="C00000"/>
          </w:tcPr>
          <w:p>
            <w:pPr>
              <w:spacing w:after="0"/>
              <w:rPr>
                <w:sz w:val="14"/>
                <w:szCs w:val="14"/>
                <w:color w:val="auto"/>
              </w:rPr>
            </w:pPr>
          </w:p>
        </w:tc>
        <w:tc>
          <w:tcPr>
            <w:tcW w:w="214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240" w:type="dxa"/>
            <w:vAlign w:val="bottom"/>
            <w:shd w:val="clear" w:color="auto" w:fill="C00000"/>
          </w:tcPr>
          <w:p>
            <w:pPr>
              <w:spacing w:after="0"/>
              <w:rPr>
                <w:sz w:val="14"/>
                <w:szCs w:val="14"/>
                <w:color w:val="auto"/>
              </w:rPr>
            </w:pPr>
          </w:p>
        </w:tc>
        <w:tc>
          <w:tcPr>
            <w:tcW w:w="54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56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146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Fiscal 2017 Target</w:t>
            </w:r>
          </w:p>
        </w:tc>
      </w:tr>
      <w:tr>
        <w:trPr>
          <w:trHeight w:val="162"/>
        </w:trPr>
        <w:tc>
          <w:tcPr>
            <w:tcW w:w="2060" w:type="dxa"/>
            <w:vAlign w:val="bottom"/>
            <w:shd w:val="clear" w:color="auto" w:fill="C00000"/>
          </w:tcPr>
          <w:p>
            <w:pPr>
              <w:spacing w:after="0"/>
              <w:rPr>
                <w:sz w:val="14"/>
                <w:szCs w:val="14"/>
                <w:color w:val="auto"/>
              </w:rPr>
            </w:pPr>
          </w:p>
        </w:tc>
        <w:tc>
          <w:tcPr>
            <w:tcW w:w="214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240" w:type="dxa"/>
            <w:vAlign w:val="bottom"/>
            <w:shd w:val="clear" w:color="auto" w:fill="C00000"/>
          </w:tcPr>
          <w:p>
            <w:pPr>
              <w:spacing w:after="0"/>
              <w:rPr>
                <w:sz w:val="14"/>
                <w:szCs w:val="14"/>
                <w:color w:val="auto"/>
              </w:rPr>
            </w:pPr>
          </w:p>
        </w:tc>
        <w:tc>
          <w:tcPr>
            <w:tcW w:w="540" w:type="dxa"/>
            <w:vAlign w:val="bottom"/>
            <w:shd w:val="clear" w:color="auto" w:fill="C00000"/>
          </w:tcPr>
          <w:p>
            <w:pPr>
              <w:spacing w:after="0"/>
              <w:rPr>
                <w:sz w:val="14"/>
                <w:szCs w:val="14"/>
                <w:color w:val="auto"/>
              </w:rPr>
            </w:pPr>
          </w:p>
        </w:tc>
        <w:tc>
          <w:tcPr>
            <w:tcW w:w="880" w:type="dxa"/>
            <w:vAlign w:val="bottom"/>
            <w:shd w:val="clear" w:color="auto" w:fill="C00000"/>
          </w:tcPr>
          <w:p>
            <w:pPr>
              <w:spacing w:after="0"/>
              <w:rPr>
                <w:sz w:val="14"/>
                <w:szCs w:val="14"/>
                <w:color w:val="auto"/>
              </w:rPr>
            </w:pPr>
          </w:p>
        </w:tc>
        <w:tc>
          <w:tcPr>
            <w:tcW w:w="56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146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Total Cash</w:t>
            </w:r>
          </w:p>
        </w:tc>
      </w:tr>
      <w:tr>
        <w:trPr>
          <w:trHeight w:val="162"/>
        </w:trPr>
        <w:tc>
          <w:tcPr>
            <w:tcW w:w="2060" w:type="dxa"/>
            <w:vAlign w:val="bottom"/>
            <w:shd w:val="clear" w:color="auto" w:fill="C00000"/>
          </w:tcPr>
          <w:p>
            <w:pPr>
              <w:spacing w:after="0"/>
              <w:rPr>
                <w:sz w:val="14"/>
                <w:szCs w:val="14"/>
                <w:color w:val="auto"/>
              </w:rPr>
            </w:pPr>
          </w:p>
        </w:tc>
        <w:tc>
          <w:tcPr>
            <w:tcW w:w="2140" w:type="dxa"/>
            <w:vAlign w:val="bottom"/>
            <w:shd w:val="clear" w:color="auto" w:fill="C00000"/>
          </w:tcPr>
          <w:p>
            <w:pPr>
              <w:spacing w:after="0"/>
              <w:rPr>
                <w:sz w:val="14"/>
                <w:szCs w:val="14"/>
                <w:color w:val="auto"/>
              </w:rPr>
            </w:pPr>
          </w:p>
        </w:tc>
        <w:tc>
          <w:tcPr>
            <w:tcW w:w="1560" w:type="dxa"/>
            <w:vAlign w:val="bottom"/>
            <w:shd w:val="clear" w:color="auto" w:fill="C00000"/>
          </w:tcPr>
          <w:p>
            <w:pPr>
              <w:spacing w:after="0"/>
              <w:rPr>
                <w:sz w:val="14"/>
                <w:szCs w:val="14"/>
                <w:color w:val="auto"/>
              </w:rPr>
            </w:pP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2017</w:t>
            </w:r>
          </w:p>
        </w:tc>
        <w:tc>
          <w:tcPr>
            <w:tcW w:w="142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2017</w:t>
            </w:r>
          </w:p>
        </w:tc>
        <w:tc>
          <w:tcPr>
            <w:tcW w:w="560" w:type="dxa"/>
            <w:vAlign w:val="bottom"/>
            <w:shd w:val="clear" w:color="auto" w:fill="C00000"/>
          </w:tcPr>
          <w:p>
            <w:pPr>
              <w:spacing w:after="0"/>
              <w:rPr>
                <w:sz w:val="14"/>
                <w:szCs w:val="14"/>
                <w:color w:val="auto"/>
              </w:rPr>
            </w:pPr>
          </w:p>
        </w:tc>
        <w:tc>
          <w:tcPr>
            <w:tcW w:w="980" w:type="dxa"/>
            <w:vAlign w:val="bottom"/>
            <w:shd w:val="clear" w:color="auto" w:fill="C00000"/>
          </w:tcPr>
          <w:p>
            <w:pPr>
              <w:spacing w:after="0"/>
              <w:rPr>
                <w:sz w:val="14"/>
                <w:szCs w:val="14"/>
                <w:color w:val="auto"/>
              </w:rPr>
            </w:pPr>
          </w:p>
        </w:tc>
        <w:tc>
          <w:tcPr>
            <w:tcW w:w="146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Compensation</w:t>
            </w:r>
          </w:p>
        </w:tc>
      </w:tr>
      <w:tr>
        <w:trPr>
          <w:trHeight w:val="159"/>
        </w:trPr>
        <w:tc>
          <w:tcPr>
            <w:tcW w:w="2060" w:type="dxa"/>
            <w:vAlign w:val="bottom"/>
            <w:shd w:val="clear" w:color="auto" w:fill="C00000"/>
          </w:tcPr>
          <w:p>
            <w:pPr>
              <w:spacing w:after="0"/>
              <w:rPr>
                <w:sz w:val="13"/>
                <w:szCs w:val="13"/>
                <w:color w:val="auto"/>
              </w:rPr>
            </w:pPr>
          </w:p>
        </w:tc>
        <w:tc>
          <w:tcPr>
            <w:tcW w:w="2140" w:type="dxa"/>
            <w:vAlign w:val="bottom"/>
            <w:shd w:val="clear" w:color="auto" w:fill="C00000"/>
          </w:tcPr>
          <w:p>
            <w:pPr>
              <w:jc w:val="right"/>
              <w:ind w:right="122"/>
              <w:spacing w:after="0" w:line="159" w:lineRule="exact"/>
              <w:rPr>
                <w:sz w:val="20"/>
                <w:szCs w:val="20"/>
                <w:color w:val="auto"/>
              </w:rPr>
            </w:pPr>
            <w:r>
              <w:rPr>
                <w:rFonts w:ascii="Arial" w:cs="Arial" w:eastAsia="Arial" w:hAnsi="Arial"/>
                <w:sz w:val="14"/>
                <w:szCs w:val="14"/>
                <w:b w:val="1"/>
                <w:bCs w:val="1"/>
                <w:color w:val="FFFFFF"/>
              </w:rPr>
              <w:t>Fiscal 2017</w:t>
            </w:r>
          </w:p>
        </w:tc>
        <w:tc>
          <w:tcPr>
            <w:tcW w:w="1560" w:type="dxa"/>
            <w:vAlign w:val="bottom"/>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Fiscal 2017</w:t>
            </w:r>
          </w:p>
        </w:tc>
        <w:tc>
          <w:tcPr>
            <w:tcW w:w="1240" w:type="dxa"/>
            <w:vAlign w:val="bottom"/>
            <w:shd w:val="clear" w:color="auto" w:fill="C00000"/>
          </w:tcPr>
          <w:p>
            <w:pPr>
              <w:jc w:val="right"/>
              <w:ind w:right="103"/>
              <w:spacing w:after="0" w:line="159" w:lineRule="exact"/>
              <w:rPr>
                <w:sz w:val="20"/>
                <w:szCs w:val="20"/>
                <w:color w:val="auto"/>
              </w:rPr>
            </w:pPr>
            <w:r>
              <w:rPr>
                <w:rFonts w:ascii="Arial" w:cs="Arial" w:eastAsia="Arial" w:hAnsi="Arial"/>
                <w:sz w:val="14"/>
                <w:szCs w:val="14"/>
                <w:b w:val="1"/>
                <w:bCs w:val="1"/>
                <w:color w:val="FFFFFF"/>
              </w:rPr>
              <w:t>Target Award</w:t>
            </w:r>
          </w:p>
        </w:tc>
        <w:tc>
          <w:tcPr>
            <w:tcW w:w="142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w w:val="98"/>
              </w:rPr>
              <w:t>Target</w:t>
            </w:r>
          </w:p>
        </w:tc>
        <w:tc>
          <w:tcPr>
            <w:tcW w:w="154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Fiscal 2017</w:t>
            </w:r>
          </w:p>
        </w:tc>
        <w:tc>
          <w:tcPr>
            <w:tcW w:w="1460" w:type="dxa"/>
            <w:vAlign w:val="bottom"/>
            <w:shd w:val="clear" w:color="auto" w:fill="C00000"/>
          </w:tcPr>
          <w:p>
            <w:pPr>
              <w:jc w:val="center"/>
              <w:ind w:left="25"/>
              <w:spacing w:after="0" w:line="159" w:lineRule="exact"/>
              <w:rPr>
                <w:sz w:val="20"/>
                <w:szCs w:val="20"/>
                <w:color w:val="auto"/>
              </w:rPr>
            </w:pPr>
            <w:r>
              <w:rPr>
                <w:rFonts w:ascii="Arial" w:cs="Arial" w:eastAsia="Arial" w:hAnsi="Arial"/>
                <w:sz w:val="14"/>
                <w:szCs w:val="14"/>
                <w:b w:val="1"/>
                <w:bCs w:val="1"/>
                <w:color w:val="FFFFFF"/>
              </w:rPr>
              <w:t>Compared to</w:t>
            </w:r>
          </w:p>
        </w:tc>
      </w:tr>
      <w:tr>
        <w:trPr>
          <w:trHeight w:val="166"/>
        </w:trPr>
        <w:tc>
          <w:tcPr>
            <w:tcW w:w="2060" w:type="dxa"/>
            <w:vAlign w:val="bottom"/>
            <w:shd w:val="clear" w:color="auto" w:fill="C00000"/>
          </w:tcPr>
          <w:p>
            <w:pPr>
              <w:spacing w:after="0"/>
              <w:rPr>
                <w:sz w:val="14"/>
                <w:szCs w:val="14"/>
                <w:color w:val="auto"/>
              </w:rPr>
            </w:pPr>
          </w:p>
        </w:tc>
        <w:tc>
          <w:tcPr>
            <w:tcW w:w="2140" w:type="dxa"/>
            <w:vAlign w:val="bottom"/>
            <w:shd w:val="clear" w:color="auto" w:fill="C00000"/>
          </w:tcPr>
          <w:p>
            <w:pPr>
              <w:jc w:val="right"/>
              <w:ind w:right="82"/>
              <w:spacing w:after="0"/>
              <w:rPr>
                <w:sz w:val="20"/>
                <w:szCs w:val="20"/>
                <w:color w:val="auto"/>
              </w:rPr>
            </w:pPr>
            <w:r>
              <w:rPr>
                <w:rFonts w:ascii="Arial" w:cs="Arial" w:eastAsia="Arial" w:hAnsi="Arial"/>
                <w:sz w:val="14"/>
                <w:szCs w:val="14"/>
                <w:b w:val="1"/>
                <w:bCs w:val="1"/>
                <w:color w:val="FFFFFF"/>
              </w:rPr>
              <w:t>Annual Base</w:t>
            </w:r>
          </w:p>
        </w:tc>
        <w:tc>
          <w:tcPr>
            <w:tcW w:w="15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Award at Target</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Percentage</w:t>
            </w:r>
          </w:p>
        </w:tc>
        <w:tc>
          <w:tcPr>
            <w:tcW w:w="142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Annual Cash</w:t>
            </w:r>
          </w:p>
        </w:tc>
        <w:tc>
          <w:tcPr>
            <w:tcW w:w="15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Target Total Cash</w:t>
            </w:r>
          </w:p>
        </w:tc>
        <w:tc>
          <w:tcPr>
            <w:tcW w:w="1460" w:type="dxa"/>
            <w:vAlign w:val="bottom"/>
            <w:shd w:val="clear" w:color="auto" w:fill="C00000"/>
          </w:tcPr>
          <w:p>
            <w:pPr>
              <w:jc w:val="center"/>
              <w:ind w:left="45"/>
              <w:spacing w:after="0" w:line="165" w:lineRule="exact"/>
              <w:rPr>
                <w:sz w:val="20"/>
                <w:szCs w:val="20"/>
                <w:color w:val="auto"/>
              </w:rPr>
            </w:pPr>
            <w:r>
              <w:rPr>
                <w:rFonts w:ascii="Arial" w:cs="Arial" w:eastAsia="Arial" w:hAnsi="Arial"/>
                <w:sz w:val="12"/>
                <w:szCs w:val="12"/>
                <w:b w:val="1"/>
                <w:bCs w:val="1"/>
                <w:color w:val="FFFFFF"/>
              </w:rPr>
              <w:t>Market 50</w:t>
            </w:r>
            <w:r>
              <w:rPr>
                <w:rFonts w:ascii="Arial" w:cs="Arial" w:eastAsia="Arial" w:hAnsi="Arial"/>
                <w:sz w:val="19"/>
                <w:szCs w:val="19"/>
                <w:b w:val="1"/>
                <w:bCs w:val="1"/>
                <w:color w:val="FFFFFF"/>
                <w:vertAlign w:val="superscript"/>
              </w:rPr>
              <w:t>th</w:t>
            </w:r>
          </w:p>
        </w:tc>
      </w:tr>
      <w:tr>
        <w:trPr>
          <w:trHeight w:val="189"/>
        </w:trPr>
        <w:tc>
          <w:tcPr>
            <w:tcW w:w="20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140" w:type="dxa"/>
            <w:vAlign w:val="bottom"/>
            <w:shd w:val="clear" w:color="auto" w:fill="C00000"/>
          </w:tcPr>
          <w:p>
            <w:pPr>
              <w:jc w:val="right"/>
              <w:ind w:right="302"/>
              <w:spacing w:after="0"/>
              <w:rPr>
                <w:sz w:val="20"/>
                <w:szCs w:val="20"/>
                <w:color w:val="auto"/>
              </w:rPr>
            </w:pPr>
            <w:r>
              <w:rPr>
                <w:rFonts w:ascii="Arial" w:cs="Arial" w:eastAsia="Arial" w:hAnsi="Arial"/>
                <w:sz w:val="14"/>
                <w:szCs w:val="14"/>
                <w:b w:val="1"/>
                <w:bCs w:val="1"/>
                <w:color w:val="FFFFFF"/>
              </w:rPr>
              <w:t>Salary</w:t>
            </w:r>
          </w:p>
        </w:tc>
        <w:tc>
          <w:tcPr>
            <w:tcW w:w="156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 of base salary)</w:t>
            </w:r>
          </w:p>
        </w:tc>
        <w:tc>
          <w:tcPr>
            <w:tcW w:w="12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Change</w:t>
            </w:r>
          </w:p>
        </w:tc>
        <w:tc>
          <w:tcPr>
            <w:tcW w:w="142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Incentive Award</w:t>
            </w:r>
          </w:p>
        </w:tc>
        <w:tc>
          <w:tcPr>
            <w:tcW w:w="15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Compensation</w:t>
            </w:r>
          </w:p>
        </w:tc>
        <w:tc>
          <w:tcPr>
            <w:tcW w:w="1460" w:type="dxa"/>
            <w:vAlign w:val="bottom"/>
            <w:shd w:val="clear" w:color="auto" w:fill="C00000"/>
          </w:tcPr>
          <w:p>
            <w:pPr>
              <w:jc w:val="center"/>
              <w:ind w:left="25"/>
              <w:spacing w:after="0"/>
              <w:rPr>
                <w:sz w:val="20"/>
                <w:szCs w:val="20"/>
                <w:color w:val="auto"/>
              </w:rPr>
            </w:pPr>
            <w:r>
              <w:rPr>
                <w:rFonts w:ascii="Arial" w:cs="Arial" w:eastAsia="Arial" w:hAnsi="Arial"/>
                <w:sz w:val="14"/>
                <w:szCs w:val="14"/>
                <w:b w:val="1"/>
                <w:bCs w:val="1"/>
                <w:color w:val="FFFFFF"/>
              </w:rPr>
              <w:t>Percentile</w:t>
            </w:r>
          </w:p>
        </w:tc>
      </w:tr>
      <w:tr>
        <w:trPr>
          <w:trHeight w:val="189"/>
        </w:trPr>
        <w:tc>
          <w:tcPr>
            <w:tcW w:w="2060" w:type="dxa"/>
            <w:vAlign w:val="bottom"/>
          </w:tcPr>
          <w:p>
            <w:pPr>
              <w:spacing w:after="0"/>
              <w:rPr>
                <w:sz w:val="20"/>
                <w:szCs w:val="20"/>
                <w:color w:val="auto"/>
              </w:rPr>
            </w:pPr>
            <w:r>
              <w:rPr>
                <w:rFonts w:ascii="Arial" w:cs="Arial" w:eastAsia="Arial" w:hAnsi="Arial"/>
                <w:sz w:val="16"/>
                <w:szCs w:val="16"/>
                <w:color w:val="auto"/>
              </w:rPr>
              <w:t>Mr. Olson</w:t>
            </w:r>
          </w:p>
        </w:tc>
        <w:tc>
          <w:tcPr>
            <w:tcW w:w="2140" w:type="dxa"/>
            <w:vAlign w:val="bottom"/>
          </w:tcPr>
          <w:p>
            <w:pPr>
              <w:jc w:val="right"/>
              <w:ind w:right="82"/>
              <w:spacing w:after="0"/>
              <w:rPr>
                <w:sz w:val="20"/>
                <w:szCs w:val="20"/>
                <w:color w:val="auto"/>
              </w:rPr>
            </w:pPr>
            <w:r>
              <w:rPr>
                <w:rFonts w:ascii="Arial" w:cs="Arial" w:eastAsia="Arial" w:hAnsi="Arial"/>
                <w:sz w:val="16"/>
                <w:szCs w:val="16"/>
                <w:color w:val="auto"/>
              </w:rPr>
              <w:t>$775,000</w:t>
            </w:r>
          </w:p>
        </w:tc>
        <w:tc>
          <w:tcPr>
            <w:tcW w:w="1560" w:type="dxa"/>
            <w:vAlign w:val="bottom"/>
          </w:tcPr>
          <w:p>
            <w:pPr>
              <w:jc w:val="right"/>
              <w:ind w:right="262"/>
              <w:spacing w:after="0"/>
              <w:rPr>
                <w:sz w:val="20"/>
                <w:szCs w:val="20"/>
                <w:color w:val="auto"/>
              </w:rPr>
            </w:pPr>
            <w:r>
              <w:rPr>
                <w:rFonts w:ascii="Arial" w:cs="Arial" w:eastAsia="Arial" w:hAnsi="Arial"/>
                <w:sz w:val="16"/>
                <w:szCs w:val="16"/>
                <w:color w:val="auto"/>
              </w:rPr>
              <w:t>100%</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+ 20%</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775,000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1,550,000</w:t>
            </w:r>
          </w:p>
        </w:tc>
        <w:tc>
          <w:tcPr>
            <w:tcW w:w="1460" w:type="dxa"/>
            <w:vAlign w:val="bottom"/>
          </w:tcPr>
          <w:p>
            <w:pPr>
              <w:jc w:val="right"/>
              <w:spacing w:after="0"/>
              <w:rPr>
                <w:sz w:val="20"/>
                <w:szCs w:val="20"/>
                <w:color w:val="auto"/>
              </w:rPr>
            </w:pPr>
            <w:r>
              <w:rPr>
                <w:rFonts w:ascii="Arial" w:cs="Arial" w:eastAsia="Arial" w:hAnsi="Arial"/>
                <w:sz w:val="16"/>
                <w:szCs w:val="16"/>
                <w:color w:val="auto"/>
              </w:rPr>
              <w:t>22% below</w:t>
            </w:r>
          </w:p>
        </w:tc>
      </w:tr>
      <w:tr>
        <w:trPr>
          <w:trHeight w:val="189"/>
        </w:trPr>
        <w:tc>
          <w:tcPr>
            <w:tcW w:w="20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1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$505,000</w:t>
            </w:r>
          </w:p>
        </w:tc>
        <w:tc>
          <w:tcPr>
            <w:tcW w:w="156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75%</w:t>
            </w:r>
          </w:p>
        </w:tc>
        <w:tc>
          <w:tcPr>
            <w:tcW w:w="124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No change</w:t>
            </w:r>
          </w:p>
        </w:tc>
        <w:tc>
          <w:tcPr>
            <w:tcW w:w="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378,750</w:t>
            </w:r>
          </w:p>
        </w:tc>
        <w:tc>
          <w:tcPr>
            <w:tcW w:w="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883,750</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At market</w:t>
            </w:r>
          </w:p>
        </w:tc>
      </w:tr>
      <w:tr>
        <w:trPr>
          <w:trHeight w:val="189"/>
        </w:trPr>
        <w:tc>
          <w:tcPr>
            <w:tcW w:w="2060" w:type="dxa"/>
            <w:vAlign w:val="bottom"/>
          </w:tcPr>
          <w:p>
            <w:pPr>
              <w:spacing w:after="0"/>
              <w:rPr>
                <w:sz w:val="20"/>
                <w:szCs w:val="20"/>
                <w:color w:val="auto"/>
              </w:rPr>
            </w:pPr>
            <w:r>
              <w:rPr>
                <w:rFonts w:ascii="Arial" w:cs="Arial" w:eastAsia="Arial" w:hAnsi="Arial"/>
                <w:sz w:val="16"/>
                <w:szCs w:val="16"/>
                <w:color w:val="auto"/>
              </w:rPr>
              <w:t>Mr. Hoffman</w:t>
            </w:r>
          </w:p>
        </w:tc>
        <w:tc>
          <w:tcPr>
            <w:tcW w:w="2140" w:type="dxa"/>
            <w:vAlign w:val="bottom"/>
          </w:tcPr>
          <w:p>
            <w:pPr>
              <w:jc w:val="right"/>
              <w:ind w:right="82"/>
              <w:spacing w:after="0"/>
              <w:rPr>
                <w:sz w:val="20"/>
                <w:szCs w:val="20"/>
                <w:color w:val="auto"/>
              </w:rPr>
            </w:pPr>
            <w:r>
              <w:rPr>
                <w:rFonts w:ascii="Arial" w:cs="Arial" w:eastAsia="Arial" w:hAnsi="Arial"/>
                <w:sz w:val="16"/>
                <w:szCs w:val="16"/>
                <w:color w:val="auto"/>
              </w:rPr>
              <w:t>$680,000</w:t>
            </w:r>
          </w:p>
        </w:tc>
        <w:tc>
          <w:tcPr>
            <w:tcW w:w="1560" w:type="dxa"/>
            <w:vAlign w:val="bottom"/>
          </w:tcPr>
          <w:p>
            <w:pPr>
              <w:jc w:val="right"/>
              <w:ind w:right="262"/>
              <w:spacing w:after="0"/>
              <w:rPr>
                <w:sz w:val="20"/>
                <w:szCs w:val="20"/>
                <w:color w:val="auto"/>
              </w:rPr>
            </w:pPr>
            <w:r>
              <w:rPr>
                <w:rFonts w:ascii="Arial" w:cs="Arial" w:eastAsia="Arial" w:hAnsi="Arial"/>
                <w:sz w:val="16"/>
                <w:szCs w:val="16"/>
                <w:color w:val="auto"/>
              </w:rPr>
              <w:t>125%</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No change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850,000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1,530,000</w:t>
            </w:r>
          </w:p>
        </w:tc>
        <w:tc>
          <w:tcPr>
            <w:tcW w:w="146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89"/>
        </w:trPr>
        <w:tc>
          <w:tcPr>
            <w:tcW w:w="206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2140" w:type="dxa"/>
            <w:vAlign w:val="bottom"/>
            <w:shd w:val="clear" w:color="auto" w:fill="D9D9D9"/>
          </w:tcPr>
          <w:p>
            <w:pPr>
              <w:jc w:val="right"/>
              <w:ind w:right="82"/>
              <w:spacing w:after="0"/>
              <w:rPr>
                <w:sz w:val="20"/>
                <w:szCs w:val="20"/>
                <w:color w:val="auto"/>
              </w:rPr>
            </w:pPr>
            <w:r>
              <w:rPr>
                <w:rFonts w:ascii="Arial" w:cs="Arial" w:eastAsia="Arial" w:hAnsi="Arial"/>
                <w:sz w:val="16"/>
                <w:szCs w:val="16"/>
                <w:color w:val="auto"/>
              </w:rPr>
              <w:t>$432,000</w:t>
            </w:r>
          </w:p>
        </w:tc>
        <w:tc>
          <w:tcPr>
            <w:tcW w:w="1560" w:type="dxa"/>
            <w:vAlign w:val="bottom"/>
            <w:shd w:val="clear" w:color="auto" w:fill="D9D9D9"/>
          </w:tcPr>
          <w:p>
            <w:pPr>
              <w:jc w:val="right"/>
              <w:ind w:right="262"/>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9D9D9"/>
          </w:tcPr>
          <w:p>
            <w:pPr>
              <w:jc w:val="right"/>
              <w:ind w:right="103"/>
              <w:spacing w:after="0"/>
              <w:rPr>
                <w:sz w:val="20"/>
                <w:szCs w:val="20"/>
                <w:color w:val="auto"/>
              </w:rPr>
            </w:pPr>
            <w:r>
              <w:rPr>
                <w:rFonts w:ascii="Arial" w:cs="Arial" w:eastAsia="Arial" w:hAnsi="Arial"/>
                <w:sz w:val="16"/>
                <w:szCs w:val="16"/>
                <w:color w:val="auto"/>
              </w:rPr>
              <w:t>No change</w:t>
            </w:r>
          </w:p>
        </w:tc>
        <w:tc>
          <w:tcPr>
            <w:tcW w:w="5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280,800</w:t>
            </w:r>
          </w:p>
        </w:tc>
        <w:tc>
          <w:tcPr>
            <w:tcW w:w="5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712,800</w:t>
            </w:r>
          </w:p>
        </w:tc>
        <w:tc>
          <w:tcPr>
            <w:tcW w:w="14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 below</w:t>
            </w:r>
          </w:p>
        </w:tc>
      </w:tr>
      <w:tr>
        <w:trPr>
          <w:trHeight w:val="197"/>
        </w:trPr>
        <w:tc>
          <w:tcPr>
            <w:tcW w:w="2060" w:type="dxa"/>
            <w:vAlign w:val="bottom"/>
          </w:tcPr>
          <w:p>
            <w:pPr>
              <w:spacing w:after="0"/>
              <w:rPr>
                <w:sz w:val="20"/>
                <w:szCs w:val="20"/>
                <w:color w:val="auto"/>
              </w:rPr>
            </w:pPr>
            <w:r>
              <w:rPr>
                <w:rFonts w:ascii="Arial" w:cs="Arial" w:eastAsia="Arial" w:hAnsi="Arial"/>
                <w:sz w:val="16"/>
                <w:szCs w:val="16"/>
                <w:color w:val="auto"/>
              </w:rPr>
              <w:t>Mr. Dordell</w:t>
            </w:r>
          </w:p>
        </w:tc>
        <w:tc>
          <w:tcPr>
            <w:tcW w:w="2140" w:type="dxa"/>
            <w:vAlign w:val="bottom"/>
          </w:tcPr>
          <w:p>
            <w:pPr>
              <w:jc w:val="right"/>
              <w:ind w:right="82"/>
              <w:spacing w:after="0"/>
              <w:rPr>
                <w:sz w:val="20"/>
                <w:szCs w:val="20"/>
                <w:color w:val="auto"/>
              </w:rPr>
            </w:pPr>
            <w:r>
              <w:rPr>
                <w:rFonts w:ascii="Arial" w:cs="Arial" w:eastAsia="Arial" w:hAnsi="Arial"/>
                <w:sz w:val="16"/>
                <w:szCs w:val="16"/>
                <w:color w:val="auto"/>
              </w:rPr>
              <w:t>$425,000</w:t>
            </w:r>
          </w:p>
        </w:tc>
        <w:tc>
          <w:tcPr>
            <w:tcW w:w="1560" w:type="dxa"/>
            <w:vAlign w:val="bottom"/>
          </w:tcPr>
          <w:p>
            <w:pPr>
              <w:jc w:val="right"/>
              <w:ind w:right="262"/>
              <w:spacing w:after="0"/>
              <w:rPr>
                <w:sz w:val="20"/>
                <w:szCs w:val="20"/>
                <w:color w:val="auto"/>
              </w:rPr>
            </w:pPr>
            <w:r>
              <w:rPr>
                <w:rFonts w:ascii="Arial" w:cs="Arial" w:eastAsia="Arial" w:hAnsi="Arial"/>
                <w:sz w:val="16"/>
                <w:szCs w:val="16"/>
                <w:color w:val="auto"/>
              </w:rPr>
              <w:t>60%</w:t>
            </w:r>
          </w:p>
        </w:tc>
        <w:tc>
          <w:tcPr>
            <w:tcW w:w="1240" w:type="dxa"/>
            <w:vAlign w:val="bottom"/>
          </w:tcPr>
          <w:p>
            <w:pPr>
              <w:jc w:val="right"/>
              <w:ind w:right="103"/>
              <w:spacing w:after="0"/>
              <w:rPr>
                <w:sz w:val="20"/>
                <w:szCs w:val="20"/>
                <w:color w:val="auto"/>
              </w:rPr>
            </w:pPr>
            <w:r>
              <w:rPr>
                <w:rFonts w:ascii="Arial" w:cs="Arial" w:eastAsia="Arial" w:hAnsi="Arial"/>
                <w:sz w:val="16"/>
                <w:szCs w:val="16"/>
                <w:color w:val="auto"/>
              </w:rPr>
              <w:t>+ 5%</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255,000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680,000</w:t>
            </w:r>
          </w:p>
        </w:tc>
        <w:tc>
          <w:tcPr>
            <w:tcW w:w="1460" w:type="dxa"/>
            <w:vAlign w:val="bottom"/>
          </w:tcPr>
          <w:p>
            <w:pPr>
              <w:jc w:val="right"/>
              <w:spacing w:after="0"/>
              <w:rPr>
                <w:sz w:val="20"/>
                <w:szCs w:val="20"/>
                <w:color w:val="auto"/>
              </w:rPr>
            </w:pPr>
            <w:r>
              <w:rPr>
                <w:rFonts w:ascii="Arial" w:cs="Arial" w:eastAsia="Arial" w:hAnsi="Arial"/>
                <w:sz w:val="16"/>
                <w:szCs w:val="16"/>
                <w:color w:val="auto"/>
              </w:rPr>
              <w:t>1% below</w:t>
            </w:r>
          </w:p>
        </w:tc>
      </w:tr>
    </w:tbl>
    <w:p>
      <w:pPr>
        <w:spacing w:after="0" w:line="10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We believe that the fiscal 2017 target annual cash incentive awards reflect market competitive annual cash incentive opportunities and that the differentiation of target awards among our named executive officers was appropriate given the scope and responsibility of their respective positions. The change in the target award for Mr. Olson is reflective of the significant increase in his duties and responsibilities as President and CEO.</w:t>
      </w:r>
    </w:p>
    <w:p>
      <w:pPr>
        <w:spacing w:after="0" w:line="94" w:lineRule="exact"/>
        <w:rPr>
          <w:sz w:val="20"/>
          <w:szCs w:val="20"/>
          <w:color w:val="auto"/>
        </w:rPr>
      </w:pPr>
    </w:p>
    <w:p>
      <w:pPr>
        <w:ind w:right="40" w:firstLine="456"/>
        <w:spacing w:after="0" w:line="234" w:lineRule="auto"/>
        <w:rPr>
          <w:sz w:val="20"/>
          <w:szCs w:val="20"/>
          <w:color w:val="auto"/>
        </w:rPr>
      </w:pPr>
      <w:r>
        <w:rPr>
          <w:rFonts w:ascii="Arial" w:cs="Arial" w:eastAsia="Arial" w:hAnsi="Arial"/>
          <w:sz w:val="18"/>
          <w:szCs w:val="18"/>
          <w:color w:val="auto"/>
        </w:rPr>
        <w:t>The annual target award and resulting target total cash compensation decisions for Mr. Hoffman were based on the process described in “Fiscal 2017 CEO Transition” on page 35. The change in the target award for Mr. Dordell was intended to bring his target total cash compensation closer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target award for Mr. Brown was increased in fiscal 2016, which, for fiscal 2016, resulted in target total cash compensation being slightly below the market 50</w:t>
      </w:r>
      <w:r>
        <w:rPr>
          <w:rFonts w:ascii="Arial" w:cs="Arial" w:eastAsia="Arial" w:hAnsi="Arial"/>
          <w:sz w:val="15"/>
          <w:szCs w:val="15"/>
          <w:color w:val="auto"/>
        </w:rPr>
        <w:t>th</w:t>
      </w:r>
      <w:r>
        <w:rPr>
          <w:rFonts w:ascii="Arial" w:cs="Arial" w:eastAsia="Arial" w:hAnsi="Arial"/>
          <w:sz w:val="18"/>
          <w:szCs w:val="18"/>
          <w:color w:val="auto"/>
        </w:rPr>
        <w:t xml:space="preserve"> percentile. The Committee determined it was appropriate to keep</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Brown’s target award at 65% for fiscal 2017 and continue to monitor market data for his position.</w:t>
      </w:r>
    </w:p>
    <w:p>
      <w:pPr>
        <w:spacing w:after="0" w:line="104" w:lineRule="exact"/>
        <w:rPr>
          <w:sz w:val="20"/>
          <w:szCs w:val="20"/>
          <w:color w:val="auto"/>
        </w:rPr>
      </w:pPr>
    </w:p>
    <w:p>
      <w:pPr>
        <w:ind w:right="1140" w:firstLine="456"/>
        <w:spacing w:after="0" w:line="246" w:lineRule="auto"/>
        <w:rPr>
          <w:sz w:val="20"/>
          <w:szCs w:val="20"/>
          <w:color w:val="auto"/>
        </w:rPr>
      </w:pPr>
      <w:r>
        <w:rPr>
          <w:rFonts w:ascii="Arial" w:cs="Arial" w:eastAsia="Arial" w:hAnsi="Arial"/>
          <w:sz w:val="18"/>
          <w:szCs w:val="18"/>
          <w:color w:val="auto"/>
        </w:rPr>
        <w:t>Details regarding actual total cash compensation for fiscal 2017 can be found under “Annual Cash Incentives—Actual Cash Compensation Discussion and Analysis” on page 40.</w:t>
      </w:r>
    </w:p>
    <w:p>
      <w:pPr>
        <w:spacing w:after="0" w:line="71"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Committee determines performance measures, weightings,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adjustment events, if any, for the annual cash incentive awards. We believe that in order to motivate our executive officers to achieve annual financial business goals, it is important to select performance measures designed to motivate our executive officers to achieve our annual financial plan, as well as drive shareholder value. Key drivers in our annual financial plan for fiscal 2017 included profitability, revenue growth, and asset efficiency. Accordingly, the corporate performance measures for fiscal 2017 were diluted net EPS, corporate revenue growth, and corporate average net assets turns, and the division performance measures were division controllable profit contribution, or CPC, division revenue growth, and division working capital as a percent of sales. Division CPC is defined as divisional operating earnings plus divisional other income, net. Division working capital as a percent of sales is defined as the twelve month average divisional receivables divided by divisional net sales plus the twelve month average divisional inventories divided by divisional net sales minus the total Company accounts payables divided by the total Company net sales.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corporate and division performance measures and weightings for fiscal 2017, as approved by the Committee, were as follows:</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22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 Performance Measures</w:t>
            </w:r>
          </w:p>
        </w:tc>
        <w:tc>
          <w:tcPr>
            <w:tcW w:w="6280" w:type="dxa"/>
            <w:vAlign w:val="bottom"/>
            <w:shd w:val="clear" w:color="auto" w:fill="C00000"/>
          </w:tcPr>
          <w:p>
            <w:pPr>
              <w:ind w:left="1360"/>
              <w:spacing w:after="0"/>
              <w:rPr>
                <w:sz w:val="20"/>
                <w:szCs w:val="20"/>
                <w:color w:val="auto"/>
              </w:rPr>
            </w:pPr>
            <w:r>
              <w:rPr>
                <w:rFonts w:ascii="Arial" w:cs="Arial" w:eastAsia="Arial" w:hAnsi="Arial"/>
                <w:sz w:val="14"/>
                <w:szCs w:val="14"/>
                <w:b w:val="1"/>
                <w:bCs w:val="1"/>
                <w:color w:val="FFFFFF"/>
              </w:rPr>
              <w:t>Division Performance Measures</w:t>
            </w: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40% diluted net EPS</w:t>
            </w:r>
          </w:p>
        </w:tc>
        <w:tc>
          <w:tcPr>
            <w:tcW w:w="6280" w:type="dxa"/>
            <w:vAlign w:val="bottom"/>
          </w:tcPr>
          <w:p>
            <w:pPr>
              <w:ind w:left="1360"/>
              <w:spacing w:after="0"/>
              <w:rPr>
                <w:sz w:val="20"/>
                <w:szCs w:val="20"/>
                <w:color w:val="auto"/>
              </w:rPr>
            </w:pPr>
            <w:r>
              <w:rPr>
                <w:rFonts w:ascii="Arial" w:cs="Arial" w:eastAsia="Arial" w:hAnsi="Arial"/>
                <w:sz w:val="16"/>
                <w:szCs w:val="16"/>
                <w:color w:val="auto"/>
              </w:rPr>
              <w:t>40% division CPC</w:t>
            </w:r>
          </w:p>
        </w:tc>
      </w:tr>
      <w:tr>
        <w:trPr>
          <w:trHeight w:val="189"/>
        </w:trPr>
        <w:tc>
          <w:tcPr>
            <w:tcW w:w="4220" w:type="dxa"/>
            <w:vAlign w:val="bottom"/>
            <w:shd w:val="clear" w:color="auto" w:fill="D9D9D9"/>
          </w:tcPr>
          <w:p>
            <w:pPr>
              <w:spacing w:after="0"/>
              <w:rPr>
                <w:sz w:val="20"/>
                <w:szCs w:val="20"/>
                <w:color w:val="auto"/>
              </w:rPr>
            </w:pPr>
            <w:r>
              <w:rPr>
                <w:rFonts w:ascii="Arial" w:cs="Arial" w:eastAsia="Arial" w:hAnsi="Arial"/>
                <w:sz w:val="16"/>
                <w:szCs w:val="16"/>
                <w:color w:val="auto"/>
              </w:rPr>
              <w:t>30% corporate revenue growth</w:t>
            </w:r>
          </w:p>
        </w:tc>
        <w:tc>
          <w:tcPr>
            <w:tcW w:w="6280" w:type="dxa"/>
            <w:vAlign w:val="bottom"/>
            <w:shd w:val="clear" w:color="auto" w:fill="D9D9D9"/>
          </w:tcPr>
          <w:p>
            <w:pPr>
              <w:ind w:left="1360"/>
              <w:spacing w:after="0"/>
              <w:rPr>
                <w:sz w:val="20"/>
                <w:szCs w:val="20"/>
                <w:color w:val="auto"/>
              </w:rPr>
            </w:pPr>
            <w:r>
              <w:rPr>
                <w:rFonts w:ascii="Arial" w:cs="Arial" w:eastAsia="Arial" w:hAnsi="Arial"/>
                <w:sz w:val="16"/>
                <w:szCs w:val="16"/>
                <w:color w:val="auto"/>
              </w:rPr>
              <w:t>30% division revenue growth</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30% corporate average net assets turns</w:t>
            </w:r>
          </w:p>
        </w:tc>
        <w:tc>
          <w:tcPr>
            <w:tcW w:w="6280" w:type="dxa"/>
            <w:vAlign w:val="bottom"/>
          </w:tcPr>
          <w:p>
            <w:pPr>
              <w:ind w:left="1360"/>
              <w:spacing w:after="0"/>
              <w:rPr>
                <w:sz w:val="20"/>
                <w:szCs w:val="20"/>
                <w:color w:val="auto"/>
              </w:rPr>
            </w:pPr>
            <w:r>
              <w:rPr>
                <w:rFonts w:ascii="Arial" w:cs="Arial" w:eastAsia="Arial" w:hAnsi="Arial"/>
                <w:sz w:val="16"/>
                <w:szCs w:val="16"/>
                <w:color w:val="auto"/>
              </w:rPr>
              <w:t>30% division working capital as a percent of sales</w:t>
            </w:r>
          </w:p>
        </w:tc>
      </w:tr>
    </w:tbl>
    <w:p>
      <w:pPr>
        <w:spacing w:after="0" w:line="100" w:lineRule="exact"/>
        <w:rPr>
          <w:sz w:val="20"/>
          <w:szCs w:val="20"/>
          <w:color w:val="auto"/>
        </w:rPr>
      </w:pPr>
    </w:p>
    <w:p>
      <w:pPr>
        <w:ind w:right="140" w:firstLine="456"/>
        <w:spacing w:after="0"/>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generally had 50% of their annual cash incentive tied to corporate performance and 50% tied to division performance.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380" w:firstLine="456"/>
        <w:spacing w:after="0" w:line="239" w:lineRule="auto"/>
        <w:rPr>
          <w:sz w:val="20"/>
          <w:szCs w:val="20"/>
          <w:color w:val="auto"/>
        </w:rPr>
      </w:pPr>
      <w:r>
        <w:rPr>
          <w:rFonts w:ascii="Arial" w:cs="Arial" w:eastAsia="Arial" w:hAnsi="Arial"/>
          <w:sz w:val="18"/>
          <w:szCs w:val="18"/>
          <w:color w:val="auto"/>
        </w:rPr>
        <w:t>For fiscal 2017, threshold, target and maximum goals were established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Additionally, the following thresholds affect whether or not a corporate and/or division payout is made:</w:t>
      </w:r>
    </w:p>
    <w:p>
      <w:pPr>
        <w:spacing w:after="0" w:line="67" w:lineRule="exact"/>
        <w:rPr>
          <w:sz w:val="20"/>
          <w:szCs w:val="20"/>
          <w:color w:val="auto"/>
        </w:rPr>
      </w:pPr>
    </w:p>
    <w:p>
      <w:pPr>
        <w:ind w:left="780" w:right="680" w:hanging="326"/>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diluted net EPS threshold goal, which was set at 80% of plan, must have been met in order for there to be any payout for corporate participants and any corporate portion of the payout for division participants; and</w:t>
      </w:r>
    </w:p>
    <w:p>
      <w:pPr>
        <w:spacing w:after="0" w:line="61" w:lineRule="exact"/>
        <w:rPr>
          <w:rFonts w:ascii="Arial" w:cs="Arial" w:eastAsia="Arial" w:hAnsi="Arial"/>
          <w:sz w:val="18"/>
          <w:szCs w:val="18"/>
          <w:color w:val="auto"/>
        </w:rPr>
      </w:pPr>
    </w:p>
    <w:p>
      <w:pPr>
        <w:ind w:left="780" w:right="140" w:hanging="326"/>
        <w:spacing w:after="0" w:line="24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division participants to receive a division payout, CPC for the respective division must have been at least 80% of the plan, or the threshold level of performance established for that division.</w:t>
      </w:r>
    </w:p>
    <w:p>
      <w:pPr>
        <w:spacing w:after="0" w:line="8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As provided for and in accordance with our Amended and Restated 2010 Plan, the Committee also established specific adjustment events for determining corporate performance payouts and division performance payouts under the fiscal 2017 annual cash incentive awards. With respect to corporate adjustment events, the impact of an acquisition on the fiscal 2017 annual cash incentive award payouts was determined by the size of the acquisition based on projected annual revenue for the first twelve months following the closing of an acquisition, as follows:</w:t>
      </w:r>
    </w:p>
    <w:p>
      <w:pPr>
        <w:spacing w:after="0" w:line="68" w:lineRule="exact"/>
        <w:rPr>
          <w:sz w:val="20"/>
          <w:szCs w:val="20"/>
          <w:color w:val="auto"/>
        </w:rPr>
      </w:pPr>
    </w:p>
    <w:p>
      <w:pPr>
        <w:ind w:left="780" w:right="260" w:hanging="326"/>
        <w:spacing w:after="0" w:line="24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any acquisition greater than $10 million was to be excluded from the payout calculation, unless such acquisition was included in the fiscal 2017 goals; and</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any acquisition less than $10 million was to be included in the payout calculation.</w:t>
      </w:r>
    </w:p>
    <w:p>
      <w:pPr>
        <w:spacing w:after="0" w:line="10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Additionally, any externally driven changes in accounting principles and standards were to be excluded if the cumulative net impact on the payout of all such accounting adjustments affected the award payout by more than 2%. With respect to division adjustment events, the impact of any acquisition was excluded from the payout calculation and the impact of any currency fluctuations from assumed foreign currency exchange rate plan levels was excluded from the payout calculation.</w:t>
      </w:r>
    </w:p>
    <w:p>
      <w:pPr>
        <w:spacing w:after="0" w:line="9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Following the end of fiscal 2017, the Compensation &amp; Human Resources Committee and Management discussed corporate and division performance measure weightings for the fiscal 2018 annual cash incentive awards. Given the Company’s continued focus on profitability, as well as the Company’s strong results on the asset efficiency performance measures, as measured at the corporate level by corporate average net assets turns and at the division level by working capital as a percent of sales, the Committee decided that changes to the weightings for the fiscal 2018 annual cash incentive award performance measures were appropriate. Therefore, the Committee increased the weighting of the profitability performance measure and decreased the weighting of the asset efficiency performance measure. As a result, for the fiscal 2018 annual cash incentive awards, the corporate performance measure weightings are: 50% diluted net EPS, 30% corporate revenue growth, and 20% corporate average net assets turns. Similarly, the division performance measure weightings were aligned with the corporate performance measure weightings.</w:t>
      </w:r>
    </w:p>
    <w:p>
      <w:pPr>
        <w:spacing w:after="0" w:line="81" w:lineRule="exact"/>
        <w:rPr>
          <w:sz w:val="20"/>
          <w:szCs w:val="20"/>
          <w:color w:val="auto"/>
        </w:rPr>
      </w:pPr>
    </w:p>
    <w:p>
      <w:pPr>
        <w:ind w:right="80" w:firstLine="456"/>
        <w:spacing w:after="0" w:line="251"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table below summarizes the fiscal 2017 corporate performance measures and goals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our executive officers. In fiscal 2017, there were no corporate adjustment events applied for determining corporate performance payouts.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Corporate:</w:t>
            </w:r>
          </w:p>
        </w:tc>
        <w:tc>
          <w:tcPr>
            <w:tcW w:w="2260" w:type="dxa"/>
            <w:vAlign w:val="bottom"/>
            <w:shd w:val="clear" w:color="auto" w:fill="C00000"/>
          </w:tcPr>
          <w:p>
            <w:pPr>
              <w:jc w:val="center"/>
              <w:ind w:left="963"/>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Maximum</w:t>
            </w:r>
          </w:p>
        </w:tc>
        <w:tc>
          <w:tcPr>
            <w:tcW w:w="2420" w:type="dxa"/>
            <w:vAlign w:val="bottom"/>
            <w:shd w:val="clear" w:color="auto" w:fill="C00000"/>
          </w:tcPr>
          <w:p>
            <w:pPr>
              <w:spacing w:after="0"/>
              <w:rPr>
                <w:sz w:val="14"/>
                <w:szCs w:val="14"/>
                <w:color w:val="auto"/>
              </w:rPr>
            </w:pPr>
          </w:p>
        </w:tc>
      </w:tr>
      <w:tr>
        <w:trPr>
          <w:trHeight w:val="189"/>
        </w:trPr>
        <w:tc>
          <w:tcPr>
            <w:tcW w:w="40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2017 Performance Measures</w:t>
            </w:r>
          </w:p>
        </w:tc>
        <w:tc>
          <w:tcPr>
            <w:tcW w:w="2260" w:type="dxa"/>
            <w:vAlign w:val="bottom"/>
            <w:shd w:val="clear" w:color="auto" w:fill="C00000"/>
          </w:tcPr>
          <w:p>
            <w:pPr>
              <w:jc w:val="center"/>
              <w:ind w:left="963"/>
              <w:spacing w:after="0"/>
              <w:rPr>
                <w:sz w:val="20"/>
                <w:szCs w:val="20"/>
                <w:color w:val="auto"/>
              </w:rPr>
            </w:pPr>
            <w:r>
              <w:rPr>
                <w:rFonts w:ascii="Arial" w:cs="Arial" w:eastAsia="Arial" w:hAnsi="Arial"/>
                <w:sz w:val="14"/>
                <w:szCs w:val="14"/>
                <w:b w:val="1"/>
                <w:bCs w:val="1"/>
                <w:color w:val="FFFFFF"/>
              </w:rPr>
              <w:t>(40% payout)</w:t>
            </w:r>
          </w:p>
        </w:tc>
        <w:tc>
          <w:tcPr>
            <w:tcW w:w="13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(100% payout)</w:t>
            </w:r>
          </w:p>
        </w:tc>
        <w:tc>
          <w:tcPr>
            <w:tcW w:w="13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(200% payout)</w:t>
            </w:r>
          </w:p>
        </w:tc>
        <w:tc>
          <w:tcPr>
            <w:tcW w:w="2420" w:type="dxa"/>
            <w:vAlign w:val="bottom"/>
            <w:shd w:val="clear" w:color="auto" w:fill="C00000"/>
          </w:tcPr>
          <w:p>
            <w:pPr>
              <w:jc w:val="center"/>
              <w:ind w:left="100"/>
              <w:spacing w:after="0"/>
              <w:rPr>
                <w:sz w:val="20"/>
                <w:szCs w:val="20"/>
                <w:color w:val="auto"/>
              </w:rPr>
            </w:pPr>
            <w:r>
              <w:rPr>
                <w:rFonts w:ascii="Arial" w:cs="Arial" w:eastAsia="Arial" w:hAnsi="Arial"/>
                <w:sz w:val="14"/>
                <w:szCs w:val="14"/>
                <w:b w:val="1"/>
                <w:bCs w:val="1"/>
                <w:color w:val="FFFFFF"/>
              </w:rPr>
              <w:t>Actual</w:t>
            </w: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40% diluted net EPS</w:t>
            </w:r>
          </w:p>
        </w:tc>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20" w:type="dxa"/>
            <w:vAlign w:val="bottom"/>
          </w:tcPr>
          <w:p>
            <w:pPr>
              <w:jc w:val="center"/>
              <w:ind w:left="80"/>
              <w:spacing w:after="0"/>
              <w:rPr>
                <w:sz w:val="20"/>
                <w:szCs w:val="20"/>
                <w:color w:val="auto"/>
              </w:rPr>
            </w:pPr>
            <w:r>
              <w:rPr>
                <w:rFonts w:ascii="Arial" w:cs="Arial" w:eastAsia="Arial" w:hAnsi="Arial"/>
                <w:sz w:val="16"/>
                <w:szCs w:val="16"/>
                <w:color w:val="auto"/>
              </w:rPr>
              <w:t>$2.41</w:t>
            </w:r>
          </w:p>
        </w:tc>
      </w:tr>
      <w:tr>
        <w:trPr>
          <w:trHeight w:val="201"/>
        </w:trPr>
        <w:tc>
          <w:tcPr>
            <w:tcW w:w="4080" w:type="dxa"/>
            <w:vAlign w:val="bottom"/>
          </w:tcPr>
          <w:p>
            <w:pPr>
              <w:spacing w:after="0"/>
              <w:rPr>
                <w:sz w:val="17"/>
                <w:szCs w:val="17"/>
                <w:color w:val="auto"/>
              </w:rPr>
            </w:pPr>
          </w:p>
        </w:tc>
        <w:tc>
          <w:tcPr>
            <w:tcW w:w="2260" w:type="dxa"/>
            <w:vAlign w:val="bottom"/>
          </w:tcPr>
          <w:p>
            <w:pPr>
              <w:jc w:val="center"/>
              <w:ind w:left="963"/>
              <w:spacing w:after="0"/>
              <w:rPr>
                <w:sz w:val="20"/>
                <w:szCs w:val="20"/>
                <w:color w:val="auto"/>
              </w:rPr>
            </w:pPr>
            <w:r>
              <w:rPr>
                <w:rFonts w:ascii="Arial" w:cs="Arial" w:eastAsia="Arial" w:hAnsi="Arial"/>
                <w:sz w:val="16"/>
                <w:szCs w:val="16"/>
                <w:color w:val="auto"/>
              </w:rPr>
              <w:t>$1.81</w:t>
            </w:r>
          </w:p>
        </w:tc>
        <w:tc>
          <w:tcPr>
            <w:tcW w:w="1340" w:type="dxa"/>
            <w:vAlign w:val="bottom"/>
          </w:tcPr>
          <w:p>
            <w:pPr>
              <w:jc w:val="center"/>
              <w:spacing w:after="0"/>
              <w:rPr>
                <w:sz w:val="20"/>
                <w:szCs w:val="20"/>
                <w:color w:val="auto"/>
              </w:rPr>
            </w:pPr>
            <w:r>
              <w:rPr>
                <w:rFonts w:ascii="Arial" w:cs="Arial" w:eastAsia="Arial" w:hAnsi="Arial"/>
                <w:sz w:val="16"/>
                <w:szCs w:val="16"/>
                <w:color w:val="auto"/>
              </w:rPr>
              <w:t>$2.26</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$2.71</w:t>
            </w:r>
          </w:p>
        </w:tc>
        <w:tc>
          <w:tcPr>
            <w:tcW w:w="2420" w:type="dxa"/>
            <w:vAlign w:val="bottom"/>
          </w:tcPr>
          <w:p>
            <w:pPr>
              <w:jc w:val="center"/>
              <w:ind w:left="100"/>
              <w:spacing w:after="0"/>
              <w:rPr>
                <w:sz w:val="20"/>
                <w:szCs w:val="20"/>
                <w:color w:val="auto"/>
              </w:rPr>
            </w:pPr>
            <w:r>
              <w:rPr>
                <w:rFonts w:ascii="Arial" w:cs="Arial" w:eastAsia="Arial" w:hAnsi="Arial"/>
                <w:sz w:val="16"/>
                <w:szCs w:val="16"/>
                <w:color w:val="auto"/>
              </w:rPr>
              <w:t>(between target and maximum)</w:t>
            </w:r>
          </w:p>
        </w:tc>
      </w:tr>
      <w:tr>
        <w:trPr>
          <w:trHeight w:val="191"/>
        </w:trPr>
        <w:tc>
          <w:tcPr>
            <w:tcW w:w="4080" w:type="dxa"/>
            <w:vAlign w:val="bottom"/>
            <w:shd w:val="clear" w:color="auto" w:fill="D9D9D9"/>
          </w:tcPr>
          <w:p>
            <w:pPr>
              <w:spacing w:after="0"/>
              <w:rPr>
                <w:sz w:val="20"/>
                <w:szCs w:val="20"/>
                <w:color w:val="auto"/>
              </w:rPr>
            </w:pPr>
            <w:r>
              <w:rPr>
                <w:rFonts w:ascii="Arial" w:cs="Arial" w:eastAsia="Arial" w:hAnsi="Arial"/>
                <w:sz w:val="16"/>
                <w:szCs w:val="16"/>
                <w:color w:val="auto"/>
              </w:rPr>
              <w:t>30% corporate revenue growth</w:t>
            </w:r>
          </w:p>
        </w:tc>
        <w:tc>
          <w:tcPr>
            <w:tcW w:w="226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color w:val="auto"/>
              </w:rPr>
              <w:t>4.7%</w:t>
            </w:r>
          </w:p>
        </w:tc>
      </w:tr>
      <w:tr>
        <w:trPr>
          <w:trHeight w:val="201"/>
        </w:trPr>
        <w:tc>
          <w:tcPr>
            <w:tcW w:w="4080" w:type="dxa"/>
            <w:vAlign w:val="bottom"/>
            <w:shd w:val="clear" w:color="auto" w:fill="D9D9D9"/>
          </w:tcPr>
          <w:p>
            <w:pPr>
              <w:spacing w:after="0"/>
              <w:rPr>
                <w:sz w:val="17"/>
                <w:szCs w:val="17"/>
                <w:color w:val="auto"/>
              </w:rPr>
            </w:pPr>
          </w:p>
        </w:tc>
        <w:tc>
          <w:tcPr>
            <w:tcW w:w="2260" w:type="dxa"/>
            <w:vAlign w:val="bottom"/>
            <w:shd w:val="clear" w:color="auto" w:fill="D9D9D9"/>
          </w:tcPr>
          <w:p>
            <w:pPr>
              <w:jc w:val="center"/>
              <w:ind w:left="963"/>
              <w:spacing w:after="0"/>
              <w:rPr>
                <w:sz w:val="20"/>
                <w:szCs w:val="20"/>
                <w:color w:val="auto"/>
              </w:rPr>
            </w:pPr>
            <w:r>
              <w:rPr>
                <w:rFonts w:ascii="Arial" w:cs="Arial" w:eastAsia="Arial" w:hAnsi="Arial"/>
                <w:sz w:val="16"/>
                <w:szCs w:val="16"/>
                <w:color w:val="auto"/>
                <w:w w:val="94"/>
              </w:rPr>
              <w:t>2%</w:t>
            </w:r>
          </w:p>
        </w:tc>
        <w:tc>
          <w:tcPr>
            <w:tcW w:w="134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4.0% – 5.6%</w:t>
            </w:r>
          </w:p>
        </w:tc>
        <w:tc>
          <w:tcPr>
            <w:tcW w:w="132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7.6%</w:t>
            </w: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color w:val="auto"/>
              </w:rPr>
              <w:t>(at target)</w:t>
            </w:r>
          </w:p>
        </w:tc>
      </w:tr>
      <w:tr>
        <w:trPr>
          <w:trHeight w:val="191"/>
        </w:trPr>
        <w:tc>
          <w:tcPr>
            <w:tcW w:w="4080" w:type="dxa"/>
            <w:vAlign w:val="bottom"/>
          </w:tcPr>
          <w:p>
            <w:pPr>
              <w:spacing w:after="0"/>
              <w:rPr>
                <w:sz w:val="20"/>
                <w:szCs w:val="20"/>
                <w:color w:val="auto"/>
              </w:rPr>
            </w:pPr>
            <w:r>
              <w:rPr>
                <w:rFonts w:ascii="Arial" w:cs="Arial" w:eastAsia="Arial" w:hAnsi="Arial"/>
                <w:sz w:val="16"/>
                <w:szCs w:val="16"/>
                <w:color w:val="auto"/>
              </w:rPr>
              <w:t>30% corporate average net assets turns</w:t>
            </w:r>
          </w:p>
        </w:tc>
        <w:tc>
          <w:tcPr>
            <w:tcW w:w="2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20" w:type="dxa"/>
            <w:vAlign w:val="bottom"/>
          </w:tcPr>
          <w:p>
            <w:pPr>
              <w:jc w:val="center"/>
              <w:ind w:left="80"/>
              <w:spacing w:after="0"/>
              <w:rPr>
                <w:sz w:val="20"/>
                <w:szCs w:val="20"/>
                <w:color w:val="auto"/>
              </w:rPr>
            </w:pPr>
            <w:r>
              <w:rPr>
                <w:rFonts w:ascii="Arial" w:cs="Arial" w:eastAsia="Arial" w:hAnsi="Arial"/>
                <w:sz w:val="16"/>
                <w:szCs w:val="16"/>
                <w:color w:val="auto"/>
              </w:rPr>
              <w:t>2.39530</w:t>
            </w:r>
          </w:p>
        </w:tc>
      </w:tr>
      <w:tr>
        <w:trPr>
          <w:trHeight w:val="201"/>
        </w:trPr>
        <w:tc>
          <w:tcPr>
            <w:tcW w:w="4080" w:type="dxa"/>
            <w:vAlign w:val="bottom"/>
          </w:tcPr>
          <w:p>
            <w:pPr>
              <w:spacing w:after="0"/>
              <w:rPr>
                <w:sz w:val="17"/>
                <w:szCs w:val="17"/>
                <w:color w:val="auto"/>
              </w:rPr>
            </w:pPr>
          </w:p>
        </w:tc>
        <w:tc>
          <w:tcPr>
            <w:tcW w:w="2260" w:type="dxa"/>
            <w:vAlign w:val="bottom"/>
          </w:tcPr>
          <w:p>
            <w:pPr>
              <w:jc w:val="center"/>
              <w:ind w:left="963"/>
              <w:spacing w:after="0"/>
              <w:rPr>
                <w:sz w:val="20"/>
                <w:szCs w:val="20"/>
                <w:color w:val="auto"/>
              </w:rPr>
            </w:pPr>
            <w:r>
              <w:rPr>
                <w:rFonts w:ascii="Arial" w:cs="Arial" w:eastAsia="Arial" w:hAnsi="Arial"/>
                <w:sz w:val="16"/>
                <w:szCs w:val="16"/>
                <w:color w:val="auto"/>
              </w:rPr>
              <w:t>1.89691</w:t>
            </w:r>
          </w:p>
        </w:tc>
        <w:tc>
          <w:tcPr>
            <w:tcW w:w="1340" w:type="dxa"/>
            <w:vAlign w:val="bottom"/>
          </w:tcPr>
          <w:p>
            <w:pPr>
              <w:jc w:val="center"/>
              <w:spacing w:after="0"/>
              <w:rPr>
                <w:sz w:val="20"/>
                <w:szCs w:val="20"/>
                <w:color w:val="auto"/>
              </w:rPr>
            </w:pPr>
            <w:r>
              <w:rPr>
                <w:rFonts w:ascii="Arial" w:cs="Arial" w:eastAsia="Arial" w:hAnsi="Arial"/>
                <w:sz w:val="16"/>
                <w:szCs w:val="16"/>
                <w:color w:val="auto"/>
              </w:rPr>
              <w:t>2.23166</w:t>
            </w:r>
          </w:p>
        </w:tc>
        <w:tc>
          <w:tcPr>
            <w:tcW w:w="1320" w:type="dxa"/>
            <w:vAlign w:val="bottom"/>
          </w:tcPr>
          <w:p>
            <w:pPr>
              <w:jc w:val="center"/>
              <w:spacing w:after="0"/>
              <w:rPr>
                <w:sz w:val="20"/>
                <w:szCs w:val="20"/>
                <w:color w:val="auto"/>
              </w:rPr>
            </w:pPr>
            <w:r>
              <w:rPr>
                <w:rFonts w:ascii="Arial" w:cs="Arial" w:eastAsia="Arial" w:hAnsi="Arial"/>
                <w:sz w:val="16"/>
                <w:szCs w:val="16"/>
                <w:color w:val="auto"/>
              </w:rPr>
              <w:t>2.56641</w:t>
            </w:r>
          </w:p>
        </w:tc>
        <w:tc>
          <w:tcPr>
            <w:tcW w:w="2420" w:type="dxa"/>
            <w:vAlign w:val="bottom"/>
          </w:tcPr>
          <w:p>
            <w:pPr>
              <w:jc w:val="center"/>
              <w:ind w:left="100"/>
              <w:spacing w:after="0"/>
              <w:rPr>
                <w:sz w:val="20"/>
                <w:szCs w:val="20"/>
                <w:color w:val="auto"/>
              </w:rPr>
            </w:pPr>
            <w:r>
              <w:rPr>
                <w:rFonts w:ascii="Arial" w:cs="Arial" w:eastAsia="Arial" w:hAnsi="Arial"/>
                <w:sz w:val="16"/>
                <w:szCs w:val="16"/>
                <w:color w:val="auto"/>
              </w:rPr>
              <w:t>(between target and maximum)</w:t>
            </w:r>
          </w:p>
        </w:tc>
      </w:tr>
      <w:tr>
        <w:trPr>
          <w:trHeight w:val="189"/>
        </w:trPr>
        <w:tc>
          <w:tcPr>
            <w:tcW w:w="4080" w:type="dxa"/>
            <w:vAlign w:val="bottom"/>
            <w:shd w:val="clear" w:color="auto" w:fill="D9D9D9"/>
          </w:tcPr>
          <w:p>
            <w:pPr>
              <w:spacing w:after="0"/>
              <w:rPr>
                <w:sz w:val="20"/>
                <w:szCs w:val="20"/>
                <w:color w:val="auto"/>
              </w:rPr>
            </w:pPr>
            <w:r>
              <w:rPr>
                <w:rFonts w:ascii="Arial" w:cs="Arial" w:eastAsia="Arial" w:hAnsi="Arial"/>
                <w:sz w:val="16"/>
                <w:szCs w:val="16"/>
                <w:b w:val="1"/>
                <w:bCs w:val="1"/>
                <w:color w:val="auto"/>
              </w:rPr>
              <w:t>Corporate performance payout</w:t>
            </w:r>
          </w:p>
        </w:tc>
        <w:tc>
          <w:tcPr>
            <w:tcW w:w="2260" w:type="dxa"/>
            <w:vAlign w:val="bottom"/>
            <w:shd w:val="clear" w:color="auto" w:fill="D9D9D9"/>
          </w:tcPr>
          <w:p>
            <w:pPr>
              <w:spacing w:after="0"/>
              <w:rPr>
                <w:sz w:val="16"/>
                <w:szCs w:val="16"/>
                <w:color w:val="auto"/>
              </w:rPr>
            </w:pPr>
          </w:p>
        </w:tc>
        <w:tc>
          <w:tcPr>
            <w:tcW w:w="1340" w:type="dxa"/>
            <w:vAlign w:val="bottom"/>
            <w:shd w:val="clear" w:color="auto" w:fill="D9D9D9"/>
          </w:tcPr>
          <w:p>
            <w:pPr>
              <w:spacing w:after="0"/>
              <w:rPr>
                <w:sz w:val="16"/>
                <w:szCs w:val="16"/>
                <w:color w:val="auto"/>
              </w:rPr>
            </w:pPr>
          </w:p>
        </w:tc>
        <w:tc>
          <w:tcPr>
            <w:tcW w:w="1320" w:type="dxa"/>
            <w:vAlign w:val="bottom"/>
            <w:shd w:val="clear" w:color="auto" w:fill="D9D9D9"/>
          </w:tcPr>
          <w:p>
            <w:pPr>
              <w:spacing w:after="0"/>
              <w:rPr>
                <w:sz w:val="16"/>
                <w:szCs w:val="16"/>
                <w:color w:val="auto"/>
              </w:rPr>
            </w:pPr>
          </w:p>
        </w:tc>
        <w:tc>
          <w:tcPr>
            <w:tcW w:w="2420" w:type="dxa"/>
            <w:vAlign w:val="bottom"/>
            <w:shd w:val="clear" w:color="auto" w:fill="D9D9D9"/>
          </w:tcPr>
          <w:p>
            <w:pPr>
              <w:jc w:val="center"/>
              <w:ind w:left="80"/>
              <w:spacing w:after="0"/>
              <w:rPr>
                <w:sz w:val="20"/>
                <w:szCs w:val="20"/>
                <w:color w:val="auto"/>
              </w:rPr>
            </w:pPr>
            <w:r>
              <w:rPr>
                <w:rFonts w:ascii="Arial" w:cs="Arial" w:eastAsia="Arial" w:hAnsi="Arial"/>
                <w:sz w:val="16"/>
                <w:szCs w:val="16"/>
                <w:b w:val="1"/>
                <w:bCs w:val="1"/>
                <w:color w:val="auto"/>
              </w:rPr>
              <w:t>127.94% of target</w:t>
            </w:r>
          </w:p>
        </w:tc>
      </w:tr>
    </w:tbl>
    <w:p>
      <w:pPr>
        <w:spacing w:after="0" w:line="89" w:lineRule="exact"/>
        <w:rPr>
          <w:sz w:val="20"/>
          <w:szCs w:val="20"/>
          <w:color w:val="auto"/>
        </w:rPr>
      </w:pPr>
    </w:p>
    <w:p>
      <w:pPr>
        <w:jc w:val="both"/>
        <w:ind w:right="360" w:firstLine="456"/>
        <w:spacing w:after="0" w:line="245" w:lineRule="auto"/>
        <w:rPr>
          <w:sz w:val="20"/>
          <w:szCs w:val="20"/>
          <w:color w:val="auto"/>
        </w:rPr>
      </w:pPr>
      <w:r>
        <w:rPr>
          <w:rFonts w:ascii="Arial" w:cs="Arial" w:eastAsia="Arial" w:hAnsi="Arial"/>
          <w:sz w:val="18"/>
          <w:szCs w:val="18"/>
          <w:i w:val="1"/>
          <w:iCs w:val="1"/>
          <w:color w:val="auto"/>
        </w:rPr>
        <w:t>Corporate Performance Discussion and Analysis</w:t>
      </w:r>
      <w:r>
        <w:rPr>
          <w:rFonts w:ascii="Arial" w:cs="Arial" w:eastAsia="Arial" w:hAnsi="Arial"/>
          <w:sz w:val="18"/>
          <w:szCs w:val="18"/>
          <w:color w:val="auto"/>
        </w:rPr>
        <w:t>. When applying the weightings of the performance measures to actual results,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corporate performance payout for fiscal 2017 was 127.94% of target. All of our named executive officers had 100% of their annual cash incentive awards tied to corporate performance for all of fiscal 2017 and therefore, their annual cash incentive award payouts were at 127.94% of target. Applying their individual target awards as a percent of base salary, this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translated to payouts of approximately 128% for Mr. Olson, 96% for Ms. Peterson, and 160%, 83% and 77% of fiscal year base salaries for Messrs. Hoffman, Brown, and Dordell respectively.</w:t>
      </w:r>
    </w:p>
    <w:p>
      <w:pPr>
        <w:spacing w:after="0" w:line="71" w:lineRule="exact"/>
        <w:rPr>
          <w:sz w:val="20"/>
          <w:szCs w:val="20"/>
          <w:color w:val="auto"/>
        </w:rPr>
      </w:pPr>
    </w:p>
    <w:p>
      <w:pPr>
        <w:ind w:right="40" w:firstLine="456"/>
        <w:spacing w:after="0" w:line="251" w:lineRule="auto"/>
        <w:rPr>
          <w:sz w:val="20"/>
          <w:szCs w:val="20"/>
          <w:color w:val="auto"/>
        </w:rPr>
      </w:pPr>
      <w:r>
        <w:rPr>
          <w:rFonts w:ascii="Arial" w:cs="Arial" w:eastAsia="Arial" w:hAnsi="Arial"/>
          <w:sz w:val="18"/>
          <w:szCs w:val="18"/>
          <w:i w:val="1"/>
          <w:iCs w:val="1"/>
          <w:color w:val="auto"/>
        </w:rPr>
        <w:t xml:space="preserve">Division Performance Measures and Goals. </w:t>
      </w:r>
      <w:r>
        <w:rPr>
          <w:rFonts w:ascii="Arial" w:cs="Arial" w:eastAsia="Arial" w:hAnsi="Arial"/>
          <w:sz w:val="18"/>
          <w:szCs w:val="18"/>
          <w:color w:val="auto"/>
        </w:rPr>
        <w:t>In addition to corporate performance, our executives with division responsibility had 50%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annual cash incentive award based on actual division performance against division performance goals established for the individual divisions over which they have responsibility. In fiscal 2017, none of our named executive officers had a payout tied to division performance.</w:t>
      </w:r>
    </w:p>
    <w:p>
      <w:pPr>
        <w:spacing w:after="0" w:line="66" w:lineRule="exact"/>
        <w:rPr>
          <w:sz w:val="20"/>
          <w:szCs w:val="20"/>
          <w:color w:val="auto"/>
        </w:rPr>
      </w:pPr>
    </w:p>
    <w:p>
      <w:pPr>
        <w:ind w:right="120" w:firstLine="456"/>
        <w:spacing w:after="0" w:line="267"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2017 actual total cash compensation and its position relative to the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 is reflected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C00000"/>
          </w:tcPr>
          <w:p>
            <w:pPr>
              <w:spacing w:after="0"/>
              <w:rPr>
                <w:sz w:val="14"/>
                <w:szCs w:val="14"/>
                <w:color w:val="auto"/>
              </w:rPr>
            </w:pPr>
          </w:p>
        </w:tc>
        <w:tc>
          <w:tcPr>
            <w:tcW w:w="2740" w:type="dxa"/>
            <w:vAlign w:val="bottom"/>
            <w:shd w:val="clear" w:color="auto" w:fill="C00000"/>
          </w:tcPr>
          <w:p>
            <w:pPr>
              <w:spacing w:after="0"/>
              <w:rPr>
                <w:sz w:val="14"/>
                <w:szCs w:val="14"/>
                <w:color w:val="auto"/>
              </w:rPr>
            </w:pPr>
          </w:p>
        </w:tc>
        <w:tc>
          <w:tcPr>
            <w:tcW w:w="21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2017 Actual</w:t>
            </w:r>
          </w:p>
        </w:tc>
        <w:tc>
          <w:tcPr>
            <w:tcW w:w="19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Fiscal 2017</w:t>
            </w:r>
          </w:p>
        </w:tc>
        <w:tc>
          <w:tcPr>
            <w:tcW w:w="232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Fiscal 2017 Actual Total Cash</w:t>
            </w:r>
          </w:p>
        </w:tc>
      </w:tr>
      <w:tr>
        <w:trPr>
          <w:trHeight w:val="162"/>
        </w:trPr>
        <w:tc>
          <w:tcPr>
            <w:tcW w:w="2280" w:type="dxa"/>
            <w:vAlign w:val="bottom"/>
            <w:shd w:val="clear" w:color="auto" w:fill="C00000"/>
          </w:tcPr>
          <w:p>
            <w:pPr>
              <w:spacing w:after="0"/>
              <w:rPr>
                <w:sz w:val="14"/>
                <w:szCs w:val="14"/>
                <w:color w:val="auto"/>
              </w:rPr>
            </w:pPr>
          </w:p>
        </w:tc>
        <w:tc>
          <w:tcPr>
            <w:tcW w:w="2740" w:type="dxa"/>
            <w:vAlign w:val="bottom"/>
            <w:shd w:val="clear" w:color="auto" w:fill="C00000"/>
          </w:tcPr>
          <w:p>
            <w:pPr>
              <w:jc w:val="right"/>
              <w:ind w:right="202"/>
              <w:spacing w:after="0"/>
              <w:rPr>
                <w:sz w:val="20"/>
                <w:szCs w:val="20"/>
                <w:color w:val="auto"/>
              </w:rPr>
            </w:pPr>
            <w:r>
              <w:rPr>
                <w:rFonts w:ascii="Arial" w:cs="Arial" w:eastAsia="Arial" w:hAnsi="Arial"/>
                <w:sz w:val="14"/>
                <w:szCs w:val="14"/>
                <w:b w:val="1"/>
                <w:bCs w:val="1"/>
                <w:color w:val="FFFFFF"/>
              </w:rPr>
              <w:t>Fiscal 2017 Base</w:t>
            </w:r>
          </w:p>
        </w:tc>
        <w:tc>
          <w:tcPr>
            <w:tcW w:w="21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Total Annual Cash</w:t>
            </w:r>
          </w:p>
        </w:tc>
        <w:tc>
          <w:tcPr>
            <w:tcW w:w="19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Actual Total</w:t>
            </w:r>
          </w:p>
        </w:tc>
        <w:tc>
          <w:tcPr>
            <w:tcW w:w="2320" w:type="dxa"/>
            <w:vAlign w:val="bottom"/>
            <w:shd w:val="clear" w:color="auto" w:fill="C00000"/>
          </w:tcPr>
          <w:p>
            <w:pPr>
              <w:jc w:val="right"/>
              <w:ind w:right="23"/>
              <w:spacing w:after="0"/>
              <w:rPr>
                <w:sz w:val="20"/>
                <w:szCs w:val="20"/>
                <w:color w:val="auto"/>
              </w:rPr>
            </w:pPr>
            <w:r>
              <w:rPr>
                <w:rFonts w:ascii="Arial" w:cs="Arial" w:eastAsia="Arial" w:hAnsi="Arial"/>
                <w:sz w:val="14"/>
                <w:szCs w:val="14"/>
                <w:b w:val="1"/>
                <w:bCs w:val="1"/>
                <w:color w:val="FFFFFF"/>
              </w:rPr>
              <w:t>Compensation Compared to</w:t>
            </w:r>
          </w:p>
        </w:tc>
      </w:tr>
      <w:tr>
        <w:trPr>
          <w:trHeight w:val="189"/>
        </w:trPr>
        <w:tc>
          <w:tcPr>
            <w:tcW w:w="22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740" w:type="dxa"/>
            <w:vAlign w:val="bottom"/>
            <w:shd w:val="clear" w:color="auto" w:fill="C00000"/>
          </w:tcPr>
          <w:p>
            <w:pPr>
              <w:jc w:val="right"/>
              <w:ind w:right="562"/>
              <w:spacing w:after="0"/>
              <w:rPr>
                <w:sz w:val="20"/>
                <w:szCs w:val="20"/>
                <w:color w:val="auto"/>
              </w:rPr>
            </w:pPr>
            <w:r>
              <w:rPr>
                <w:rFonts w:ascii="Arial" w:cs="Arial" w:eastAsia="Arial" w:hAnsi="Arial"/>
                <w:sz w:val="14"/>
                <w:szCs w:val="14"/>
                <w:b w:val="1"/>
                <w:bCs w:val="1"/>
                <w:color w:val="FFFFFF"/>
              </w:rPr>
              <w:t>Salary</w:t>
            </w:r>
          </w:p>
        </w:tc>
        <w:tc>
          <w:tcPr>
            <w:tcW w:w="21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Incentive Award Payout</w:t>
            </w:r>
          </w:p>
        </w:tc>
        <w:tc>
          <w:tcPr>
            <w:tcW w:w="194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Cash Compensation</w:t>
            </w:r>
          </w:p>
        </w:tc>
        <w:tc>
          <w:tcPr>
            <w:tcW w:w="2320" w:type="dxa"/>
            <w:vAlign w:val="bottom"/>
            <w:shd w:val="clear" w:color="auto" w:fill="C00000"/>
          </w:tcPr>
          <w:p>
            <w:pPr>
              <w:jc w:val="right"/>
              <w:ind w:right="223"/>
              <w:spacing w:after="0" w:line="189" w:lineRule="exact"/>
              <w:rPr>
                <w:sz w:val="20"/>
                <w:szCs w:val="20"/>
                <w:color w:val="auto"/>
              </w:rPr>
            </w:pPr>
            <w:r>
              <w:rPr>
                <w:rFonts w:ascii="Arial" w:cs="Arial" w:eastAsia="Arial" w:hAnsi="Arial"/>
                <w:sz w:val="13"/>
                <w:szCs w:val="13"/>
                <w:b w:val="1"/>
                <w:bCs w:val="1"/>
                <w:color w:val="FFFFFF"/>
              </w:rPr>
              <w:t>Market 50</w:t>
            </w:r>
            <w:r>
              <w:rPr>
                <w:rFonts w:ascii="Arial" w:cs="Arial" w:eastAsia="Arial" w:hAnsi="Arial"/>
                <w:sz w:val="21"/>
                <w:szCs w:val="21"/>
                <w:b w:val="1"/>
                <w:bCs w:val="1"/>
                <w:color w:val="FFFFFF"/>
                <w:vertAlign w:val="superscript"/>
              </w:rPr>
              <w:t>th</w:t>
            </w:r>
            <w:r>
              <w:rPr>
                <w:rFonts w:ascii="Arial" w:cs="Arial" w:eastAsia="Arial" w:hAnsi="Arial"/>
                <w:sz w:val="13"/>
                <w:szCs w:val="13"/>
                <w:b w:val="1"/>
                <w:bCs w:val="1"/>
                <w:color w:val="FFFFFF"/>
              </w:rPr>
              <w:t xml:space="preserve"> Percentile</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Mr. Olson</w:t>
            </w:r>
          </w:p>
        </w:tc>
        <w:tc>
          <w:tcPr>
            <w:tcW w:w="2740" w:type="dxa"/>
            <w:vAlign w:val="bottom"/>
          </w:tcPr>
          <w:p>
            <w:pPr>
              <w:jc w:val="right"/>
              <w:ind w:right="202"/>
              <w:spacing w:after="0"/>
              <w:rPr>
                <w:sz w:val="20"/>
                <w:szCs w:val="20"/>
                <w:color w:val="auto"/>
              </w:rPr>
            </w:pPr>
            <w:r>
              <w:rPr>
                <w:rFonts w:ascii="Arial" w:cs="Arial" w:eastAsia="Arial" w:hAnsi="Arial"/>
                <w:sz w:val="16"/>
                <w:szCs w:val="16"/>
                <w:color w:val="auto"/>
              </w:rPr>
              <w:t>$775,000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991,535</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w w:val="98"/>
              </w:rPr>
              <w:t>1,766,535</w:t>
            </w:r>
          </w:p>
        </w:tc>
        <w:tc>
          <w:tcPr>
            <w:tcW w:w="2320" w:type="dxa"/>
            <w:vAlign w:val="bottom"/>
          </w:tcPr>
          <w:p>
            <w:pPr>
              <w:jc w:val="right"/>
              <w:spacing w:after="0"/>
              <w:rPr>
                <w:sz w:val="20"/>
                <w:szCs w:val="20"/>
                <w:color w:val="auto"/>
              </w:rPr>
            </w:pPr>
            <w:r>
              <w:rPr>
                <w:rFonts w:ascii="Arial" w:cs="Arial" w:eastAsia="Arial" w:hAnsi="Arial"/>
                <w:sz w:val="16"/>
                <w:szCs w:val="16"/>
                <w:color w:val="auto"/>
              </w:rPr>
              <w:t>11% below</w:t>
            </w:r>
          </w:p>
        </w:tc>
      </w:tr>
      <w:tr>
        <w:trPr>
          <w:trHeight w:val="189"/>
        </w:trPr>
        <w:tc>
          <w:tcPr>
            <w:tcW w:w="228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740" w:type="dxa"/>
            <w:vAlign w:val="bottom"/>
            <w:shd w:val="clear" w:color="auto" w:fill="D9D9D9"/>
          </w:tcPr>
          <w:p>
            <w:pPr>
              <w:jc w:val="right"/>
              <w:ind w:right="202"/>
              <w:spacing w:after="0"/>
              <w:rPr>
                <w:sz w:val="20"/>
                <w:szCs w:val="20"/>
                <w:color w:val="auto"/>
              </w:rPr>
            </w:pPr>
            <w:r>
              <w:rPr>
                <w:rFonts w:ascii="Arial" w:cs="Arial" w:eastAsia="Arial" w:hAnsi="Arial"/>
                <w:sz w:val="16"/>
                <w:szCs w:val="16"/>
                <w:color w:val="auto"/>
              </w:rPr>
              <w:t>$505,000</w:t>
            </w:r>
          </w:p>
        </w:tc>
        <w:tc>
          <w:tcPr>
            <w:tcW w:w="11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484,573</w:t>
            </w:r>
          </w:p>
        </w:tc>
        <w:tc>
          <w:tcPr>
            <w:tcW w:w="9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9D9D9"/>
          </w:tcPr>
          <w:p>
            <w:pPr>
              <w:jc w:val="right"/>
              <w:ind w:right="199"/>
              <w:spacing w:after="0"/>
              <w:rPr>
                <w:sz w:val="20"/>
                <w:szCs w:val="20"/>
                <w:color w:val="auto"/>
              </w:rPr>
            </w:pPr>
            <w:r>
              <w:rPr>
                <w:rFonts w:ascii="Arial" w:cs="Arial" w:eastAsia="Arial" w:hAnsi="Arial"/>
                <w:sz w:val="16"/>
                <w:szCs w:val="16"/>
                <w:color w:val="auto"/>
              </w:rPr>
              <w:t>989,573</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 above</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Mr. Hoffman</w:t>
            </w:r>
          </w:p>
        </w:tc>
        <w:tc>
          <w:tcPr>
            <w:tcW w:w="2740" w:type="dxa"/>
            <w:vAlign w:val="bottom"/>
          </w:tcPr>
          <w:p>
            <w:pPr>
              <w:jc w:val="right"/>
              <w:ind w:right="202"/>
              <w:spacing w:after="0"/>
              <w:rPr>
                <w:sz w:val="20"/>
                <w:szCs w:val="20"/>
                <w:color w:val="auto"/>
              </w:rPr>
            </w:pPr>
            <w:r>
              <w:rPr>
                <w:rFonts w:ascii="Arial" w:cs="Arial" w:eastAsia="Arial" w:hAnsi="Arial"/>
                <w:sz w:val="16"/>
                <w:szCs w:val="16"/>
                <w:color w:val="auto"/>
              </w:rPr>
              <w:t>$680,000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1,087,490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w w:val="98"/>
              </w:rPr>
              <w:t>1,767,490</w:t>
            </w:r>
          </w:p>
        </w:tc>
        <w:tc>
          <w:tcPr>
            <w:tcW w:w="23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89"/>
        </w:trPr>
        <w:tc>
          <w:tcPr>
            <w:tcW w:w="228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2740" w:type="dxa"/>
            <w:vAlign w:val="bottom"/>
            <w:shd w:val="clear" w:color="auto" w:fill="D9D9D9"/>
          </w:tcPr>
          <w:p>
            <w:pPr>
              <w:jc w:val="right"/>
              <w:ind w:right="202"/>
              <w:spacing w:after="0"/>
              <w:rPr>
                <w:sz w:val="20"/>
                <w:szCs w:val="20"/>
                <w:color w:val="auto"/>
              </w:rPr>
            </w:pPr>
            <w:r>
              <w:rPr>
                <w:rFonts w:ascii="Arial" w:cs="Arial" w:eastAsia="Arial" w:hAnsi="Arial"/>
                <w:sz w:val="16"/>
                <w:szCs w:val="16"/>
                <w:color w:val="auto"/>
              </w:rPr>
              <w:t>$432,000</w:t>
            </w:r>
          </w:p>
        </w:tc>
        <w:tc>
          <w:tcPr>
            <w:tcW w:w="11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359,256</w:t>
            </w:r>
          </w:p>
        </w:tc>
        <w:tc>
          <w:tcPr>
            <w:tcW w:w="9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9D9D9"/>
          </w:tcPr>
          <w:p>
            <w:pPr>
              <w:jc w:val="right"/>
              <w:ind w:right="199"/>
              <w:spacing w:after="0"/>
              <w:rPr>
                <w:sz w:val="20"/>
                <w:szCs w:val="20"/>
                <w:color w:val="auto"/>
              </w:rPr>
            </w:pPr>
            <w:r>
              <w:rPr>
                <w:rFonts w:ascii="Arial" w:cs="Arial" w:eastAsia="Arial" w:hAnsi="Arial"/>
                <w:sz w:val="16"/>
                <w:szCs w:val="16"/>
                <w:color w:val="auto"/>
              </w:rPr>
              <w:t>791,256</w:t>
            </w:r>
          </w:p>
        </w:tc>
        <w:tc>
          <w:tcPr>
            <w:tcW w:w="2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At market</w:t>
            </w:r>
          </w:p>
        </w:tc>
      </w:tr>
      <w:tr>
        <w:trPr>
          <w:trHeight w:val="197"/>
        </w:trPr>
        <w:tc>
          <w:tcPr>
            <w:tcW w:w="2280" w:type="dxa"/>
            <w:vAlign w:val="bottom"/>
          </w:tcPr>
          <w:p>
            <w:pPr>
              <w:spacing w:after="0"/>
              <w:rPr>
                <w:sz w:val="20"/>
                <w:szCs w:val="20"/>
                <w:color w:val="auto"/>
              </w:rPr>
            </w:pPr>
            <w:r>
              <w:rPr>
                <w:rFonts w:ascii="Arial" w:cs="Arial" w:eastAsia="Arial" w:hAnsi="Arial"/>
                <w:sz w:val="16"/>
                <w:szCs w:val="16"/>
                <w:color w:val="auto"/>
              </w:rPr>
              <w:t>Mr. Dordell</w:t>
            </w:r>
          </w:p>
        </w:tc>
        <w:tc>
          <w:tcPr>
            <w:tcW w:w="2740" w:type="dxa"/>
            <w:vAlign w:val="bottom"/>
          </w:tcPr>
          <w:p>
            <w:pPr>
              <w:jc w:val="right"/>
              <w:ind w:right="202"/>
              <w:spacing w:after="0"/>
              <w:rPr>
                <w:sz w:val="20"/>
                <w:szCs w:val="20"/>
                <w:color w:val="auto"/>
              </w:rPr>
            </w:pPr>
            <w:r>
              <w:rPr>
                <w:rFonts w:ascii="Arial" w:cs="Arial" w:eastAsia="Arial" w:hAnsi="Arial"/>
                <w:sz w:val="16"/>
                <w:szCs w:val="16"/>
                <w:color w:val="auto"/>
              </w:rPr>
              <w:t>$425,000</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326,247</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751,247</w:t>
            </w:r>
          </w:p>
        </w:tc>
        <w:tc>
          <w:tcPr>
            <w:tcW w:w="2320" w:type="dxa"/>
            <w:vAlign w:val="bottom"/>
          </w:tcPr>
          <w:p>
            <w:pPr>
              <w:jc w:val="right"/>
              <w:spacing w:after="0"/>
              <w:rPr>
                <w:sz w:val="20"/>
                <w:szCs w:val="20"/>
                <w:color w:val="auto"/>
              </w:rPr>
            </w:pPr>
            <w:r>
              <w:rPr>
                <w:rFonts w:ascii="Arial" w:cs="Arial" w:eastAsia="Arial" w:hAnsi="Arial"/>
                <w:sz w:val="16"/>
                <w:szCs w:val="16"/>
                <w:color w:val="auto"/>
              </w:rPr>
              <w:t>9% above</w:t>
            </w:r>
          </w:p>
        </w:tc>
      </w:tr>
    </w:tbl>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08"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our use of long-term incentives tied to our common stock, along with our stock ownership guidelines, help</w:t>
      </w:r>
      <w:r>
        <w:rPr>
          <w:rFonts w:ascii="Arial" w:cs="Arial" w:eastAsia="Arial" w:hAnsi="Arial"/>
          <w:sz w:val="18"/>
          <w:szCs w:val="18"/>
          <w:i w:val="1"/>
          <w:iCs w:val="1"/>
          <w:color w:val="auto"/>
        </w:rPr>
        <w:t xml:space="preserve"> </w:t>
      </w:r>
      <w:r>
        <w:rPr>
          <w:rFonts w:ascii="Arial" w:cs="Arial" w:eastAsia="Arial" w:hAnsi="Arial"/>
          <w:sz w:val="18"/>
          <w:szCs w:val="18"/>
          <w:color w:val="auto"/>
        </w:rPr>
        <w:t>align the interests of our executive officers with the interest of our shareholders. Therefore, we provide the opportunity for our executive officers to earn market competitive long-term incentives in the form of both stock options and performance share awards that are granted annually. With respect to annual grants of long-term incentive awards, in addition to considering market data, we also consider for each executive officer the scope and complexity of the position, experience, tenure, internal pay comparisons, function, division, and individual performance and historical targeted grant levels.</w:t>
      </w:r>
    </w:p>
    <w:p>
      <w:pPr>
        <w:spacing w:after="0" w:line="94"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Generally, one-half of the long-term incentive value is delivered in the form of stock options and one-half is delivered in the form of performance share awards. We believe this mix of equity strikes the appropriate balance between rewarding increases in the market value of our common stock and achievement of company specific performance measures. Actual value realized from our long-term incentive awards may vary from the market 50</w:t>
      </w:r>
      <w:r>
        <w:rPr>
          <w:rFonts w:ascii="Arial" w:cs="Arial" w:eastAsia="Arial" w:hAnsi="Arial"/>
          <w:sz w:val="15"/>
          <w:szCs w:val="15"/>
          <w:color w:val="auto"/>
        </w:rPr>
        <w:t>th</w:t>
      </w:r>
      <w:r>
        <w:rPr>
          <w:rFonts w:ascii="Arial" w:cs="Arial" w:eastAsia="Arial" w:hAnsi="Arial"/>
          <w:sz w:val="18"/>
          <w:szCs w:val="18"/>
          <w:color w:val="auto"/>
        </w:rPr>
        <w:t xml:space="preserve"> percentile based on the price of our common stock for stock options and performance against our three-year cumulative financial business plan in the year of the grant for performance share awards. In addition to stock options and performance share awards, we occasionally use awards of restricted stock units in connection with the hiring of new executive officers, mid-year promotions of existing executive officers, leadership transition or retention purposes.</w:t>
      </w:r>
    </w:p>
    <w:p>
      <w:pPr>
        <w:spacing w:after="0" w:line="77" w:lineRule="exact"/>
        <w:rPr>
          <w:sz w:val="20"/>
          <w:szCs w:val="20"/>
          <w:color w:val="auto"/>
        </w:rPr>
      </w:pPr>
    </w:p>
    <w:p>
      <w:pPr>
        <w:ind w:firstLine="456"/>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the annual grant of stock options to our executive officers. If we deliver strong shareholder returns, our stock price presumably will increase, thereby increasing the value of the stock options and executives’ resulting total compensation. If shareholder value is not delivered and our stock price does not increase, the options will have no value. Annual stock options are generally granted on the date of the Committee’s meeting or, if such meeting is held before the issuance of our press release announcing our financial results for the recently completed fiscal year, on the second business day following the issuance of the press release, with the day of such press release being the first day, and have a per share exercise price equal to the closing price of our common stock, as reported on the NYSE, on the date of grant.</w:t>
      </w:r>
    </w:p>
    <w:p>
      <w:pPr>
        <w:spacing w:after="0" w:line="95"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95"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Stock options granted to our executive officers on an annual basis vest in three equal installments on each of the first, second and third year anniversaries of the date of grant and are exercisable for a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of ten years following the date of grant.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long-term performance. The Compensation &amp; Human Resources Committee periodically reviews option vesting schedules and terms.</w:t>
      </w:r>
    </w:p>
    <w:p>
      <w:pPr>
        <w:spacing w:after="0" w:line="76" w:lineRule="exact"/>
        <w:rPr>
          <w:sz w:val="20"/>
          <w:szCs w:val="20"/>
          <w:color w:val="auto"/>
        </w:rPr>
      </w:pPr>
    </w:p>
    <w:p>
      <w:pPr>
        <w:ind w:right="20" w:firstLine="456"/>
        <w:spacing w:after="0" w:line="245"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performance share awards to our executive officers. Performance share awards are paid out in shares of our common stock following completion of a three-year performance period if certain performance goals are achieved. Performance goals are derived from performance measures included in our Amended and Restated 2010 Plan.</w:t>
      </w:r>
    </w:p>
    <w:p>
      <w:pPr>
        <w:spacing w:after="0" w:line="9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94"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Factors we consider when establishing the performance goals for the three-year period include our prior fiscal year financial business results and long-term strategic plan outlook, our competitive situation and anticipated state of our business, and any anticipated business opportunities.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certifies, performance against the performance goals, including the applicability of any performance adjustment events, and a corresponding payout, which is expressed as a percent of target. Shares of our common stock are paid out to the executive officers in December and are contingent on the issuance of our press release announcing our financial results for the recently completed fiscal year. Actual payouts for performance share awards can range from 0% (if the threshold levels of performance are not met) to 200% of the target award (if maximum levels of performance are met).</w:t>
      </w:r>
    </w:p>
    <w:p>
      <w:pPr>
        <w:spacing w:after="0" w:line="80"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approve awards of restricted stock units for use in certain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hiring of new executive officers, mid-year promotions of existing executive officers, leadership transition or retention purposes. Vesting may be either performance-based or time-based. Performance-based awards are derived from one or more of the performance measures included in our Amended and Restated 2010 Plan. Under our Amended and Restated 2010 Plan, restricted stock units with time-based vesting can vest no more rapidly than ratably over three years.</w:t>
      </w:r>
    </w:p>
    <w:p>
      <w:pPr>
        <w:spacing w:after="0" w:line="77" w:lineRule="exact"/>
        <w:rPr>
          <w:sz w:val="20"/>
          <w:szCs w:val="20"/>
          <w:color w:val="auto"/>
        </w:rPr>
      </w:pPr>
    </w:p>
    <w:p>
      <w:pPr>
        <w:ind w:right="80" w:firstLine="456"/>
        <w:spacing w:after="0" w:line="242" w:lineRule="auto"/>
        <w:rPr>
          <w:sz w:val="20"/>
          <w:szCs w:val="20"/>
          <w:color w:val="auto"/>
        </w:rPr>
      </w:pPr>
      <w:r>
        <w:rPr>
          <w:rFonts w:ascii="Arial" w:cs="Arial" w:eastAsia="Arial" w:hAnsi="Arial"/>
          <w:sz w:val="18"/>
          <w:szCs w:val="18"/>
          <w:i w:val="1"/>
          <w:iCs w:val="1"/>
          <w:color w:val="auto"/>
        </w:rPr>
        <w:t>Fiscal 2017 Grants</w:t>
      </w:r>
      <w:r>
        <w:rPr>
          <w:rFonts w:ascii="Arial" w:cs="Arial" w:eastAsia="Arial" w:hAnsi="Arial"/>
          <w:sz w:val="18"/>
          <w:szCs w:val="18"/>
          <w:color w:val="auto"/>
        </w:rPr>
        <w:t>. The number of stock options granted to our named executive officers for fiscal 2017 can be found in the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Plan-Based Awards for Fiscal 2017” table on page 49. The per share exercise price of the options is $56.54, which is equal to the closing price of our common stock, as reported on the NYSE, on the date of grant, which for fiscal 2017 was December 9, 2016. The grant date fair value of those awards can be found in the “Summary Compensation Table” beginning on page 46 in the “Option Awards” column and in the “Grants of Plan-Based Awards for Fiscal 2017” table on page 49 in the “Grant Date Fair Value of Stock and Option Awards” column.</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On December 6, 2016, the Committee granted performance share awards for the fiscal 2017 through fiscal 2019 performance period. The number of performance shares at threshold, target and maximum levels of performance for the fiscal 2017 through fiscal 2019 performance period can be found in the “Grants of Plan-Based Awards for Fiscal 2017” table on page 49 in the “Estimated Future Payouts Under Equity Incentive Plan Awards” columns. The grant date fair value of those awards at target can be found in the “Summary Compensation Table” beginning on page 46 in the “Stock Awards” column“ and in the Grants of Plan-Based Awards for Fiscal 2017” table on page 49 in the “Grant Date Fair Value of Stock and Option Awards” column.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firstLine="456"/>
        <w:spacing w:after="0" w:line="267"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2017. </w:t>
      </w:r>
      <w:r>
        <w:rPr>
          <w:rFonts w:ascii="Arial" w:cs="Arial" w:eastAsia="Arial" w:hAnsi="Arial"/>
          <w:sz w:val="18"/>
          <w:szCs w:val="18"/>
          <w:color w:val="auto"/>
        </w:rPr>
        <w:t>For the fiscal 2017 to fiscal 2019 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following corporate performance measures and weightings were established for all of our executive officers:</w:t>
      </w:r>
    </w:p>
    <w:p>
      <w:pPr>
        <w:spacing w:after="0" w:line="44"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40% cumulative corporate net income plus after-tax interest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30% cumulative corporate average net assets turns.</w:t>
      </w:r>
    </w:p>
    <w:p>
      <w:pPr>
        <w:spacing w:after="0" w:line="104" w:lineRule="exact"/>
        <w:rPr>
          <w:sz w:val="20"/>
          <w:szCs w:val="20"/>
          <w:color w:val="auto"/>
        </w:rPr>
      </w:pPr>
    </w:p>
    <w:p>
      <w:pPr>
        <w:ind w:right="240" w:firstLine="456"/>
        <w:spacing w:after="0"/>
        <w:rPr>
          <w:sz w:val="20"/>
          <w:szCs w:val="20"/>
          <w:color w:val="auto"/>
        </w:rPr>
      </w:pPr>
      <w:r>
        <w:rPr>
          <w:rFonts w:ascii="Arial" w:cs="Arial" w:eastAsia="Arial" w:hAnsi="Arial"/>
          <w:sz w:val="18"/>
          <w:szCs w:val="18"/>
          <w:color w:val="auto"/>
        </w:rPr>
        <w:t>The specific performance goals for the three-year award period are maintained by us as proprietary and confidential. The Committee believes that disclosure of these specific performance goals would represent competitive harm to us as such cumulative corporate goals and results are not publicly disclosed and are competitively sensitive.</w:t>
      </w:r>
    </w:p>
    <w:p>
      <w:pPr>
        <w:spacing w:after="0" w:line="9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For each performance measure, the target goal reflects the cumulative three-year financial plan set at the corporate level. Based on historical performance, the Committee believes the attainment of target performance levels, while uncertain, could be reasonably anticipated. Threshold goals represent the minimum level of performance necessary for there to be a payout for that performance measure and the Committee believes the threshold goals are likely to be achieved. Maximum goals represent the performances at which payouts are 200% of the target award. Even if actual results exceed the maximum goals, the payouts are capped at 200% of the target award. Maximum goals represent levels of performance at which the Committee determined a payout of 200% of target would be appropriate. The Committee believes that the maximum goals established are more aggressive goals.</w:t>
      </w:r>
    </w:p>
    <w:p>
      <w:pPr>
        <w:spacing w:after="0" w:line="9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In addition to approving performance measures, goals and weightings, the Committee also established, in accordance with our Amended and Restated 2010 Plan, specific corporate adjustment events for determining payouts under the fiscal 2017 to fiscal 2019 performance share awards. The impact of acquisitions on the evaluation of performance will be determined based on the size of the acquisition as determined by projected annual revenue for the first twelve months after the closing of an acquisition as follows:</w:t>
      </w:r>
    </w:p>
    <w:p>
      <w:pPr>
        <w:spacing w:after="0" w:line="67" w:lineRule="exact"/>
        <w:rPr>
          <w:sz w:val="20"/>
          <w:szCs w:val="20"/>
          <w:color w:val="auto"/>
        </w:rPr>
      </w:pPr>
    </w:p>
    <w:p>
      <w:pPr>
        <w:ind w:left="780" w:right="240" w:hanging="326"/>
        <w:spacing w:after="0" w:line="24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entire impact of any acquisition greater than $50 million will be excluded from the payout calculation for the entire performance period unless the acquisition was included in the annual financial plan and cumulative goals;</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impacts for acquisitions less than $10 million will be included in the payout calculation for the entire performance period;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acquisitions between $10 million and $50 million:</w:t>
      </w:r>
    </w:p>
    <w:p>
      <w:pPr>
        <w:spacing w:after="0" w:line="7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   the impact will be excluded from the payout calculation if the transaction closes during the third year of the three-year term; and</w:t>
      </w:r>
    </w:p>
    <w:p>
      <w:pPr>
        <w:spacing w:after="0" w:line="76" w:lineRule="exact"/>
        <w:rPr>
          <w:rFonts w:ascii="Arial" w:cs="Arial" w:eastAsia="Arial" w:hAnsi="Arial"/>
          <w:sz w:val="18"/>
          <w:szCs w:val="18"/>
          <w:color w:val="auto"/>
        </w:rPr>
      </w:pPr>
    </w:p>
    <w:p>
      <w:pPr>
        <w:ind w:left="1120" w:right="40" w:hanging="324"/>
        <w:spacing w:after="0" w:line="246" w:lineRule="auto"/>
        <w:rPr>
          <w:rFonts w:ascii="Arial" w:cs="Arial" w:eastAsia="Arial" w:hAnsi="Arial"/>
          <w:sz w:val="18"/>
          <w:szCs w:val="18"/>
          <w:color w:val="auto"/>
        </w:rPr>
      </w:pPr>
      <w:r>
        <w:rPr>
          <w:rFonts w:ascii="Arial" w:cs="Arial" w:eastAsia="Arial" w:hAnsi="Arial"/>
          <w:sz w:val="18"/>
          <w:szCs w:val="18"/>
          <w:color w:val="auto"/>
        </w:rPr>
        <w:t>– if the transaction closes in the first or second year of the performance period, the impact will be included in the payout calculation with the exception of any transaction costs incurred.</w:t>
      </w:r>
    </w:p>
    <w:p>
      <w:pPr>
        <w:spacing w:after="0" w:line="89"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Additionally, any externally driven changes in accounting principles and standards will be excluded from the evaluation of performance if the cumulative net impact on the payout of all such accounting adjustments affects the award payout by more than 2%, unless such accounting change was included in the annual plan and cumulative goals.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Following the end of fiscal 2017, the Compensation &amp; Human Resources Committee and Management discussed performance measure weightings for the performance period beginning in fiscal 2018 for the fiscal 2018 to fiscal 2020 performance share awards. Given the Company’s continued focus on profitability, as well as the Company’s strong results on the asset efficiency performance measure, as measured by corporate average net assets turns, the Committee decided that changes to the weightings for the fiscal 2018 to fiscal 2020 performance share award performance measures were appropriate. Therefore, the Committee increased the weighting of the profitability performance measure and decreased the weighting of the asset efficiency performance measure. As a result, for the fiscal 2018 to fiscal 2020 performance share awards, the corporate performance measure weightings are: 50% cumulative corporate net income plus after-tax interest, 30% cumulative corporate revenue, and 20% cumulative corporate average net assets turns.</w:t>
      </w:r>
    </w:p>
    <w:p>
      <w:pPr>
        <w:spacing w:after="0" w:line="82" w:lineRule="exact"/>
        <w:rPr>
          <w:sz w:val="20"/>
          <w:szCs w:val="20"/>
          <w:color w:val="auto"/>
        </w:rPr>
      </w:pPr>
    </w:p>
    <w:p>
      <w:pPr>
        <w:ind w:right="260" w:firstLine="456"/>
        <w:spacing w:after="0" w:line="267" w:lineRule="auto"/>
        <w:rPr>
          <w:sz w:val="20"/>
          <w:szCs w:val="20"/>
          <w:color w:val="auto"/>
        </w:rPr>
      </w:pPr>
      <w:r>
        <w:rPr>
          <w:rFonts w:ascii="Arial" w:cs="Arial" w:eastAsia="Arial" w:hAnsi="Arial"/>
          <w:sz w:val="18"/>
          <w:szCs w:val="18"/>
          <w:i w:val="1"/>
          <w:iCs w:val="1"/>
          <w:color w:val="auto"/>
        </w:rPr>
        <w:t xml:space="preserve">Performance Measures for the Performance Period Ending in Fiscal 2017. </w:t>
      </w:r>
      <w:r>
        <w:rPr>
          <w:rFonts w:ascii="Arial" w:cs="Arial" w:eastAsia="Arial" w:hAnsi="Arial"/>
          <w:sz w:val="18"/>
          <w:szCs w:val="18"/>
          <w:color w:val="auto"/>
        </w:rPr>
        <w:t>The performance share awards that were granted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2015 for the fiscal 2015 to fiscal 2017 performance period were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approved for payout upon the Committee’s certification of performance against the goals and impact of any adjustment events at its meeting on December 5, 2017. The performance share awards were paid out after our fiscal 2017 financial results were released on December 7, 2017. A summary of the performance shares paid out to our named executive officers for the fiscal 2015 to fiscal 2017 performance period, and the value realized on vesting for those awards, can be found in the “Option Exercises and Stock Vested for Fiscal 2017” table on page 52 in the “Number of Shares Acquired on Vesting” and “Value Realized on Vesting” columns, respectively.</w:t>
      </w:r>
    </w:p>
    <w:p>
      <w:pPr>
        <w:spacing w:after="0" w:line="95"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table below outlines the corporate performance measures and weightings, as well as threshold, target and maximum goals that were established by the Committee at the beginning of fiscal 2015, along with actual levels of performance, for the fiscal 2015 to fiscal 2017 performance share awards.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Fiscal 2015 to Fiscal 2017</w:t>
            </w:r>
          </w:p>
        </w:tc>
        <w:tc>
          <w:tcPr>
            <w:tcW w:w="1180" w:type="dxa"/>
            <w:vAlign w:val="bottom"/>
            <w:gridSpan w:val="2"/>
            <w:shd w:val="clear" w:color="auto" w:fill="C00000"/>
          </w:tcPr>
          <w:p>
            <w:pPr>
              <w:ind w:left="280"/>
              <w:spacing w:after="0"/>
              <w:rPr>
                <w:sz w:val="20"/>
                <w:szCs w:val="20"/>
                <w:color w:val="auto"/>
              </w:rPr>
            </w:pPr>
            <w:r>
              <w:rPr>
                <w:rFonts w:ascii="Arial" w:cs="Arial" w:eastAsia="Arial" w:hAnsi="Arial"/>
                <w:sz w:val="14"/>
                <w:szCs w:val="14"/>
                <w:b w:val="1"/>
                <w:bCs w:val="1"/>
                <w:color w:val="FFFFFF"/>
              </w:rPr>
              <w:t>Threshold</w:t>
            </w:r>
          </w:p>
        </w:tc>
        <w:tc>
          <w:tcPr>
            <w:tcW w:w="340" w:type="dxa"/>
            <w:vAlign w:val="bottom"/>
            <w:shd w:val="clear" w:color="auto" w:fill="C00000"/>
          </w:tcPr>
          <w:p>
            <w:pPr>
              <w:spacing w:after="0"/>
              <w:rPr>
                <w:sz w:val="14"/>
                <w:szCs w:val="14"/>
                <w:color w:val="auto"/>
              </w:rPr>
            </w:pPr>
          </w:p>
        </w:tc>
        <w:tc>
          <w:tcPr>
            <w:tcW w:w="820" w:type="dxa"/>
            <w:vAlign w:val="bottom"/>
            <w:shd w:val="clear" w:color="auto" w:fill="C00000"/>
          </w:tcPr>
          <w:p>
            <w:pPr>
              <w:jc w:val="right"/>
              <w:ind w:right="301"/>
              <w:spacing w:after="0"/>
              <w:rPr>
                <w:sz w:val="20"/>
                <w:szCs w:val="20"/>
                <w:color w:val="auto"/>
              </w:rPr>
            </w:pPr>
            <w:r>
              <w:rPr>
                <w:rFonts w:ascii="Arial" w:cs="Arial" w:eastAsia="Arial" w:hAnsi="Arial"/>
                <w:sz w:val="14"/>
                <w:szCs w:val="14"/>
                <w:b w:val="1"/>
                <w:bCs w:val="1"/>
                <w:color w:val="FFFFFF"/>
                <w:w w:val="98"/>
              </w:rPr>
              <w:t>Target</w:t>
            </w:r>
          </w:p>
        </w:tc>
        <w:tc>
          <w:tcPr>
            <w:tcW w:w="1160" w:type="dxa"/>
            <w:vAlign w:val="bottom"/>
            <w:shd w:val="clear" w:color="auto" w:fill="C00000"/>
          </w:tcPr>
          <w:p>
            <w:pPr>
              <w:ind w:left="240"/>
              <w:spacing w:after="0"/>
              <w:rPr>
                <w:sz w:val="20"/>
                <w:szCs w:val="20"/>
                <w:color w:val="auto"/>
              </w:rPr>
            </w:pPr>
            <w:r>
              <w:rPr>
                <w:rFonts w:ascii="Arial" w:cs="Arial" w:eastAsia="Arial" w:hAnsi="Arial"/>
                <w:sz w:val="14"/>
                <w:szCs w:val="14"/>
                <w:b w:val="1"/>
                <w:bCs w:val="1"/>
                <w:color w:val="FFFFFF"/>
              </w:rPr>
              <w:t>Maximum</w:t>
            </w:r>
          </w:p>
        </w:tc>
        <w:tc>
          <w:tcPr>
            <w:tcW w:w="2380" w:type="dxa"/>
            <w:vAlign w:val="bottom"/>
            <w:shd w:val="clear" w:color="auto" w:fill="C00000"/>
          </w:tcPr>
          <w:p>
            <w:pPr>
              <w:spacing w:after="0"/>
              <w:rPr>
                <w:sz w:val="14"/>
                <w:szCs w:val="14"/>
                <w:color w:val="auto"/>
              </w:rPr>
            </w:pPr>
          </w:p>
        </w:tc>
      </w:tr>
      <w:tr>
        <w:trPr>
          <w:trHeight w:val="189"/>
        </w:trPr>
        <w:tc>
          <w:tcPr>
            <w:tcW w:w="55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Performance Measures</w:t>
            </w:r>
          </w:p>
        </w:tc>
        <w:tc>
          <w:tcPr>
            <w:tcW w:w="1180" w:type="dxa"/>
            <w:vAlign w:val="bottom"/>
            <w:gridSpan w:val="2"/>
            <w:shd w:val="clear" w:color="auto" w:fill="C00000"/>
          </w:tcPr>
          <w:p>
            <w:pPr>
              <w:ind w:left="180"/>
              <w:spacing w:after="0"/>
              <w:rPr>
                <w:sz w:val="20"/>
                <w:szCs w:val="20"/>
                <w:color w:val="auto"/>
              </w:rPr>
            </w:pPr>
            <w:r>
              <w:rPr>
                <w:rFonts w:ascii="Arial" w:cs="Arial" w:eastAsia="Arial" w:hAnsi="Arial"/>
                <w:sz w:val="14"/>
                <w:szCs w:val="14"/>
                <w:b w:val="1"/>
                <w:bCs w:val="1"/>
                <w:color w:val="FFFFFF"/>
              </w:rPr>
              <w:t>(40% payout)</w:t>
            </w:r>
          </w:p>
        </w:tc>
        <w:tc>
          <w:tcPr>
            <w:tcW w:w="1160" w:type="dxa"/>
            <w:vAlign w:val="bottom"/>
            <w:gridSpan w:val="2"/>
            <w:shd w:val="clear" w:color="auto" w:fill="C00000"/>
          </w:tcPr>
          <w:p>
            <w:pPr>
              <w:jc w:val="right"/>
              <w:ind w:right="21"/>
              <w:spacing w:after="0"/>
              <w:rPr>
                <w:sz w:val="20"/>
                <w:szCs w:val="20"/>
                <w:color w:val="auto"/>
              </w:rPr>
            </w:pPr>
            <w:r>
              <w:rPr>
                <w:rFonts w:ascii="Arial" w:cs="Arial" w:eastAsia="Arial" w:hAnsi="Arial"/>
                <w:sz w:val="14"/>
                <w:szCs w:val="14"/>
                <w:b w:val="1"/>
                <w:bCs w:val="1"/>
                <w:color w:val="FFFFFF"/>
              </w:rPr>
              <w:t>(100% payout)</w:t>
            </w:r>
          </w:p>
        </w:tc>
        <w:tc>
          <w:tcPr>
            <w:tcW w:w="1160" w:type="dxa"/>
            <w:vAlign w:val="bottom"/>
            <w:shd w:val="clear" w:color="auto" w:fill="C00000"/>
          </w:tcPr>
          <w:p>
            <w:pPr>
              <w:jc w:val="right"/>
              <w:ind w:right="23"/>
              <w:spacing w:after="0"/>
              <w:rPr>
                <w:sz w:val="20"/>
                <w:szCs w:val="20"/>
                <w:color w:val="auto"/>
              </w:rPr>
            </w:pPr>
            <w:r>
              <w:rPr>
                <w:rFonts w:ascii="Arial" w:cs="Arial" w:eastAsia="Arial" w:hAnsi="Arial"/>
                <w:sz w:val="14"/>
                <w:szCs w:val="14"/>
                <w:b w:val="1"/>
                <w:bCs w:val="1"/>
                <w:color w:val="FFFFFF"/>
              </w:rPr>
              <w:t>(200% payout)</w:t>
            </w:r>
          </w:p>
        </w:tc>
        <w:tc>
          <w:tcPr>
            <w:tcW w:w="23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Actual</w:t>
            </w:r>
          </w:p>
        </w:tc>
      </w:tr>
      <w:tr>
        <w:trPr>
          <w:trHeight w:val="191"/>
        </w:trPr>
        <w:tc>
          <w:tcPr>
            <w:tcW w:w="5540" w:type="dxa"/>
            <w:vAlign w:val="bottom"/>
          </w:tcPr>
          <w:p>
            <w:pPr>
              <w:spacing w:after="0"/>
              <w:rPr>
                <w:sz w:val="20"/>
                <w:szCs w:val="20"/>
                <w:color w:val="auto"/>
              </w:rPr>
            </w:pPr>
            <w:r>
              <w:rPr>
                <w:rFonts w:ascii="Arial" w:cs="Arial" w:eastAsia="Arial" w:hAnsi="Arial"/>
                <w:sz w:val="16"/>
                <w:szCs w:val="16"/>
                <w:color w:val="auto"/>
              </w:rPr>
              <w:t>50% cumulative corporate net income plus after-tax interest (in thousands)</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rPr>
              <w:t>$720,518</w:t>
            </w:r>
          </w:p>
        </w:tc>
      </w:tr>
      <w:tr>
        <w:trPr>
          <w:trHeight w:val="201"/>
        </w:trPr>
        <w:tc>
          <w:tcPr>
            <w:tcW w:w="5540" w:type="dxa"/>
            <w:vAlign w:val="bottom"/>
          </w:tcPr>
          <w:p>
            <w:pPr>
              <w:spacing w:after="0"/>
              <w:rPr>
                <w:sz w:val="17"/>
                <w:szCs w:val="17"/>
                <w:color w:val="auto"/>
              </w:rPr>
            </w:pP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527,552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659,441</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  747,364</w:t>
            </w:r>
          </w:p>
        </w:tc>
        <w:tc>
          <w:tcPr>
            <w:tcW w:w="2380" w:type="dxa"/>
            <w:vAlign w:val="bottom"/>
          </w:tcPr>
          <w:p>
            <w:pPr>
              <w:jc w:val="center"/>
              <w:spacing w:after="0"/>
              <w:rPr>
                <w:sz w:val="20"/>
                <w:szCs w:val="20"/>
                <w:color w:val="auto"/>
              </w:rPr>
            </w:pPr>
            <w:r>
              <w:rPr>
                <w:rFonts w:ascii="Arial" w:cs="Arial" w:eastAsia="Arial" w:hAnsi="Arial"/>
                <w:sz w:val="16"/>
                <w:szCs w:val="16"/>
                <w:color w:val="auto"/>
              </w:rPr>
              <w:t>(between target and maximum)</w:t>
            </w:r>
          </w:p>
        </w:tc>
      </w:tr>
      <w:tr>
        <w:trPr>
          <w:trHeight w:val="191"/>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30% cumulative corporate revenue (in thousands)</w:t>
            </w:r>
          </w:p>
        </w:tc>
        <w:tc>
          <w:tcPr>
            <w:tcW w:w="36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1160" w:type="dxa"/>
            <w:vAlign w:val="bottom"/>
            <w:shd w:val="clear" w:color="auto" w:fill="D9D9D9"/>
          </w:tcPr>
          <w:p>
            <w:pPr>
              <w:spacing w:after="0"/>
              <w:rPr>
                <w:sz w:val="16"/>
                <w:szCs w:val="16"/>
                <w:color w:val="auto"/>
              </w:rPr>
            </w:pPr>
          </w:p>
        </w:tc>
        <w:tc>
          <w:tcPr>
            <w:tcW w:w="23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$7,288,227</w:t>
            </w:r>
          </w:p>
        </w:tc>
      </w:tr>
      <w:tr>
        <w:trPr>
          <w:trHeight w:val="201"/>
        </w:trPr>
        <w:tc>
          <w:tcPr>
            <w:tcW w:w="5540" w:type="dxa"/>
            <w:vAlign w:val="bottom"/>
            <w:shd w:val="clear" w:color="auto" w:fill="D9D9D9"/>
          </w:tcPr>
          <w:p>
            <w:pPr>
              <w:spacing w:after="0"/>
              <w:rPr>
                <w:sz w:val="17"/>
                <w:szCs w:val="17"/>
                <w:color w:val="auto"/>
              </w:rPr>
            </w:pPr>
          </w:p>
        </w:tc>
        <w:tc>
          <w:tcPr>
            <w:tcW w:w="360" w:type="dxa"/>
            <w:vAlign w:val="bottom"/>
            <w:shd w:val="clear" w:color="auto" w:fill="D9D9D9"/>
          </w:tcPr>
          <w:p>
            <w:pPr>
              <w:ind w:left="2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w w:val="98"/>
              </w:rPr>
              <w:t>6,822,529</w:t>
            </w:r>
          </w:p>
        </w:tc>
        <w:tc>
          <w:tcPr>
            <w:tcW w:w="3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w w:val="98"/>
              </w:rPr>
              <w:t>7,607,515</w:t>
            </w:r>
          </w:p>
        </w:tc>
        <w:tc>
          <w:tcPr>
            <w:tcW w:w="3540" w:type="dxa"/>
            <w:vAlign w:val="bottom"/>
            <w:gridSpan w:val="2"/>
            <w:shd w:val="clear" w:color="auto" w:fill="D9D9D9"/>
          </w:tcPr>
          <w:p>
            <w:pPr>
              <w:ind w:left="260"/>
              <w:spacing w:after="0"/>
              <w:rPr>
                <w:sz w:val="20"/>
                <w:szCs w:val="20"/>
                <w:color w:val="auto"/>
              </w:rPr>
            </w:pPr>
            <w:r>
              <w:rPr>
                <w:rFonts w:ascii="Arial" w:cs="Arial" w:eastAsia="Arial" w:hAnsi="Arial"/>
                <w:sz w:val="16"/>
                <w:szCs w:val="16"/>
                <w:color w:val="auto"/>
              </w:rPr>
              <w:t>$7,661,187   (between threshold and target)</w:t>
            </w:r>
          </w:p>
        </w:tc>
      </w:tr>
      <w:tr>
        <w:trPr>
          <w:trHeight w:val="191"/>
        </w:trPr>
        <w:tc>
          <w:tcPr>
            <w:tcW w:w="5540" w:type="dxa"/>
            <w:vAlign w:val="bottom"/>
          </w:tcPr>
          <w:p>
            <w:pPr>
              <w:spacing w:after="0"/>
              <w:rPr>
                <w:sz w:val="20"/>
                <w:szCs w:val="20"/>
                <w:color w:val="auto"/>
              </w:rPr>
            </w:pPr>
            <w:r>
              <w:rPr>
                <w:rFonts w:ascii="Arial" w:cs="Arial" w:eastAsia="Arial" w:hAnsi="Arial"/>
                <w:sz w:val="16"/>
                <w:szCs w:val="16"/>
                <w:color w:val="auto"/>
              </w:rPr>
              <w:t>20% cumulative corporate average net assets turns</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Arial" w:cs="Arial" w:eastAsia="Arial" w:hAnsi="Arial"/>
                <w:sz w:val="16"/>
                <w:szCs w:val="16"/>
                <w:color w:val="auto"/>
              </w:rPr>
              <w:t>6.66650</w:t>
            </w:r>
          </w:p>
        </w:tc>
      </w:tr>
      <w:tr>
        <w:trPr>
          <w:trHeight w:val="201"/>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5.55672</w:t>
            </w:r>
          </w:p>
        </w:tc>
        <w:tc>
          <w:tcPr>
            <w:tcW w:w="340" w:type="dxa"/>
            <w:vAlign w:val="bottom"/>
          </w:tcPr>
          <w:p>
            <w:pPr>
              <w:spacing w:after="0"/>
              <w:rPr>
                <w:sz w:val="17"/>
                <w:szCs w:val="17"/>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6.53732</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7.51792</w:t>
            </w:r>
          </w:p>
        </w:tc>
        <w:tc>
          <w:tcPr>
            <w:tcW w:w="2380" w:type="dxa"/>
            <w:vAlign w:val="bottom"/>
          </w:tcPr>
          <w:p>
            <w:pPr>
              <w:jc w:val="center"/>
              <w:spacing w:after="0"/>
              <w:rPr>
                <w:sz w:val="20"/>
                <w:szCs w:val="20"/>
                <w:color w:val="auto"/>
              </w:rPr>
            </w:pPr>
            <w:r>
              <w:rPr>
                <w:rFonts w:ascii="Arial" w:cs="Arial" w:eastAsia="Arial" w:hAnsi="Arial"/>
                <w:sz w:val="16"/>
                <w:szCs w:val="16"/>
                <w:color w:val="auto"/>
              </w:rPr>
              <w:t>(between target and maximum)</w:t>
            </w:r>
          </w:p>
        </w:tc>
      </w:t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b w:val="1"/>
                <w:bCs w:val="1"/>
                <w:color w:val="auto"/>
              </w:rPr>
              <w:t>Fiscal 2015 to fiscal 2017 performance share award payout</w:t>
            </w:r>
          </w:p>
        </w:tc>
        <w:tc>
          <w:tcPr>
            <w:tcW w:w="36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1160" w:type="dxa"/>
            <w:vAlign w:val="bottom"/>
            <w:shd w:val="clear" w:color="auto" w:fill="D9D9D9"/>
          </w:tcPr>
          <w:p>
            <w:pPr>
              <w:spacing w:after="0"/>
              <w:rPr>
                <w:sz w:val="16"/>
                <w:szCs w:val="16"/>
                <w:color w:val="auto"/>
              </w:rPr>
            </w:pPr>
          </w:p>
        </w:tc>
        <w:tc>
          <w:tcPr>
            <w:tcW w:w="2380" w:type="dxa"/>
            <w:vAlign w:val="bottom"/>
            <w:shd w:val="clear" w:color="auto" w:fill="D9D9D9"/>
          </w:tcPr>
          <w:p>
            <w:pPr>
              <w:jc w:val="center"/>
              <w:spacing w:after="0"/>
              <w:rPr>
                <w:sz w:val="20"/>
                <w:szCs w:val="20"/>
                <w:color w:val="auto"/>
              </w:rPr>
            </w:pPr>
            <w:r>
              <w:rPr>
                <w:rFonts w:ascii="Arial" w:cs="Arial" w:eastAsia="Arial" w:hAnsi="Arial"/>
                <w:sz w:val="16"/>
                <w:szCs w:val="16"/>
                <w:b w:val="1"/>
                <w:bCs w:val="1"/>
                <w:color w:val="auto"/>
              </w:rPr>
              <w:t>130.05% of target</w:t>
            </w:r>
          </w:p>
        </w:tc>
      </w:tr>
    </w:tbl>
    <w:p>
      <w:pPr>
        <w:spacing w:after="0" w:line="89"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When applying the actual performance against the weightings of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measures, the fiscal 2015 to fiscal 2017 payout was 130.05% of target. As a result, all of our named executive officers received a performance share payout that was 130.05% of target. During the first quarter of fiscal 2017, we adopted </w:t>
      </w:r>
      <w:r>
        <w:rPr>
          <w:rFonts w:ascii="Arial" w:cs="Arial" w:eastAsia="Arial" w:hAnsi="Arial"/>
          <w:sz w:val="18"/>
          <w:szCs w:val="18"/>
          <w:i w:val="1"/>
          <w:iCs w:val="1"/>
          <w:color w:val="auto"/>
        </w:rPr>
        <w:t>Accounting Standards Update No. 2016-09, Stock-based Compensation: Improvements to Employee Share-based Payment Accounting</w:t>
      </w:r>
      <w:r>
        <w:rPr>
          <w:rFonts w:ascii="Arial" w:cs="Arial" w:eastAsia="Arial" w:hAnsi="Arial"/>
          <w:sz w:val="18"/>
          <w:szCs w:val="18"/>
          <w:color w:val="auto"/>
        </w:rPr>
        <w:t>. The adoption of this standard resulted in a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to certain of the performance measures for the performance share payout of more than 2%. Based on adjustment events approved by the Committee in fiscal 2015 that were applicable to the fiscal 2015 to fiscal 2017 performance share awards and because the impact of such adoption was not included in the cumulative goals that were approved at the beginning of fiscal 2015 for the fiscal 2015 to fiscal 2017 performance share awards, the actual results of the relevant performance measures and corresponding payout were adjusted to exclude the positive impact of the adoption of this accounting standard.</w:t>
      </w:r>
    </w:p>
    <w:p>
      <w:pPr>
        <w:spacing w:after="0" w:line="76"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target total direct compensation in comparison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when establishing new base salary levels, target annual cash incentive awards and long-term incentive awards. However, such compensation decisions for Mr. Hoffman were based on the process described in “Fiscal 2017 CEO Transition” on page 35. Actual value realized from long-term incentives is dependent on the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2017 target total direct compensation (sum of actual base salary, target annual cash incentive and target value of equity awards), for each named executive officer is compared to the market 50</w:t>
      </w:r>
      <w:r>
        <w:rPr>
          <w:rFonts w:ascii="Arial" w:cs="Arial" w:eastAsia="Arial" w:hAnsi="Arial"/>
          <w:sz w:val="15"/>
          <w:szCs w:val="15"/>
          <w:color w:val="auto"/>
        </w:rPr>
        <w:t>th</w:t>
      </w:r>
      <w:r>
        <w:rPr>
          <w:rFonts w:ascii="Arial" w:cs="Arial" w:eastAsia="Arial" w:hAnsi="Arial"/>
          <w:sz w:val="18"/>
          <w:szCs w:val="18"/>
          <w:color w:val="auto"/>
        </w:rPr>
        <w:t xml:space="preserve"> percentile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shd w:val="clear" w:color="auto" w:fill="C00000"/>
          </w:tcPr>
          <w:p>
            <w:pPr>
              <w:spacing w:after="0"/>
              <w:rPr>
                <w:sz w:val="14"/>
                <w:szCs w:val="14"/>
                <w:color w:val="auto"/>
              </w:rPr>
            </w:pPr>
          </w:p>
        </w:tc>
        <w:tc>
          <w:tcPr>
            <w:tcW w:w="5580" w:type="dxa"/>
            <w:vAlign w:val="bottom"/>
            <w:shd w:val="clear" w:color="auto" w:fill="C00000"/>
          </w:tcPr>
          <w:p>
            <w:pPr>
              <w:spacing w:after="0"/>
              <w:rPr>
                <w:sz w:val="14"/>
                <w:szCs w:val="14"/>
                <w:color w:val="auto"/>
              </w:rPr>
            </w:pPr>
          </w:p>
        </w:tc>
        <w:tc>
          <w:tcPr>
            <w:tcW w:w="140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Comparison</w:t>
            </w:r>
          </w:p>
        </w:tc>
      </w:tr>
      <w:tr>
        <w:trPr>
          <w:trHeight w:val="159"/>
        </w:trPr>
        <w:tc>
          <w:tcPr>
            <w:tcW w:w="4440" w:type="dxa"/>
            <w:vAlign w:val="bottom"/>
            <w:shd w:val="clear" w:color="auto" w:fill="C00000"/>
          </w:tcPr>
          <w:p>
            <w:pPr>
              <w:spacing w:after="0"/>
              <w:rPr>
                <w:sz w:val="13"/>
                <w:szCs w:val="13"/>
                <w:color w:val="auto"/>
              </w:rPr>
            </w:pPr>
          </w:p>
        </w:tc>
        <w:tc>
          <w:tcPr>
            <w:tcW w:w="5580" w:type="dxa"/>
            <w:vAlign w:val="bottom"/>
            <w:shd w:val="clear" w:color="auto" w:fill="C00000"/>
          </w:tcPr>
          <w:p>
            <w:pPr>
              <w:spacing w:after="0"/>
              <w:rPr>
                <w:sz w:val="13"/>
                <w:szCs w:val="13"/>
                <w:color w:val="auto"/>
              </w:rPr>
            </w:pPr>
          </w:p>
        </w:tc>
        <w:tc>
          <w:tcPr>
            <w:tcW w:w="1400" w:type="dxa"/>
            <w:vAlign w:val="bottom"/>
            <w:shd w:val="clear" w:color="auto" w:fill="C00000"/>
          </w:tcPr>
          <w:p>
            <w:pPr>
              <w:jc w:val="center"/>
              <w:ind w:left="364"/>
              <w:spacing w:after="0" w:line="159" w:lineRule="exact"/>
              <w:rPr>
                <w:sz w:val="20"/>
                <w:szCs w:val="20"/>
                <w:color w:val="auto"/>
              </w:rPr>
            </w:pPr>
            <w:r>
              <w:rPr>
                <w:rFonts w:ascii="Arial" w:cs="Arial" w:eastAsia="Arial" w:hAnsi="Arial"/>
                <w:sz w:val="14"/>
                <w:szCs w:val="14"/>
                <w:b w:val="1"/>
                <w:bCs w:val="1"/>
                <w:color w:val="FFFFFF"/>
                <w:w w:val="90"/>
              </w:rPr>
              <w:t>to</w:t>
            </w:r>
          </w:p>
        </w:tc>
      </w:tr>
      <w:tr>
        <w:trPr>
          <w:trHeight w:val="166"/>
        </w:trPr>
        <w:tc>
          <w:tcPr>
            <w:tcW w:w="4440" w:type="dxa"/>
            <w:vAlign w:val="bottom"/>
            <w:shd w:val="clear" w:color="auto" w:fill="C00000"/>
          </w:tcPr>
          <w:p>
            <w:pPr>
              <w:spacing w:after="0"/>
              <w:rPr>
                <w:sz w:val="14"/>
                <w:szCs w:val="14"/>
                <w:color w:val="auto"/>
              </w:rPr>
            </w:pPr>
          </w:p>
        </w:tc>
        <w:tc>
          <w:tcPr>
            <w:tcW w:w="5580" w:type="dxa"/>
            <w:vAlign w:val="bottom"/>
            <w:shd w:val="clear" w:color="auto" w:fill="C00000"/>
          </w:tcPr>
          <w:p>
            <w:pPr>
              <w:jc w:val="right"/>
              <w:ind w:right="422"/>
              <w:spacing w:after="0"/>
              <w:rPr>
                <w:sz w:val="20"/>
                <w:szCs w:val="20"/>
                <w:color w:val="auto"/>
              </w:rPr>
            </w:pPr>
            <w:r>
              <w:rPr>
                <w:rFonts w:ascii="Arial" w:cs="Arial" w:eastAsia="Arial" w:hAnsi="Arial"/>
                <w:sz w:val="14"/>
                <w:szCs w:val="14"/>
                <w:b w:val="1"/>
                <w:bCs w:val="1"/>
                <w:color w:val="FFFFFF"/>
              </w:rPr>
              <w:t>Fiscal 2017 Target Total</w:t>
            </w:r>
          </w:p>
        </w:tc>
        <w:tc>
          <w:tcPr>
            <w:tcW w:w="1400" w:type="dxa"/>
            <w:vAlign w:val="bottom"/>
            <w:shd w:val="clear" w:color="auto" w:fill="C00000"/>
          </w:tcPr>
          <w:p>
            <w:pPr>
              <w:jc w:val="center"/>
              <w:ind w:left="344"/>
              <w:spacing w:after="0" w:line="165" w:lineRule="exact"/>
              <w:rPr>
                <w:sz w:val="20"/>
                <w:szCs w:val="20"/>
                <w:color w:val="auto"/>
              </w:rPr>
            </w:pPr>
            <w:r>
              <w:rPr>
                <w:rFonts w:ascii="Arial" w:cs="Arial" w:eastAsia="Arial" w:hAnsi="Arial"/>
                <w:sz w:val="12"/>
                <w:szCs w:val="12"/>
                <w:b w:val="1"/>
                <w:bCs w:val="1"/>
                <w:color w:val="FFFFFF"/>
              </w:rPr>
              <w:t>Market 50</w:t>
            </w:r>
            <w:r>
              <w:rPr>
                <w:rFonts w:ascii="Arial" w:cs="Arial" w:eastAsia="Arial" w:hAnsi="Arial"/>
                <w:sz w:val="19"/>
                <w:szCs w:val="19"/>
                <w:b w:val="1"/>
                <w:bCs w:val="1"/>
                <w:color w:val="FFFFFF"/>
                <w:vertAlign w:val="superscript"/>
              </w:rPr>
              <w:t>th</w:t>
            </w:r>
          </w:p>
        </w:tc>
      </w:tr>
      <w:tr>
        <w:trPr>
          <w:trHeight w:val="189"/>
        </w:trPr>
        <w:tc>
          <w:tcPr>
            <w:tcW w:w="44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5580" w:type="dxa"/>
            <w:vAlign w:val="bottom"/>
            <w:shd w:val="clear" w:color="auto" w:fill="C00000"/>
          </w:tcPr>
          <w:p>
            <w:pPr>
              <w:jc w:val="right"/>
              <w:ind w:right="522"/>
              <w:spacing w:after="0"/>
              <w:rPr>
                <w:sz w:val="20"/>
                <w:szCs w:val="20"/>
                <w:color w:val="auto"/>
              </w:rPr>
            </w:pPr>
            <w:r>
              <w:rPr>
                <w:rFonts w:ascii="Arial" w:cs="Arial" w:eastAsia="Arial" w:hAnsi="Arial"/>
                <w:sz w:val="14"/>
                <w:szCs w:val="14"/>
                <w:b w:val="1"/>
                <w:bCs w:val="1"/>
                <w:color w:val="FFFFFF"/>
              </w:rPr>
              <w:t>Direct Compensation</w:t>
            </w:r>
          </w:p>
        </w:tc>
        <w:tc>
          <w:tcPr>
            <w:tcW w:w="1400" w:type="dxa"/>
            <w:vAlign w:val="bottom"/>
            <w:shd w:val="clear" w:color="auto" w:fill="C00000"/>
          </w:tcPr>
          <w:p>
            <w:pPr>
              <w:jc w:val="center"/>
              <w:ind w:left="364"/>
              <w:spacing w:after="0"/>
              <w:rPr>
                <w:sz w:val="20"/>
                <w:szCs w:val="20"/>
                <w:color w:val="auto"/>
              </w:rPr>
            </w:pPr>
            <w:r>
              <w:rPr>
                <w:rFonts w:ascii="Arial" w:cs="Arial" w:eastAsia="Arial" w:hAnsi="Arial"/>
                <w:sz w:val="14"/>
                <w:szCs w:val="14"/>
                <w:b w:val="1"/>
                <w:bCs w:val="1"/>
                <w:color w:val="FFFFFF"/>
              </w:rPr>
              <w:t>Percentile</w:t>
            </w: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Mr. Olson</w:t>
            </w:r>
          </w:p>
        </w:tc>
        <w:tc>
          <w:tcPr>
            <w:tcW w:w="5580" w:type="dxa"/>
            <w:vAlign w:val="bottom"/>
          </w:tcPr>
          <w:p>
            <w:pPr>
              <w:jc w:val="right"/>
              <w:ind w:right="422"/>
              <w:spacing w:after="0"/>
              <w:rPr>
                <w:sz w:val="20"/>
                <w:szCs w:val="20"/>
                <w:color w:val="auto"/>
              </w:rPr>
            </w:pPr>
            <w:r>
              <w:rPr>
                <w:rFonts w:ascii="Arial" w:cs="Arial" w:eastAsia="Arial" w:hAnsi="Arial"/>
                <w:sz w:val="16"/>
                <w:szCs w:val="16"/>
                <w:color w:val="auto"/>
              </w:rPr>
              <w:t>$4,250,000</w:t>
            </w:r>
          </w:p>
        </w:tc>
        <w:tc>
          <w:tcPr>
            <w:tcW w:w="1400" w:type="dxa"/>
            <w:vAlign w:val="bottom"/>
          </w:tcPr>
          <w:p>
            <w:pPr>
              <w:jc w:val="right"/>
              <w:spacing w:after="0"/>
              <w:rPr>
                <w:sz w:val="20"/>
                <w:szCs w:val="20"/>
                <w:color w:val="auto"/>
              </w:rPr>
            </w:pPr>
            <w:r>
              <w:rPr>
                <w:rFonts w:ascii="Arial" w:cs="Arial" w:eastAsia="Arial" w:hAnsi="Arial"/>
                <w:sz w:val="16"/>
                <w:szCs w:val="16"/>
                <w:color w:val="auto"/>
              </w:rPr>
              <w:t>15% below</w:t>
            </w:r>
          </w:p>
        </w:tc>
      </w:tr>
      <w:tr>
        <w:trPr>
          <w:trHeight w:val="189"/>
        </w:trPr>
        <w:tc>
          <w:tcPr>
            <w:tcW w:w="444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5580" w:type="dxa"/>
            <w:vAlign w:val="bottom"/>
            <w:shd w:val="clear" w:color="auto" w:fill="D9D9D9"/>
          </w:tcPr>
          <w:p>
            <w:pPr>
              <w:jc w:val="right"/>
              <w:ind w:right="422"/>
              <w:spacing w:after="0"/>
              <w:rPr>
                <w:sz w:val="20"/>
                <w:szCs w:val="20"/>
                <w:color w:val="auto"/>
              </w:rPr>
            </w:pPr>
            <w:r>
              <w:rPr>
                <w:rFonts w:ascii="Arial" w:cs="Arial" w:eastAsia="Arial" w:hAnsi="Arial"/>
                <w:sz w:val="16"/>
                <w:szCs w:val="16"/>
                <w:color w:val="auto"/>
              </w:rPr>
              <w:t>$1,703,750</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At market</w:t>
            </w:r>
          </w:p>
        </w:tc>
      </w:tr>
      <w:tr>
        <w:trPr>
          <w:trHeight w:val="189"/>
        </w:trPr>
        <w:tc>
          <w:tcPr>
            <w:tcW w:w="4440" w:type="dxa"/>
            <w:vAlign w:val="bottom"/>
          </w:tcPr>
          <w:p>
            <w:pPr>
              <w:spacing w:after="0"/>
              <w:rPr>
                <w:sz w:val="20"/>
                <w:szCs w:val="20"/>
                <w:color w:val="auto"/>
              </w:rPr>
            </w:pPr>
            <w:r>
              <w:rPr>
                <w:rFonts w:ascii="Arial" w:cs="Arial" w:eastAsia="Arial" w:hAnsi="Arial"/>
                <w:sz w:val="16"/>
                <w:szCs w:val="16"/>
                <w:color w:val="auto"/>
              </w:rPr>
              <w:t>Mr. Hoffman</w:t>
            </w:r>
          </w:p>
        </w:tc>
        <w:tc>
          <w:tcPr>
            <w:tcW w:w="5580" w:type="dxa"/>
            <w:vAlign w:val="bottom"/>
          </w:tcPr>
          <w:p>
            <w:pPr>
              <w:jc w:val="right"/>
              <w:ind w:right="422"/>
              <w:spacing w:after="0"/>
              <w:rPr>
                <w:sz w:val="20"/>
                <w:szCs w:val="20"/>
                <w:color w:val="auto"/>
              </w:rPr>
            </w:pPr>
            <w:r>
              <w:rPr>
                <w:rFonts w:ascii="Arial" w:cs="Arial" w:eastAsia="Arial" w:hAnsi="Arial"/>
                <w:sz w:val="16"/>
                <w:szCs w:val="16"/>
                <w:color w:val="auto"/>
              </w:rPr>
              <w:t>$2,210,000</w:t>
            </w:r>
          </w:p>
        </w:tc>
        <w:tc>
          <w:tcPr>
            <w:tcW w:w="140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89"/>
        </w:trPr>
        <w:tc>
          <w:tcPr>
            <w:tcW w:w="444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5580" w:type="dxa"/>
            <w:vAlign w:val="bottom"/>
            <w:shd w:val="clear" w:color="auto" w:fill="D9D9D9"/>
          </w:tcPr>
          <w:p>
            <w:pPr>
              <w:jc w:val="right"/>
              <w:ind w:right="422"/>
              <w:spacing w:after="0"/>
              <w:rPr>
                <w:sz w:val="20"/>
                <w:szCs w:val="20"/>
                <w:color w:val="auto"/>
              </w:rPr>
            </w:pPr>
            <w:r>
              <w:rPr>
                <w:rFonts w:ascii="Arial" w:cs="Arial" w:eastAsia="Arial" w:hAnsi="Arial"/>
                <w:sz w:val="16"/>
                <w:szCs w:val="16"/>
                <w:color w:val="auto"/>
              </w:rPr>
              <w:t>$1,287,800</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 below</w:t>
            </w:r>
          </w:p>
        </w:tc>
      </w:tr>
      <w:tr>
        <w:trPr>
          <w:trHeight w:val="197"/>
        </w:trPr>
        <w:tc>
          <w:tcPr>
            <w:tcW w:w="4440" w:type="dxa"/>
            <w:vAlign w:val="bottom"/>
          </w:tcPr>
          <w:p>
            <w:pPr>
              <w:spacing w:after="0"/>
              <w:rPr>
                <w:sz w:val="20"/>
                <w:szCs w:val="20"/>
                <w:color w:val="auto"/>
              </w:rPr>
            </w:pPr>
            <w:r>
              <w:rPr>
                <w:rFonts w:ascii="Arial" w:cs="Arial" w:eastAsia="Arial" w:hAnsi="Arial"/>
                <w:sz w:val="16"/>
                <w:szCs w:val="16"/>
                <w:color w:val="auto"/>
              </w:rPr>
              <w:t>Mr. Dordell</w:t>
            </w:r>
          </w:p>
        </w:tc>
        <w:tc>
          <w:tcPr>
            <w:tcW w:w="5580" w:type="dxa"/>
            <w:vAlign w:val="bottom"/>
          </w:tcPr>
          <w:p>
            <w:pPr>
              <w:jc w:val="right"/>
              <w:ind w:right="422"/>
              <w:spacing w:after="0"/>
              <w:rPr>
                <w:sz w:val="20"/>
                <w:szCs w:val="20"/>
                <w:color w:val="auto"/>
              </w:rPr>
            </w:pPr>
            <w:r>
              <w:rPr>
                <w:rFonts w:ascii="Arial" w:cs="Arial" w:eastAsia="Arial" w:hAnsi="Arial"/>
                <w:sz w:val="16"/>
                <w:szCs w:val="16"/>
                <w:color w:val="auto"/>
              </w:rPr>
              <w:t>$1,230,000</w:t>
            </w:r>
          </w:p>
        </w:tc>
        <w:tc>
          <w:tcPr>
            <w:tcW w:w="1400" w:type="dxa"/>
            <w:vAlign w:val="bottom"/>
          </w:tcPr>
          <w:p>
            <w:pPr>
              <w:jc w:val="right"/>
              <w:spacing w:after="0"/>
              <w:rPr>
                <w:sz w:val="20"/>
                <w:szCs w:val="20"/>
                <w:color w:val="auto"/>
              </w:rPr>
            </w:pPr>
            <w:r>
              <w:rPr>
                <w:rFonts w:ascii="Arial" w:cs="Arial" w:eastAsia="Arial" w:hAnsi="Arial"/>
                <w:sz w:val="16"/>
                <w:szCs w:val="16"/>
                <w:color w:val="auto"/>
              </w:rPr>
              <w:t>At market</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p>
    <w:p>
      <w:pPr>
        <w:spacing w:after="0" w:line="108"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 important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employee’s compensation package and promotes employee health. Our executive officers participate in the same health and welfare benefits as our full-time office salaried employees. These health and welfare benefits for fiscal 2017 included medical and dental insurance; life, accidental death and dismemberment insurance; and disability insurance. These benefits, including plan design and cost, are analyzed annually.</w:t>
      </w:r>
    </w:p>
    <w:p>
      <w:pPr>
        <w:spacing w:after="0" w:line="77"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IS&amp;ESOP, which is our defined contribution plan. The majority of our U.S.-based employees participate in the IS&amp;ESOP and certain other employees that are members of a collectively bargained agreement or employees of certain of our subsidiaries participate in different retirement plans. The IS&amp;ESOP includes a 401(k) plan with a company match and two other annual discretionary company contributions, which include an investment savings contribution and an ESOP contribution. Company contributions for fiscal 2017 to our defined contribution plan on behalf of our named executive officers can be found under “All Other Compensation for Fiscal 2017” beginning on page 47.</w:t>
      </w:r>
    </w:p>
    <w:p>
      <w:pPr>
        <w:spacing w:after="0" w:line="72" w:lineRule="exact"/>
        <w:rPr>
          <w:sz w:val="20"/>
          <w:szCs w:val="20"/>
          <w:color w:val="auto"/>
        </w:rPr>
      </w:pPr>
    </w:p>
    <w:p>
      <w:pPr>
        <w:ind w:right="200" w:firstLine="456"/>
        <w:spacing w:after="0" w:line="266" w:lineRule="auto"/>
        <w:rPr>
          <w:sz w:val="20"/>
          <w:szCs w:val="20"/>
          <w:color w:val="auto"/>
        </w:rPr>
      </w:pPr>
      <w:r>
        <w:rPr>
          <w:rFonts w:ascii="Arial" w:cs="Arial" w:eastAsia="Arial" w:hAnsi="Arial"/>
          <w:sz w:val="17"/>
          <w:szCs w:val="17"/>
          <w:i w:val="1"/>
          <w:iCs w:val="1"/>
          <w:color w:val="auto"/>
        </w:rPr>
        <w:t>Nonqualified Deferred Compensation Plans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To help ensure our executive officers’ ability to provide financial security and save for</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we maintain three nonqualified deferred compensation plans, which include: The Toro Company Deferred Compensation Plan, or Deferred Plan, the Deferred Plan for Officers and The Toro Company Supplemental Benefit Plan, or Supplemental Benefit Plan. These plans, which are unsecured and unfunded, are described under “Nonqualified Deferred Compensation for Fiscal 2017” beginning on page 52.</w:t>
      </w:r>
    </w:p>
    <w:p>
      <w:pPr>
        <w:spacing w:after="0" w:line="56" w:lineRule="exact"/>
        <w:rPr>
          <w:sz w:val="20"/>
          <w:szCs w:val="20"/>
          <w:color w:val="auto"/>
        </w:rPr>
      </w:pPr>
    </w:p>
    <w:p>
      <w:pPr>
        <w:ind w:right="80" w:firstLine="456"/>
        <w:spacing w:after="0" w:line="245"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perquisites provided during fiscal 2017 to our executive officers are described in “All Other Compensation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 beginning on page 47. We believe these perquisites are an important part of our overall compensation package and help us attract, retain and reward top executive talent. Specifically, we believe that these perquisites assist in promoting the financial security and health of our executive officers and encourage the use and promotion of our products.</w:t>
      </w:r>
    </w:p>
    <w:p>
      <w:pPr>
        <w:spacing w:after="0" w:line="69" w:lineRule="exact"/>
        <w:rPr>
          <w:sz w:val="20"/>
          <w:szCs w:val="20"/>
          <w:color w:val="auto"/>
        </w:rPr>
      </w:pPr>
    </w:p>
    <w:p>
      <w:pPr>
        <w:ind w:right="500" w:firstLine="456"/>
        <w:spacing w:after="0" w:line="253"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The program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provides that a gift or gifts by an executive officer and his/her spouse to one or more tax exempt 501(c)(3) charitable organizations located in the United States will be matched by us in an aggregate amount of up to $3,000 per year.</w:t>
      </w:r>
    </w:p>
    <w:p>
      <w:pPr>
        <w:spacing w:after="0" w:line="61" w:lineRule="exact"/>
        <w:rPr>
          <w:sz w:val="20"/>
          <w:szCs w:val="20"/>
          <w:color w:val="auto"/>
        </w:rPr>
      </w:pPr>
    </w:p>
    <w:p>
      <w:pPr>
        <w:ind w:right="180" w:firstLine="456"/>
        <w:spacing w:after="0" w:line="242" w:lineRule="auto"/>
        <w:rPr>
          <w:sz w:val="20"/>
          <w:szCs w:val="20"/>
          <w:color w:val="auto"/>
        </w:rPr>
      </w:pPr>
      <w:r>
        <w:rPr>
          <w:rFonts w:ascii="Arial" w:cs="Arial" w:eastAsia="Arial" w:hAnsi="Arial"/>
          <w:sz w:val="18"/>
          <w:szCs w:val="18"/>
          <w:b w:val="1"/>
          <w:bCs w:val="1"/>
          <w:color w:val="auto"/>
        </w:rPr>
        <w:t xml:space="preserve">Employment, Severance and Change in Control Arrangements. </w:t>
      </w:r>
      <w:r>
        <w:rPr>
          <w:rFonts w:ascii="Arial" w:cs="Arial" w:eastAsia="Arial" w:hAnsi="Arial"/>
          <w:sz w:val="18"/>
          <w:szCs w:val="18"/>
          <w:color w:val="auto"/>
        </w:rPr>
        <w:t>Our executive officers do not have any employment or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or arrangements other than as provided for in our CIC policy and other than certain change in control provisions in our equity plans. Accordingly, our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57. Each executive officer is a party to our standard confidentiality, invention and non-compete agreement.</w:t>
      </w:r>
    </w:p>
    <w:p>
      <w:pPr>
        <w:spacing w:after="0" w:line="93"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shareholders. We believe it is in the best interests of our Company and our shareholders to assure that we will have the continued dedication of our executives, notwithstanding the possibility, threat or occurrence of a change in control. We also believe it is imperative to diminish any distraction of our executives by virtue of the personal uncertainties and risks, including personal financial risks, created by a pending or threatened change in control of the Company.</w:t>
      </w:r>
    </w:p>
    <w:p>
      <w:pPr>
        <w:spacing w:after="0" w:line="97"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Our CIC policy does not provide a “gross-up” for 280G excise taxes and, as a condition to the payment of any severance payment, the executive officer must execute a release of claims against us.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addition to our CIC policy, we also have change in control provisions in our Amended and Restated 2010 Plan and prior equity plans and individual award agreements that apply to our executives, as well as other employees, that provide for immediate vesting acceleration upon a change in control. More information regarding these provisions is also provided under “Potential Payments Upon Termination or Change in Control—Change in Control” beginning on page 57. Because the immediate vesting of stock options, restricted stock units and certain other awards is triggered by the change in control itself, and is not dependent upon a termination of employment within a certain protection period, these acceleration provisions are known as a “single trigger” change in control arrangements. We believe these “single trigger” change in control arrangements for equity awards granted provide important retention incentives during what can often be an uncertain time for employees and provide executives with additional monetary motivation to focus on and complete a transaction that our Board believes is in the best interests of our shareholders rather than seeking new employment opportunities. If an executive were to leave prior to the completion of the change in control, non-vested options or other awards held by the executive would terminate.</w:t>
      </w:r>
    </w:p>
    <w:p>
      <w:pPr>
        <w:spacing w:after="0" w:line="98"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The Compensation &amp; Human Resources Committee reviews our change of control arrangements periodically to ensure that they remain appropriate.</w:t>
      </w:r>
    </w:p>
    <w:p>
      <w:pPr>
        <w:spacing w:after="0" w:line="67"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 objective of aligning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interests of our executive officers with those of our shareholders. Our stock ownership guidelines are described in more detail in “Stock Ownership Guidelines” on page 8. As of October 31, 2017, each of our executive officers required to meet the stock ownership guidelines had met such guideline.</w:t>
      </w:r>
    </w:p>
    <w:p>
      <w:pPr>
        <w:spacing w:after="0" w:line="66"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b w:val="1"/>
          <w:bCs w:val="1"/>
          <w:color w:val="auto"/>
        </w:rPr>
        <w:t xml:space="preserve">Hedging and Pledging. </w:t>
      </w:r>
      <w:r>
        <w:rPr>
          <w:rFonts w:ascii="Arial" w:cs="Arial" w:eastAsia="Arial" w:hAnsi="Arial"/>
          <w:sz w:val="18"/>
          <w:szCs w:val="18"/>
          <w:color w:val="auto"/>
        </w:rPr>
        <w:t>Our insider trading policy prohibits officers and directors from purchasing Toro securities on margin,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account in which Toro securities are held, or pledging Toro securities as collateral for a loan. In addition, our insider trading policy prohibits employees (including executive officers) and directors from purchasing any financial instruments (including, without limitation, prepaid variable forward contracts, equity swaps, collars and exchange funds) that are designed to hedge or offset any decrease in the market value of Toro securities.</w:t>
      </w:r>
    </w:p>
    <w:p>
      <w:pPr>
        <w:spacing w:after="0" w:line="6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b w:val="1"/>
          <w:bCs w:val="1"/>
          <w:color w:val="auto"/>
        </w:rPr>
        <w:t xml:space="preserve">Tax Deductibility of Compensation. </w:t>
      </w:r>
      <w:r>
        <w:rPr>
          <w:rFonts w:ascii="Arial" w:cs="Arial" w:eastAsia="Arial" w:hAnsi="Arial"/>
          <w:sz w:val="18"/>
          <w:szCs w:val="18"/>
          <w:color w:val="auto"/>
        </w:rPr>
        <w:t>In designing our executive compensation program, we consider the deductibility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under Code Section 162(m). At the time the Compensation &amp; Human Resources Committee made compensation decisions for our executive officers, including for fiscal 2018, Code Section 162(m) provided that we may not deduct each year more than $1 million paid to certain executive officers, other than “performance-based” compensation meeting certain requirements. The Tax Cuts and Jobs Act signed into law on December 22, 2017 (the “Tax Act”), among other things, repealed the exemption from Code Section 162(m)’s deduction limit for “performance-based” compensation for taxable years beginning after December 31, 2017. Our current compensation plans and the annual cash incentive award payouts, stock option grants and performance share award payouts made under these plans have been designed with the intention of satisfying the requirements for “performance-based” compensation as defined in Code Section 162(m) prior to the effective date of the Tax Act so that such awards would be exempt from the Code Section 162(m) deduction limitation. While we designed these plans to operate in this manner, the Committee may administer the plans in a manner that does not satisfy such requirements in order to achieve a result that the Committee determines to be appropriate. Despite the Committee’s efforts to structure performance-based compensation in a manner intended to be exempt from the Code Section 162(m) deduction limit, because of ambiguities and uncertainties as to the application and interpretation of Code Section 162(m) as revised by the Tax Act, and the regulations issued thereunder, including the uncertain scope of the transition relief under the legislation repealing Code Section 162(m)’s deduction limit exemption, no assurance can be given that compensation intended to satisfy the requirements for exemption from Code Section 162(m) in fact will.</w:t>
      </w:r>
    </w:p>
    <w:p>
      <w:pPr>
        <w:spacing w:after="0" w:line="103"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Despite the changes to Section 162(m) as a result of the Tax Act, consistent with our executive compensation philosophy of linking pay to performance and aligning executive interests with those of our shareholders, we currently expect that we will continue to structure our executive compensation program so that a significant portion of total executive compensation is linked to the performance of our Company.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Assessment of Risk Related to Compensation Programs</w:t>
      </w:r>
    </w:p>
    <w:p>
      <w:pPr>
        <w:spacing w:after="0" w:line="126"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profitability and asset efficiency strategies that emphasize shareholder value creation. In reaching such determination, we noted that (i) base salaries for all employees are targeted within a competitive range of the market 50</w:t>
      </w:r>
      <w:r>
        <w:rPr>
          <w:rFonts w:ascii="Arial" w:cs="Arial" w:eastAsia="Arial" w:hAnsi="Arial"/>
          <w:sz w:val="15"/>
          <w:szCs w:val="15"/>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 and (iii) caps on performance-based awards are used.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Summary Compensation Table</w:t>
      </w:r>
    </w:p>
    <w:p>
      <w:pPr>
        <w:spacing w:after="0" w:line="126"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and each of the other three most highly compensated executive officers during fiscal 2017. We collectively refer to these executive officers as our “named executive officers” for fiscal 2017. The “Compensation Discussion and Analysis” beginning on page 31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2017” beginning on page 52. Earnings on nonqualified deferred compensation are not on a basis that is considered to be above-market or preferential.</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shd w:val="clear" w:color="auto" w:fill="C00000"/>
          </w:tcPr>
          <w:p>
            <w:pPr>
              <w:spacing w:after="0"/>
              <w:rPr>
                <w:sz w:val="12"/>
                <w:szCs w:val="12"/>
                <w:color w:val="auto"/>
              </w:rPr>
            </w:pPr>
          </w:p>
        </w:tc>
        <w:tc>
          <w:tcPr>
            <w:tcW w:w="520" w:type="dxa"/>
            <w:vAlign w:val="bottom"/>
            <w:shd w:val="clear" w:color="auto" w:fill="C00000"/>
          </w:tcPr>
          <w:p>
            <w:pPr>
              <w:spacing w:after="0"/>
              <w:rPr>
                <w:sz w:val="12"/>
                <w:szCs w:val="12"/>
                <w:color w:val="auto"/>
              </w:rPr>
            </w:pPr>
          </w:p>
        </w:tc>
        <w:tc>
          <w:tcPr>
            <w:tcW w:w="920" w:type="dxa"/>
            <w:vAlign w:val="bottom"/>
            <w:shd w:val="clear" w:color="auto" w:fill="C00000"/>
          </w:tcPr>
          <w:p>
            <w:pPr>
              <w:spacing w:after="0"/>
              <w:rPr>
                <w:sz w:val="12"/>
                <w:szCs w:val="12"/>
                <w:color w:val="auto"/>
              </w:rPr>
            </w:pPr>
          </w:p>
        </w:tc>
        <w:tc>
          <w:tcPr>
            <w:tcW w:w="700" w:type="dxa"/>
            <w:vAlign w:val="bottom"/>
            <w:shd w:val="clear" w:color="auto" w:fill="C00000"/>
          </w:tcPr>
          <w:p>
            <w:pPr>
              <w:spacing w:after="0"/>
              <w:rPr>
                <w:sz w:val="12"/>
                <w:szCs w:val="12"/>
                <w:color w:val="auto"/>
              </w:rPr>
            </w:pPr>
          </w:p>
        </w:tc>
        <w:tc>
          <w:tcPr>
            <w:tcW w:w="200" w:type="dxa"/>
            <w:vAlign w:val="bottom"/>
            <w:shd w:val="clear" w:color="auto" w:fill="C00000"/>
          </w:tcPr>
          <w:p>
            <w:pPr>
              <w:spacing w:after="0"/>
              <w:rPr>
                <w:sz w:val="12"/>
                <w:szCs w:val="12"/>
                <w:color w:val="auto"/>
              </w:rPr>
            </w:pPr>
          </w:p>
        </w:tc>
        <w:tc>
          <w:tcPr>
            <w:tcW w:w="760" w:type="dxa"/>
            <w:vAlign w:val="bottom"/>
            <w:shd w:val="clear" w:color="auto" w:fill="C00000"/>
          </w:tcPr>
          <w:p>
            <w:pPr>
              <w:spacing w:after="0"/>
              <w:rPr>
                <w:sz w:val="12"/>
                <w:szCs w:val="12"/>
                <w:color w:val="auto"/>
              </w:rPr>
            </w:pPr>
          </w:p>
        </w:tc>
        <w:tc>
          <w:tcPr>
            <w:tcW w:w="200" w:type="dxa"/>
            <w:vAlign w:val="bottom"/>
            <w:shd w:val="clear" w:color="auto" w:fill="C00000"/>
          </w:tcPr>
          <w:p>
            <w:pPr>
              <w:spacing w:after="0"/>
              <w:rPr>
                <w:sz w:val="12"/>
                <w:szCs w:val="12"/>
                <w:color w:val="auto"/>
              </w:rPr>
            </w:pPr>
          </w:p>
        </w:tc>
        <w:tc>
          <w:tcPr>
            <w:tcW w:w="760" w:type="dxa"/>
            <w:vAlign w:val="bottom"/>
            <w:shd w:val="clear" w:color="auto" w:fill="C00000"/>
          </w:tcPr>
          <w:p>
            <w:pPr>
              <w:spacing w:after="0"/>
              <w:rPr>
                <w:sz w:val="12"/>
                <w:szCs w:val="12"/>
                <w:color w:val="auto"/>
              </w:rPr>
            </w:pPr>
          </w:p>
        </w:tc>
        <w:tc>
          <w:tcPr>
            <w:tcW w:w="1180" w:type="dxa"/>
            <w:vAlign w:val="bottom"/>
            <w:gridSpan w:val="2"/>
            <w:shd w:val="clear" w:color="auto" w:fill="C00000"/>
          </w:tcPr>
          <w:p>
            <w:pPr>
              <w:jc w:val="center"/>
              <w:spacing w:after="0"/>
              <w:rPr>
                <w:sz w:val="20"/>
                <w:szCs w:val="20"/>
                <w:color w:val="auto"/>
              </w:rPr>
            </w:pPr>
            <w:r>
              <w:rPr>
                <w:rFonts w:ascii="Arial" w:cs="Arial" w:eastAsia="Arial" w:hAnsi="Arial"/>
                <w:sz w:val="12"/>
                <w:szCs w:val="12"/>
                <w:b w:val="1"/>
                <w:bCs w:val="1"/>
                <w:color w:val="FFFFFF"/>
                <w:w w:val="96"/>
              </w:rPr>
              <w:t>Non-Equity</w:t>
            </w:r>
          </w:p>
        </w:tc>
        <w:tc>
          <w:tcPr>
            <w:tcW w:w="600" w:type="dxa"/>
            <w:vAlign w:val="bottom"/>
            <w:shd w:val="clear" w:color="auto" w:fill="C00000"/>
          </w:tcPr>
          <w:p>
            <w:pPr>
              <w:spacing w:after="0"/>
              <w:rPr>
                <w:sz w:val="12"/>
                <w:szCs w:val="12"/>
                <w:color w:val="auto"/>
              </w:rPr>
            </w:pPr>
          </w:p>
        </w:tc>
        <w:tc>
          <w:tcPr>
            <w:tcW w:w="580" w:type="dxa"/>
            <w:vAlign w:val="bottom"/>
            <w:shd w:val="clear" w:color="auto" w:fill="C00000"/>
          </w:tcPr>
          <w:p>
            <w:pPr>
              <w:spacing w:after="0"/>
              <w:rPr>
                <w:sz w:val="12"/>
                <w:szCs w:val="12"/>
                <w:color w:val="auto"/>
              </w:rPr>
            </w:pPr>
          </w:p>
        </w:tc>
        <w:tc>
          <w:tcPr>
            <w:tcW w:w="880" w:type="dxa"/>
            <w:vAlign w:val="bottom"/>
            <w:shd w:val="clear" w:color="auto" w:fill="C00000"/>
          </w:tcPr>
          <w:p>
            <w:pPr>
              <w:spacing w:after="0"/>
              <w:rPr>
                <w:sz w:val="12"/>
                <w:szCs w:val="12"/>
                <w:color w:val="auto"/>
              </w:rPr>
            </w:pPr>
          </w:p>
        </w:tc>
      </w:tr>
      <w:tr>
        <w:trPr>
          <w:trHeight w:val="135"/>
        </w:trPr>
        <w:tc>
          <w:tcPr>
            <w:tcW w:w="4120" w:type="dxa"/>
            <w:vAlign w:val="bottom"/>
            <w:shd w:val="clear" w:color="auto" w:fill="C00000"/>
          </w:tcPr>
          <w:p>
            <w:pPr>
              <w:spacing w:after="0"/>
              <w:rPr>
                <w:sz w:val="11"/>
                <w:szCs w:val="11"/>
                <w:color w:val="auto"/>
              </w:rPr>
            </w:pPr>
          </w:p>
        </w:tc>
        <w:tc>
          <w:tcPr>
            <w:tcW w:w="520" w:type="dxa"/>
            <w:vAlign w:val="bottom"/>
            <w:shd w:val="clear" w:color="auto" w:fill="C00000"/>
          </w:tcPr>
          <w:p>
            <w:pPr>
              <w:spacing w:after="0"/>
              <w:rPr>
                <w:sz w:val="11"/>
                <w:szCs w:val="11"/>
                <w:color w:val="auto"/>
              </w:rPr>
            </w:pPr>
          </w:p>
        </w:tc>
        <w:tc>
          <w:tcPr>
            <w:tcW w:w="920" w:type="dxa"/>
            <w:vAlign w:val="bottom"/>
            <w:shd w:val="clear" w:color="auto" w:fill="C00000"/>
          </w:tcPr>
          <w:p>
            <w:pPr>
              <w:spacing w:after="0"/>
              <w:rPr>
                <w:sz w:val="11"/>
                <w:szCs w:val="11"/>
                <w:color w:val="auto"/>
              </w:rPr>
            </w:pPr>
          </w:p>
        </w:tc>
        <w:tc>
          <w:tcPr>
            <w:tcW w:w="700" w:type="dxa"/>
            <w:vAlign w:val="bottom"/>
            <w:shd w:val="clear" w:color="auto" w:fill="C00000"/>
          </w:tcPr>
          <w:p>
            <w:pPr>
              <w:spacing w:after="0"/>
              <w:rPr>
                <w:sz w:val="11"/>
                <w:szCs w:val="11"/>
                <w:color w:val="auto"/>
              </w:rPr>
            </w:pPr>
          </w:p>
        </w:tc>
        <w:tc>
          <w:tcPr>
            <w:tcW w:w="200" w:type="dxa"/>
            <w:vAlign w:val="bottom"/>
            <w:shd w:val="clear" w:color="auto" w:fill="C00000"/>
          </w:tcPr>
          <w:p>
            <w:pPr>
              <w:spacing w:after="0"/>
              <w:rPr>
                <w:sz w:val="11"/>
                <w:szCs w:val="11"/>
                <w:color w:val="auto"/>
              </w:rPr>
            </w:pPr>
          </w:p>
        </w:tc>
        <w:tc>
          <w:tcPr>
            <w:tcW w:w="760" w:type="dxa"/>
            <w:vAlign w:val="bottom"/>
            <w:shd w:val="clear" w:color="auto" w:fill="C00000"/>
          </w:tcPr>
          <w:p>
            <w:pPr>
              <w:jc w:val="center"/>
              <w:ind w:right="134"/>
              <w:spacing w:after="0" w:line="135" w:lineRule="exact"/>
              <w:rPr>
                <w:sz w:val="20"/>
                <w:szCs w:val="20"/>
                <w:color w:val="auto"/>
              </w:rPr>
            </w:pPr>
            <w:r>
              <w:rPr>
                <w:rFonts w:ascii="Arial" w:cs="Arial" w:eastAsia="Arial" w:hAnsi="Arial"/>
                <w:sz w:val="12"/>
                <w:szCs w:val="12"/>
                <w:b w:val="1"/>
                <w:bCs w:val="1"/>
                <w:color w:val="FFFFFF"/>
                <w:w w:val="97"/>
              </w:rPr>
              <w:t>Stock</w:t>
            </w:r>
          </w:p>
        </w:tc>
        <w:tc>
          <w:tcPr>
            <w:tcW w:w="200" w:type="dxa"/>
            <w:vAlign w:val="bottom"/>
            <w:shd w:val="clear" w:color="auto" w:fill="C00000"/>
          </w:tcPr>
          <w:p>
            <w:pPr>
              <w:spacing w:after="0"/>
              <w:rPr>
                <w:sz w:val="11"/>
                <w:szCs w:val="11"/>
                <w:color w:val="auto"/>
              </w:rPr>
            </w:pPr>
          </w:p>
        </w:tc>
        <w:tc>
          <w:tcPr>
            <w:tcW w:w="760" w:type="dxa"/>
            <w:vAlign w:val="bottom"/>
            <w:shd w:val="clear" w:color="auto" w:fill="C00000"/>
          </w:tcPr>
          <w:p>
            <w:pPr>
              <w:jc w:val="center"/>
              <w:ind w:right="114"/>
              <w:spacing w:after="0" w:line="135" w:lineRule="exact"/>
              <w:rPr>
                <w:sz w:val="20"/>
                <w:szCs w:val="20"/>
                <w:color w:val="auto"/>
              </w:rPr>
            </w:pPr>
            <w:r>
              <w:rPr>
                <w:rFonts w:ascii="Arial" w:cs="Arial" w:eastAsia="Arial" w:hAnsi="Arial"/>
                <w:sz w:val="12"/>
                <w:szCs w:val="12"/>
                <w:b w:val="1"/>
                <w:bCs w:val="1"/>
                <w:color w:val="FFFFFF"/>
                <w:w w:val="98"/>
              </w:rPr>
              <w:t>Option</w:t>
            </w:r>
          </w:p>
        </w:tc>
        <w:tc>
          <w:tcPr>
            <w:tcW w:w="1180" w:type="dxa"/>
            <w:vAlign w:val="bottom"/>
            <w:gridSpan w:val="2"/>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6"/>
              </w:rPr>
              <w:t>Incentive Plan</w:t>
            </w:r>
          </w:p>
        </w:tc>
        <w:tc>
          <w:tcPr>
            <w:tcW w:w="1180" w:type="dxa"/>
            <w:vAlign w:val="bottom"/>
            <w:gridSpan w:val="2"/>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8"/>
              </w:rPr>
              <w:t>All Other</w:t>
            </w:r>
          </w:p>
        </w:tc>
        <w:tc>
          <w:tcPr>
            <w:tcW w:w="880" w:type="dxa"/>
            <w:vAlign w:val="bottom"/>
            <w:shd w:val="clear" w:color="auto" w:fill="C00000"/>
          </w:tcPr>
          <w:p>
            <w:pPr>
              <w:spacing w:after="0"/>
              <w:rPr>
                <w:sz w:val="11"/>
                <w:szCs w:val="11"/>
                <w:color w:val="auto"/>
              </w:rPr>
            </w:pPr>
          </w:p>
        </w:tc>
      </w:tr>
      <w:tr>
        <w:trPr>
          <w:trHeight w:val="135"/>
        </w:trPr>
        <w:tc>
          <w:tcPr>
            <w:tcW w:w="4120" w:type="dxa"/>
            <w:vAlign w:val="bottom"/>
            <w:shd w:val="clear" w:color="auto" w:fill="C00000"/>
          </w:tcPr>
          <w:p>
            <w:pPr>
              <w:ind w:left="80"/>
              <w:spacing w:after="0" w:line="135" w:lineRule="exact"/>
              <w:rPr>
                <w:sz w:val="20"/>
                <w:szCs w:val="20"/>
                <w:color w:val="auto"/>
              </w:rPr>
            </w:pPr>
            <w:r>
              <w:rPr>
                <w:rFonts w:ascii="Arial" w:cs="Arial" w:eastAsia="Arial" w:hAnsi="Arial"/>
                <w:sz w:val="12"/>
                <w:szCs w:val="12"/>
                <w:b w:val="1"/>
                <w:bCs w:val="1"/>
                <w:color w:val="FFFFFF"/>
              </w:rPr>
              <w:t>Name and</w:t>
            </w:r>
          </w:p>
        </w:tc>
        <w:tc>
          <w:tcPr>
            <w:tcW w:w="520" w:type="dxa"/>
            <w:vAlign w:val="bottom"/>
            <w:shd w:val="clear" w:color="auto" w:fill="C00000"/>
          </w:tcPr>
          <w:p>
            <w:pPr>
              <w:jc w:val="center"/>
              <w:ind w:left="114"/>
              <w:spacing w:after="0" w:line="135" w:lineRule="exact"/>
              <w:rPr>
                <w:sz w:val="20"/>
                <w:szCs w:val="20"/>
                <w:color w:val="auto"/>
              </w:rPr>
            </w:pPr>
            <w:r>
              <w:rPr>
                <w:rFonts w:ascii="Arial" w:cs="Arial" w:eastAsia="Arial" w:hAnsi="Arial"/>
                <w:sz w:val="12"/>
                <w:szCs w:val="12"/>
                <w:b w:val="1"/>
                <w:bCs w:val="1"/>
                <w:color w:val="FFFFFF"/>
                <w:w w:val="99"/>
              </w:rPr>
              <w:t>Fiscal</w:t>
            </w:r>
          </w:p>
        </w:tc>
        <w:tc>
          <w:tcPr>
            <w:tcW w:w="920" w:type="dxa"/>
            <w:vAlign w:val="bottom"/>
            <w:shd w:val="clear" w:color="auto" w:fill="C00000"/>
          </w:tcPr>
          <w:p>
            <w:pPr>
              <w:ind w:left="320"/>
              <w:spacing w:after="0" w:line="135" w:lineRule="exact"/>
              <w:rPr>
                <w:sz w:val="20"/>
                <w:szCs w:val="20"/>
                <w:color w:val="auto"/>
              </w:rPr>
            </w:pPr>
            <w:r>
              <w:rPr>
                <w:rFonts w:ascii="Arial" w:cs="Arial" w:eastAsia="Arial" w:hAnsi="Arial"/>
                <w:sz w:val="12"/>
                <w:szCs w:val="12"/>
                <w:b w:val="1"/>
                <w:bCs w:val="1"/>
                <w:color w:val="FFFFFF"/>
              </w:rPr>
              <w:t>Salary</w:t>
            </w:r>
          </w:p>
        </w:tc>
        <w:tc>
          <w:tcPr>
            <w:tcW w:w="700" w:type="dxa"/>
            <w:vAlign w:val="bottom"/>
            <w:shd w:val="clear" w:color="auto" w:fill="C00000"/>
          </w:tcPr>
          <w:p>
            <w:pPr>
              <w:jc w:val="right"/>
              <w:ind w:right="34"/>
              <w:spacing w:after="0" w:line="135"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9"/>
                <w:szCs w:val="9"/>
                <w:b w:val="1"/>
                <w:bCs w:val="1"/>
                <w:color w:val="FFFFFF"/>
              </w:rPr>
              <w:t>(1)</w:t>
            </w:r>
          </w:p>
        </w:tc>
        <w:tc>
          <w:tcPr>
            <w:tcW w:w="200" w:type="dxa"/>
            <w:vAlign w:val="bottom"/>
            <w:shd w:val="clear" w:color="auto" w:fill="C00000"/>
          </w:tcPr>
          <w:p>
            <w:pPr>
              <w:spacing w:after="0"/>
              <w:rPr>
                <w:sz w:val="11"/>
                <w:szCs w:val="11"/>
                <w:color w:val="auto"/>
              </w:rPr>
            </w:pPr>
          </w:p>
        </w:tc>
        <w:tc>
          <w:tcPr>
            <w:tcW w:w="760" w:type="dxa"/>
            <w:vAlign w:val="bottom"/>
            <w:shd w:val="clear" w:color="auto" w:fill="C00000"/>
          </w:tcPr>
          <w:p>
            <w:pPr>
              <w:jc w:val="center"/>
              <w:ind w:right="114"/>
              <w:spacing w:after="0" w:line="135" w:lineRule="exact"/>
              <w:rPr>
                <w:sz w:val="20"/>
                <w:szCs w:val="20"/>
                <w:color w:val="auto"/>
              </w:rPr>
            </w:pPr>
            <w:r>
              <w:rPr>
                <w:rFonts w:ascii="Arial" w:cs="Arial" w:eastAsia="Arial" w:hAnsi="Arial"/>
                <w:sz w:val="12"/>
                <w:szCs w:val="12"/>
                <w:b w:val="1"/>
                <w:bCs w:val="1"/>
                <w:color w:val="FFFFFF"/>
                <w:w w:val="99"/>
              </w:rPr>
              <w:t>Awards</w:t>
            </w:r>
            <w:r>
              <w:rPr>
                <w:rFonts w:ascii="Arial" w:cs="Arial" w:eastAsia="Arial" w:hAnsi="Arial"/>
                <w:sz w:val="9"/>
                <w:szCs w:val="9"/>
                <w:b w:val="1"/>
                <w:bCs w:val="1"/>
                <w:color w:val="FFFFFF"/>
                <w:w w:val="99"/>
              </w:rPr>
              <w:t>(2)</w:t>
            </w:r>
          </w:p>
        </w:tc>
        <w:tc>
          <w:tcPr>
            <w:tcW w:w="200" w:type="dxa"/>
            <w:vAlign w:val="bottom"/>
            <w:shd w:val="clear" w:color="auto" w:fill="C00000"/>
          </w:tcPr>
          <w:p>
            <w:pPr>
              <w:spacing w:after="0"/>
              <w:rPr>
                <w:sz w:val="11"/>
                <w:szCs w:val="11"/>
                <w:color w:val="auto"/>
              </w:rPr>
            </w:pPr>
          </w:p>
        </w:tc>
        <w:tc>
          <w:tcPr>
            <w:tcW w:w="760" w:type="dxa"/>
            <w:vAlign w:val="bottom"/>
            <w:shd w:val="clear" w:color="auto" w:fill="C00000"/>
          </w:tcPr>
          <w:p>
            <w:pPr>
              <w:jc w:val="center"/>
              <w:ind w:right="114"/>
              <w:spacing w:after="0" w:line="135" w:lineRule="exact"/>
              <w:rPr>
                <w:sz w:val="20"/>
                <w:szCs w:val="20"/>
                <w:color w:val="auto"/>
              </w:rPr>
            </w:pPr>
            <w:r>
              <w:rPr>
                <w:rFonts w:ascii="Arial" w:cs="Arial" w:eastAsia="Arial" w:hAnsi="Arial"/>
                <w:sz w:val="12"/>
                <w:szCs w:val="12"/>
                <w:b w:val="1"/>
                <w:bCs w:val="1"/>
                <w:color w:val="FFFFFF"/>
                <w:w w:val="99"/>
              </w:rPr>
              <w:t>Awards</w:t>
            </w:r>
            <w:r>
              <w:rPr>
                <w:rFonts w:ascii="Arial" w:cs="Arial" w:eastAsia="Arial" w:hAnsi="Arial"/>
                <w:sz w:val="9"/>
                <w:szCs w:val="9"/>
                <w:b w:val="1"/>
                <w:bCs w:val="1"/>
                <w:color w:val="FFFFFF"/>
                <w:w w:val="99"/>
              </w:rPr>
              <w:t>(3)</w:t>
            </w:r>
          </w:p>
        </w:tc>
        <w:tc>
          <w:tcPr>
            <w:tcW w:w="1180" w:type="dxa"/>
            <w:vAlign w:val="bottom"/>
            <w:gridSpan w:val="2"/>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9"/>
              </w:rPr>
              <w:t>Compensation</w:t>
            </w:r>
            <w:r>
              <w:rPr>
                <w:rFonts w:ascii="Arial" w:cs="Arial" w:eastAsia="Arial" w:hAnsi="Arial"/>
                <w:sz w:val="9"/>
                <w:szCs w:val="9"/>
                <w:b w:val="1"/>
                <w:bCs w:val="1"/>
                <w:color w:val="FFFFFF"/>
                <w:w w:val="99"/>
              </w:rPr>
              <w:t>(4)</w:t>
            </w:r>
          </w:p>
        </w:tc>
        <w:tc>
          <w:tcPr>
            <w:tcW w:w="1180" w:type="dxa"/>
            <w:vAlign w:val="bottom"/>
            <w:gridSpan w:val="2"/>
            <w:shd w:val="clear" w:color="auto" w:fill="C00000"/>
          </w:tcPr>
          <w:p>
            <w:pPr>
              <w:jc w:val="center"/>
              <w:spacing w:after="0" w:line="135" w:lineRule="exact"/>
              <w:rPr>
                <w:sz w:val="20"/>
                <w:szCs w:val="20"/>
                <w:color w:val="auto"/>
              </w:rPr>
            </w:pPr>
            <w:r>
              <w:rPr>
                <w:rFonts w:ascii="Arial" w:cs="Arial" w:eastAsia="Arial" w:hAnsi="Arial"/>
                <w:sz w:val="12"/>
                <w:szCs w:val="12"/>
                <w:b w:val="1"/>
                <w:bCs w:val="1"/>
                <w:color w:val="FFFFFF"/>
                <w:w w:val="99"/>
              </w:rPr>
              <w:t>Compensation</w:t>
            </w:r>
            <w:r>
              <w:rPr>
                <w:rFonts w:ascii="Arial" w:cs="Arial" w:eastAsia="Arial" w:hAnsi="Arial"/>
                <w:sz w:val="9"/>
                <w:szCs w:val="9"/>
                <w:b w:val="1"/>
                <w:bCs w:val="1"/>
                <w:color w:val="FFFFFF"/>
                <w:w w:val="99"/>
              </w:rPr>
              <w:t>(5)</w:t>
            </w:r>
          </w:p>
        </w:tc>
        <w:tc>
          <w:tcPr>
            <w:tcW w:w="880" w:type="dxa"/>
            <w:vAlign w:val="bottom"/>
            <w:shd w:val="clear" w:color="auto" w:fill="C00000"/>
          </w:tcPr>
          <w:p>
            <w:pPr>
              <w:ind w:left="340"/>
              <w:spacing w:after="0" w:line="135" w:lineRule="exact"/>
              <w:rPr>
                <w:sz w:val="20"/>
                <w:szCs w:val="20"/>
                <w:color w:val="auto"/>
              </w:rPr>
            </w:pPr>
            <w:r>
              <w:rPr>
                <w:rFonts w:ascii="Arial" w:cs="Arial" w:eastAsia="Arial" w:hAnsi="Arial"/>
                <w:sz w:val="12"/>
                <w:szCs w:val="12"/>
                <w:b w:val="1"/>
                <w:bCs w:val="1"/>
                <w:color w:val="FFFFFF"/>
              </w:rPr>
              <w:t>Total</w:t>
            </w:r>
          </w:p>
        </w:tc>
      </w:tr>
      <w:tr>
        <w:trPr>
          <w:trHeight w:val="160"/>
        </w:trPr>
        <w:tc>
          <w:tcPr>
            <w:tcW w:w="4120" w:type="dxa"/>
            <w:vAlign w:val="bottom"/>
            <w:shd w:val="clear" w:color="auto" w:fill="C00000"/>
          </w:tcPr>
          <w:p>
            <w:pPr>
              <w:ind w:left="80"/>
              <w:spacing w:after="0"/>
              <w:rPr>
                <w:sz w:val="20"/>
                <w:szCs w:val="20"/>
                <w:color w:val="auto"/>
              </w:rPr>
            </w:pPr>
            <w:r>
              <w:rPr>
                <w:rFonts w:ascii="Arial" w:cs="Arial" w:eastAsia="Arial" w:hAnsi="Arial"/>
                <w:sz w:val="12"/>
                <w:szCs w:val="12"/>
                <w:b w:val="1"/>
                <w:bCs w:val="1"/>
                <w:color w:val="FFFFFF"/>
              </w:rPr>
              <w:t>Principal Position</w:t>
            </w:r>
          </w:p>
        </w:tc>
        <w:tc>
          <w:tcPr>
            <w:tcW w:w="520" w:type="dxa"/>
            <w:vAlign w:val="bottom"/>
            <w:shd w:val="clear" w:color="auto" w:fill="C00000"/>
          </w:tcPr>
          <w:p>
            <w:pPr>
              <w:jc w:val="center"/>
              <w:ind w:left="114"/>
              <w:spacing w:after="0"/>
              <w:rPr>
                <w:sz w:val="20"/>
                <w:szCs w:val="20"/>
                <w:color w:val="auto"/>
              </w:rPr>
            </w:pPr>
            <w:r>
              <w:rPr>
                <w:rFonts w:ascii="Arial" w:cs="Arial" w:eastAsia="Arial" w:hAnsi="Arial"/>
                <w:sz w:val="12"/>
                <w:szCs w:val="12"/>
                <w:b w:val="1"/>
                <w:bCs w:val="1"/>
                <w:color w:val="FFFFFF"/>
                <w:w w:val="99"/>
              </w:rPr>
              <w:t>Year</w:t>
            </w:r>
          </w:p>
        </w:tc>
        <w:tc>
          <w:tcPr>
            <w:tcW w:w="92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700" w:type="dxa"/>
            <w:vAlign w:val="bottom"/>
            <w:shd w:val="clear" w:color="auto" w:fill="C00000"/>
          </w:tcPr>
          <w:p>
            <w:pPr>
              <w:jc w:val="right"/>
              <w:ind w:right="214"/>
              <w:spacing w:after="0"/>
              <w:rPr>
                <w:sz w:val="20"/>
                <w:szCs w:val="20"/>
                <w:color w:val="auto"/>
              </w:rPr>
            </w:pPr>
            <w:r>
              <w:rPr>
                <w:rFonts w:ascii="Arial" w:cs="Arial" w:eastAsia="Arial" w:hAnsi="Arial"/>
                <w:sz w:val="12"/>
                <w:szCs w:val="12"/>
                <w:b w:val="1"/>
                <w:bCs w:val="1"/>
                <w:color w:val="FFFFFF"/>
              </w:rPr>
              <w:t>($)</w:t>
            </w:r>
          </w:p>
        </w:tc>
        <w:tc>
          <w:tcPr>
            <w:tcW w:w="200" w:type="dxa"/>
            <w:vAlign w:val="bottom"/>
            <w:shd w:val="clear" w:color="auto" w:fill="C00000"/>
          </w:tcPr>
          <w:p>
            <w:pPr>
              <w:spacing w:after="0"/>
              <w:rPr>
                <w:sz w:val="13"/>
                <w:szCs w:val="13"/>
                <w:color w:val="auto"/>
              </w:rPr>
            </w:pPr>
          </w:p>
        </w:tc>
        <w:tc>
          <w:tcPr>
            <w:tcW w:w="760" w:type="dxa"/>
            <w:vAlign w:val="bottom"/>
            <w:shd w:val="clear" w:color="auto" w:fill="C00000"/>
          </w:tcPr>
          <w:p>
            <w:pPr>
              <w:jc w:val="center"/>
              <w:ind w:right="114"/>
              <w:spacing w:after="0"/>
              <w:rPr>
                <w:sz w:val="20"/>
                <w:szCs w:val="20"/>
                <w:color w:val="auto"/>
              </w:rPr>
            </w:pPr>
            <w:r>
              <w:rPr>
                <w:rFonts w:ascii="Arial" w:cs="Arial" w:eastAsia="Arial" w:hAnsi="Arial"/>
                <w:sz w:val="12"/>
                <w:szCs w:val="12"/>
                <w:b w:val="1"/>
                <w:bCs w:val="1"/>
                <w:color w:val="FFFFFF"/>
                <w:w w:val="95"/>
              </w:rPr>
              <w:t>($)</w:t>
            </w:r>
          </w:p>
        </w:tc>
        <w:tc>
          <w:tcPr>
            <w:tcW w:w="200" w:type="dxa"/>
            <w:vAlign w:val="bottom"/>
            <w:shd w:val="clear" w:color="auto" w:fill="C00000"/>
          </w:tcPr>
          <w:p>
            <w:pPr>
              <w:spacing w:after="0"/>
              <w:rPr>
                <w:sz w:val="13"/>
                <w:szCs w:val="13"/>
                <w:color w:val="auto"/>
              </w:rPr>
            </w:pPr>
          </w:p>
        </w:tc>
        <w:tc>
          <w:tcPr>
            <w:tcW w:w="760" w:type="dxa"/>
            <w:vAlign w:val="bottom"/>
            <w:shd w:val="clear" w:color="auto" w:fill="C00000"/>
          </w:tcPr>
          <w:p>
            <w:pPr>
              <w:jc w:val="center"/>
              <w:ind w:right="114"/>
              <w:spacing w:after="0"/>
              <w:rPr>
                <w:sz w:val="20"/>
                <w:szCs w:val="20"/>
                <w:color w:val="auto"/>
              </w:rPr>
            </w:pPr>
            <w:r>
              <w:rPr>
                <w:rFonts w:ascii="Arial" w:cs="Arial" w:eastAsia="Arial" w:hAnsi="Arial"/>
                <w:sz w:val="12"/>
                <w:szCs w:val="12"/>
                <w:b w:val="1"/>
                <w:bCs w:val="1"/>
                <w:color w:val="FFFFFF"/>
                <w:w w:val="95"/>
              </w:rPr>
              <w:t>($)</w:t>
            </w:r>
          </w:p>
        </w:tc>
        <w:tc>
          <w:tcPr>
            <w:tcW w:w="480" w:type="dxa"/>
            <w:vAlign w:val="bottom"/>
            <w:shd w:val="clear" w:color="auto" w:fill="C00000"/>
          </w:tcPr>
          <w:p>
            <w:pPr>
              <w:spacing w:after="0"/>
              <w:rPr>
                <w:sz w:val="13"/>
                <w:szCs w:val="13"/>
                <w:color w:val="auto"/>
              </w:rPr>
            </w:pPr>
          </w:p>
        </w:tc>
        <w:tc>
          <w:tcPr>
            <w:tcW w:w="700" w:type="dxa"/>
            <w:vAlign w:val="bottom"/>
            <w:shd w:val="clear" w:color="auto" w:fill="C00000"/>
          </w:tcPr>
          <w:p>
            <w:pPr>
              <w:jc w:val="center"/>
              <w:ind w:right="413"/>
              <w:spacing w:after="0"/>
              <w:rPr>
                <w:sz w:val="20"/>
                <w:szCs w:val="20"/>
                <w:color w:val="auto"/>
              </w:rPr>
            </w:pPr>
            <w:r>
              <w:rPr>
                <w:rFonts w:ascii="Arial" w:cs="Arial" w:eastAsia="Arial" w:hAnsi="Arial"/>
                <w:sz w:val="12"/>
                <w:szCs w:val="12"/>
                <w:b w:val="1"/>
                <w:bCs w:val="1"/>
                <w:color w:val="FFFFFF"/>
                <w:w w:val="95"/>
              </w:rPr>
              <w:t>($)</w:t>
            </w:r>
          </w:p>
        </w:tc>
        <w:tc>
          <w:tcPr>
            <w:tcW w:w="1180" w:type="dxa"/>
            <w:vAlign w:val="bottom"/>
            <w:gridSpan w:val="2"/>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c>
          <w:tcPr>
            <w:tcW w:w="880" w:type="dxa"/>
            <w:vAlign w:val="bottom"/>
            <w:shd w:val="clear" w:color="auto" w:fill="C00000"/>
          </w:tcPr>
          <w:p>
            <w:pPr>
              <w:jc w:val="center"/>
              <w:spacing w:after="0"/>
              <w:rPr>
                <w:sz w:val="20"/>
                <w:szCs w:val="20"/>
                <w:color w:val="auto"/>
              </w:rPr>
            </w:pPr>
            <w:r>
              <w:rPr>
                <w:rFonts w:ascii="Arial" w:cs="Arial" w:eastAsia="Arial" w:hAnsi="Arial"/>
                <w:sz w:val="12"/>
                <w:szCs w:val="12"/>
                <w:b w:val="1"/>
                <w:bCs w:val="1"/>
                <w:color w:val="FFFFFF"/>
                <w:w w:val="95"/>
              </w:rPr>
              <w:t>($)</w:t>
            </w:r>
          </w:p>
        </w:tc>
      </w:tr>
      <w:tr>
        <w:trPr>
          <w:trHeight w:val="148"/>
        </w:trPr>
        <w:tc>
          <w:tcPr>
            <w:tcW w:w="4120" w:type="dxa"/>
            <w:vAlign w:val="bottom"/>
          </w:tcPr>
          <w:p>
            <w:pPr>
              <w:spacing w:after="0" w:line="148" w:lineRule="exact"/>
              <w:rPr>
                <w:sz w:val="20"/>
                <w:szCs w:val="20"/>
                <w:color w:val="auto"/>
              </w:rPr>
            </w:pPr>
            <w:r>
              <w:rPr>
                <w:rFonts w:ascii="Arial" w:cs="Arial" w:eastAsia="Arial" w:hAnsi="Arial"/>
                <w:sz w:val="14"/>
                <w:szCs w:val="14"/>
                <w:color w:val="auto"/>
              </w:rPr>
              <w:t>Richard M. Olson,</w:t>
            </w:r>
          </w:p>
        </w:tc>
        <w:tc>
          <w:tcPr>
            <w:tcW w:w="520" w:type="dxa"/>
            <w:vAlign w:val="bottom"/>
          </w:tcPr>
          <w:p>
            <w:pPr>
              <w:jc w:val="center"/>
              <w:ind w:left="114"/>
              <w:spacing w:after="0" w:line="148" w:lineRule="exact"/>
              <w:rPr>
                <w:sz w:val="20"/>
                <w:szCs w:val="20"/>
                <w:color w:val="auto"/>
              </w:rPr>
            </w:pPr>
            <w:r>
              <w:rPr>
                <w:rFonts w:ascii="Arial" w:cs="Arial" w:eastAsia="Arial" w:hAnsi="Arial"/>
                <w:sz w:val="14"/>
                <w:szCs w:val="14"/>
                <w:color w:val="auto"/>
                <w:w w:val="96"/>
              </w:rPr>
              <w:t>2017</w:t>
            </w:r>
          </w:p>
        </w:tc>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9"/>
              </w:rPr>
              <w:t>$ 775,000</w:t>
            </w:r>
          </w:p>
        </w:tc>
        <w:tc>
          <w:tcPr>
            <w:tcW w:w="7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1,553,820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1,586,826</w:t>
            </w: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line="148" w:lineRule="exact"/>
              <w:rPr>
                <w:sz w:val="20"/>
                <w:szCs w:val="20"/>
                <w:color w:val="auto"/>
              </w:rPr>
            </w:pPr>
            <w:r>
              <w:rPr>
                <w:rFonts w:ascii="Arial" w:cs="Arial" w:eastAsia="Arial" w:hAnsi="Arial"/>
                <w:sz w:val="14"/>
                <w:szCs w:val="14"/>
                <w:color w:val="auto"/>
              </w:rPr>
              <w:t>991,535</w:t>
            </w:r>
          </w:p>
        </w:tc>
        <w:tc>
          <w:tcPr>
            <w:tcW w:w="1180" w:type="dxa"/>
            <w:vAlign w:val="bottom"/>
            <w:gridSpan w:val="2"/>
          </w:tcPr>
          <w:p>
            <w:pPr>
              <w:jc w:val="right"/>
              <w:ind w:right="52"/>
              <w:spacing w:after="0" w:line="148" w:lineRule="exact"/>
              <w:rPr>
                <w:sz w:val="20"/>
                <w:szCs w:val="20"/>
                <w:color w:val="auto"/>
              </w:rPr>
            </w:pPr>
            <w:r>
              <w:rPr>
                <w:rFonts w:ascii="Arial" w:cs="Arial" w:eastAsia="Arial" w:hAnsi="Arial"/>
                <w:sz w:val="14"/>
                <w:szCs w:val="14"/>
                <w:color w:val="auto"/>
              </w:rPr>
              <w:t>$ 159,528</w:t>
            </w:r>
          </w:p>
        </w:tc>
        <w:tc>
          <w:tcPr>
            <w:tcW w:w="88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7"/>
              </w:rPr>
              <w:t>$ 5,066,709</w:t>
            </w:r>
          </w:p>
        </w:tc>
      </w:tr>
      <w:tr>
        <w:trPr>
          <w:trHeight w:val="149"/>
        </w:trPr>
        <w:tc>
          <w:tcPr>
            <w:tcW w:w="4120" w:type="dxa"/>
            <w:vAlign w:val="bottom"/>
          </w:tcPr>
          <w:p>
            <w:pPr>
              <w:ind w:left="140"/>
              <w:spacing w:after="0" w:line="149" w:lineRule="exact"/>
              <w:rPr>
                <w:sz w:val="20"/>
                <w:szCs w:val="20"/>
                <w:color w:val="auto"/>
              </w:rPr>
            </w:pPr>
            <w:r>
              <w:rPr>
                <w:rFonts w:ascii="Arial" w:cs="Arial" w:eastAsia="Arial" w:hAnsi="Arial"/>
                <w:sz w:val="14"/>
                <w:szCs w:val="14"/>
                <w:color w:val="auto"/>
              </w:rPr>
              <w:t>Chairman of the Board, President and CEO</w:t>
            </w:r>
            <w:r>
              <w:rPr>
                <w:rFonts w:ascii="Arial" w:cs="Arial" w:eastAsia="Arial" w:hAnsi="Arial"/>
                <w:sz w:val="11"/>
                <w:szCs w:val="11"/>
                <w:color w:val="auto"/>
              </w:rPr>
              <w:t>(6)</w:t>
            </w:r>
          </w:p>
        </w:tc>
        <w:tc>
          <w:tcPr>
            <w:tcW w:w="52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6"/>
              </w:rPr>
              <w:t>2016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$ 500,000</w:t>
            </w:r>
          </w:p>
        </w:tc>
        <w:tc>
          <w:tcPr>
            <w:tcW w:w="7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489,951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412,032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330,840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97,589</w:t>
            </w:r>
          </w:p>
        </w:tc>
        <w:tc>
          <w:tcPr>
            <w:tcW w:w="88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7"/>
              </w:rPr>
              <w:t>$ 1,830,412</w:t>
            </w:r>
          </w:p>
        </w:tc>
      </w:tr>
      <w:tr>
        <w:trPr>
          <w:trHeight w:val="148"/>
        </w:trPr>
        <w:tc>
          <w:tcPr>
            <w:tcW w:w="4120" w:type="dxa"/>
            <w:vAlign w:val="bottom"/>
            <w:shd w:val="clear" w:color="auto" w:fill="D9D9D9"/>
          </w:tcPr>
          <w:p>
            <w:pPr>
              <w:spacing w:after="0" w:line="148" w:lineRule="exact"/>
              <w:rPr>
                <w:sz w:val="20"/>
                <w:szCs w:val="20"/>
                <w:color w:val="auto"/>
              </w:rPr>
            </w:pPr>
            <w:r>
              <w:rPr>
                <w:rFonts w:ascii="Arial" w:cs="Arial" w:eastAsia="Arial" w:hAnsi="Arial"/>
                <w:sz w:val="14"/>
                <w:szCs w:val="14"/>
                <w:color w:val="auto"/>
              </w:rPr>
              <w:t>Renee J. Peterson,</w:t>
            </w:r>
          </w:p>
        </w:tc>
        <w:tc>
          <w:tcPr>
            <w:tcW w:w="520" w:type="dxa"/>
            <w:vAlign w:val="bottom"/>
            <w:shd w:val="clear" w:color="auto" w:fill="D9D9D9"/>
          </w:tcPr>
          <w:p>
            <w:pPr>
              <w:jc w:val="center"/>
              <w:ind w:left="114"/>
              <w:spacing w:after="0" w:line="148" w:lineRule="exact"/>
              <w:rPr>
                <w:sz w:val="20"/>
                <w:szCs w:val="20"/>
                <w:color w:val="auto"/>
              </w:rPr>
            </w:pPr>
            <w:r>
              <w:rPr>
                <w:rFonts w:ascii="Arial" w:cs="Arial" w:eastAsia="Arial" w:hAnsi="Arial"/>
                <w:sz w:val="14"/>
                <w:szCs w:val="14"/>
                <w:color w:val="auto"/>
                <w:w w:val="96"/>
              </w:rPr>
              <w:t>2017</w:t>
            </w:r>
          </w:p>
        </w:tc>
        <w:tc>
          <w:tcPr>
            <w:tcW w:w="920" w:type="dxa"/>
            <w:vAlign w:val="bottom"/>
            <w:shd w:val="clear" w:color="auto" w:fill="D9D9D9"/>
          </w:tcPr>
          <w:p>
            <w:pPr>
              <w:jc w:val="center"/>
              <w:spacing w:after="0" w:line="148" w:lineRule="exact"/>
              <w:rPr>
                <w:sz w:val="20"/>
                <w:szCs w:val="20"/>
                <w:color w:val="auto"/>
              </w:rPr>
            </w:pPr>
            <w:r>
              <w:rPr>
                <w:rFonts w:ascii="Arial" w:cs="Arial" w:eastAsia="Arial" w:hAnsi="Arial"/>
                <w:sz w:val="14"/>
                <w:szCs w:val="14"/>
                <w:color w:val="auto"/>
                <w:w w:val="99"/>
              </w:rPr>
              <w:t>$ 505,000</w:t>
            </w:r>
          </w:p>
        </w:tc>
        <w:tc>
          <w:tcPr>
            <w:tcW w:w="70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474,324</w:t>
            </w:r>
          </w:p>
        </w:tc>
        <w:tc>
          <w:tcPr>
            <w:tcW w:w="20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482,427</w:t>
            </w:r>
          </w:p>
        </w:tc>
        <w:tc>
          <w:tcPr>
            <w:tcW w:w="48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8" w:lineRule="exact"/>
              <w:rPr>
                <w:sz w:val="20"/>
                <w:szCs w:val="20"/>
                <w:color w:val="auto"/>
              </w:rPr>
            </w:pPr>
            <w:r>
              <w:rPr>
                <w:rFonts w:ascii="Arial" w:cs="Arial" w:eastAsia="Arial" w:hAnsi="Arial"/>
                <w:sz w:val="14"/>
                <w:szCs w:val="14"/>
                <w:color w:val="auto"/>
              </w:rPr>
              <w:t>484,573</w:t>
            </w:r>
          </w:p>
        </w:tc>
        <w:tc>
          <w:tcPr>
            <w:tcW w:w="1180" w:type="dxa"/>
            <w:vAlign w:val="bottom"/>
            <w:gridSpan w:val="2"/>
            <w:shd w:val="clear" w:color="auto" w:fill="D9D9D9"/>
          </w:tcPr>
          <w:p>
            <w:pPr>
              <w:jc w:val="right"/>
              <w:ind w:right="52"/>
              <w:spacing w:after="0" w:line="148" w:lineRule="exact"/>
              <w:rPr>
                <w:sz w:val="20"/>
                <w:szCs w:val="20"/>
                <w:color w:val="auto"/>
              </w:rPr>
            </w:pPr>
            <w:r>
              <w:rPr>
                <w:rFonts w:ascii="Arial" w:cs="Arial" w:eastAsia="Arial" w:hAnsi="Arial"/>
                <w:sz w:val="14"/>
                <w:szCs w:val="14"/>
                <w:color w:val="auto"/>
              </w:rPr>
              <w:t>$ 125,644</w:t>
            </w:r>
          </w:p>
        </w:tc>
        <w:tc>
          <w:tcPr>
            <w:tcW w:w="880" w:type="dxa"/>
            <w:vAlign w:val="bottom"/>
            <w:shd w:val="clear" w:color="auto" w:fill="D9D9D9"/>
          </w:tcPr>
          <w:p>
            <w:pPr>
              <w:jc w:val="center"/>
              <w:ind w:left="14"/>
              <w:spacing w:after="0" w:line="148" w:lineRule="exact"/>
              <w:rPr>
                <w:sz w:val="20"/>
                <w:szCs w:val="20"/>
                <w:color w:val="auto"/>
              </w:rPr>
            </w:pPr>
            <w:r>
              <w:rPr>
                <w:rFonts w:ascii="Arial" w:cs="Arial" w:eastAsia="Arial" w:hAnsi="Arial"/>
                <w:sz w:val="14"/>
                <w:szCs w:val="14"/>
                <w:color w:val="auto"/>
                <w:w w:val="97"/>
              </w:rPr>
              <w:t>$ 2,071,968</w:t>
            </w:r>
          </w:p>
        </w:tc>
      </w:tr>
      <w:tr>
        <w:trPr>
          <w:trHeight w:val="149"/>
        </w:trPr>
        <w:tc>
          <w:tcPr>
            <w:tcW w:w="41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VP, Treasurer and CFO</w:t>
            </w:r>
          </w:p>
        </w:tc>
        <w:tc>
          <w:tcPr>
            <w:tcW w:w="520" w:type="dxa"/>
            <w:vAlign w:val="bottom"/>
            <w:shd w:val="clear" w:color="auto" w:fill="D9D9D9"/>
          </w:tcPr>
          <w:p>
            <w:pPr>
              <w:jc w:val="center"/>
              <w:ind w:left="114"/>
              <w:spacing w:after="0" w:line="149" w:lineRule="exact"/>
              <w:rPr>
                <w:sz w:val="20"/>
                <w:szCs w:val="20"/>
                <w:color w:val="auto"/>
              </w:rPr>
            </w:pPr>
            <w:r>
              <w:rPr>
                <w:rFonts w:ascii="Arial" w:cs="Arial" w:eastAsia="Arial" w:hAnsi="Arial"/>
                <w:sz w:val="14"/>
                <w:szCs w:val="14"/>
                <w:color w:val="auto"/>
                <w:w w:val="96"/>
              </w:rPr>
              <w:t>2016</w:t>
            </w:r>
          </w:p>
        </w:tc>
        <w:tc>
          <w:tcPr>
            <w:tcW w:w="92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color w:val="auto"/>
                <w:w w:val="99"/>
              </w:rPr>
              <w:t>$ 485,000</w:t>
            </w:r>
          </w:p>
        </w:tc>
        <w:tc>
          <w:tcPr>
            <w:tcW w:w="70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435,512</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365,632</w:t>
            </w: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9" w:lineRule="exact"/>
              <w:rPr>
                <w:sz w:val="20"/>
                <w:szCs w:val="20"/>
                <w:color w:val="auto"/>
              </w:rPr>
            </w:pPr>
            <w:r>
              <w:rPr>
                <w:rFonts w:ascii="Arial" w:cs="Arial" w:eastAsia="Arial" w:hAnsi="Arial"/>
                <w:sz w:val="14"/>
                <w:szCs w:val="14"/>
                <w:color w:val="auto"/>
              </w:rPr>
              <w:t>300,858</w:t>
            </w: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ind w:right="52"/>
              <w:spacing w:after="0" w:line="149" w:lineRule="exact"/>
              <w:rPr>
                <w:sz w:val="20"/>
                <w:szCs w:val="20"/>
                <w:color w:val="auto"/>
              </w:rPr>
            </w:pPr>
            <w:r>
              <w:rPr>
                <w:rFonts w:ascii="Arial" w:cs="Arial" w:eastAsia="Arial" w:hAnsi="Arial"/>
                <w:sz w:val="14"/>
                <w:szCs w:val="14"/>
                <w:color w:val="auto"/>
              </w:rPr>
              <w:t>97,709</w:t>
            </w:r>
          </w:p>
        </w:tc>
        <w:tc>
          <w:tcPr>
            <w:tcW w:w="880" w:type="dxa"/>
            <w:vAlign w:val="bottom"/>
            <w:shd w:val="clear" w:color="auto" w:fill="D9D9D9"/>
          </w:tcPr>
          <w:p>
            <w:pPr>
              <w:jc w:val="center"/>
              <w:ind w:left="14"/>
              <w:spacing w:after="0" w:line="149" w:lineRule="exact"/>
              <w:rPr>
                <w:sz w:val="20"/>
                <w:szCs w:val="20"/>
                <w:color w:val="auto"/>
              </w:rPr>
            </w:pPr>
            <w:r>
              <w:rPr>
                <w:rFonts w:ascii="Arial" w:cs="Arial" w:eastAsia="Arial" w:hAnsi="Arial"/>
                <w:sz w:val="14"/>
                <w:szCs w:val="14"/>
                <w:color w:val="auto"/>
                <w:w w:val="97"/>
              </w:rPr>
              <w:t>$ 1,684,711</w:t>
            </w:r>
          </w:p>
        </w:tc>
      </w:tr>
      <w:tr>
        <w:trPr>
          <w:trHeight w:val="149"/>
        </w:trPr>
        <w:tc>
          <w:tcPr>
            <w:tcW w:w="4120" w:type="dxa"/>
            <w:vAlign w:val="bottom"/>
            <w:shd w:val="clear" w:color="auto" w:fill="D9D9D9"/>
          </w:tcPr>
          <w:p>
            <w:pPr>
              <w:spacing w:after="0"/>
              <w:rPr>
                <w:sz w:val="12"/>
                <w:szCs w:val="12"/>
                <w:color w:val="auto"/>
              </w:rPr>
            </w:pPr>
          </w:p>
        </w:tc>
        <w:tc>
          <w:tcPr>
            <w:tcW w:w="520" w:type="dxa"/>
            <w:vAlign w:val="bottom"/>
            <w:shd w:val="clear" w:color="auto" w:fill="D9D9D9"/>
          </w:tcPr>
          <w:p>
            <w:pPr>
              <w:jc w:val="center"/>
              <w:ind w:left="114"/>
              <w:spacing w:after="0" w:line="149" w:lineRule="exact"/>
              <w:rPr>
                <w:sz w:val="20"/>
                <w:szCs w:val="20"/>
                <w:color w:val="auto"/>
              </w:rPr>
            </w:pPr>
            <w:r>
              <w:rPr>
                <w:rFonts w:ascii="Arial" w:cs="Arial" w:eastAsia="Arial" w:hAnsi="Arial"/>
                <w:sz w:val="14"/>
                <w:szCs w:val="14"/>
                <w:color w:val="auto"/>
                <w:w w:val="96"/>
              </w:rPr>
              <w:t>2015</w:t>
            </w:r>
          </w:p>
        </w:tc>
        <w:tc>
          <w:tcPr>
            <w:tcW w:w="92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color w:val="auto"/>
                <w:w w:val="99"/>
              </w:rPr>
              <w:t>$ 475,000</w:t>
            </w:r>
          </w:p>
        </w:tc>
        <w:tc>
          <w:tcPr>
            <w:tcW w:w="70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394,080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338,960</w:t>
            </w: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9" w:lineRule="exact"/>
              <w:rPr>
                <w:sz w:val="20"/>
                <w:szCs w:val="20"/>
                <w:color w:val="auto"/>
              </w:rPr>
            </w:pPr>
            <w:r>
              <w:rPr>
                <w:rFonts w:ascii="Arial" w:cs="Arial" w:eastAsia="Arial" w:hAnsi="Arial"/>
                <w:sz w:val="14"/>
                <w:szCs w:val="14"/>
                <w:color w:val="auto"/>
              </w:rPr>
              <w:t>376,943</w:t>
            </w:r>
          </w:p>
        </w:tc>
        <w:tc>
          <w:tcPr>
            <w:tcW w:w="1180" w:type="dxa"/>
            <w:vAlign w:val="bottom"/>
            <w:gridSpan w:val="2"/>
            <w:shd w:val="clear" w:color="auto" w:fill="D9D9D9"/>
          </w:tcPr>
          <w:p>
            <w:pPr>
              <w:jc w:val="right"/>
              <w:ind w:right="52"/>
              <w:spacing w:after="0" w:line="149" w:lineRule="exact"/>
              <w:rPr>
                <w:sz w:val="20"/>
                <w:szCs w:val="20"/>
                <w:color w:val="auto"/>
              </w:rPr>
            </w:pPr>
            <w:r>
              <w:rPr>
                <w:rFonts w:ascii="Arial" w:cs="Arial" w:eastAsia="Arial" w:hAnsi="Arial"/>
                <w:sz w:val="14"/>
                <w:szCs w:val="14"/>
                <w:color w:val="auto"/>
              </w:rPr>
              <w:t>$ 103,435</w:t>
            </w:r>
          </w:p>
        </w:tc>
        <w:tc>
          <w:tcPr>
            <w:tcW w:w="880" w:type="dxa"/>
            <w:vAlign w:val="bottom"/>
            <w:shd w:val="clear" w:color="auto" w:fill="D9D9D9"/>
          </w:tcPr>
          <w:p>
            <w:pPr>
              <w:jc w:val="center"/>
              <w:ind w:left="14"/>
              <w:spacing w:after="0" w:line="149" w:lineRule="exact"/>
              <w:rPr>
                <w:sz w:val="20"/>
                <w:szCs w:val="20"/>
                <w:color w:val="auto"/>
              </w:rPr>
            </w:pPr>
            <w:r>
              <w:rPr>
                <w:rFonts w:ascii="Arial" w:cs="Arial" w:eastAsia="Arial" w:hAnsi="Arial"/>
                <w:sz w:val="14"/>
                <w:szCs w:val="14"/>
                <w:color w:val="auto"/>
                <w:w w:val="97"/>
              </w:rPr>
              <w:t>$ 1,688,418</w:t>
            </w:r>
          </w:p>
        </w:tc>
      </w:tr>
      <w:tr>
        <w:trPr>
          <w:trHeight w:val="148"/>
        </w:trPr>
        <w:tc>
          <w:tcPr>
            <w:tcW w:w="4120" w:type="dxa"/>
            <w:vAlign w:val="bottom"/>
          </w:tcPr>
          <w:p>
            <w:pPr>
              <w:spacing w:after="0" w:line="148" w:lineRule="exact"/>
              <w:rPr>
                <w:sz w:val="20"/>
                <w:szCs w:val="20"/>
                <w:color w:val="auto"/>
              </w:rPr>
            </w:pPr>
            <w:r>
              <w:rPr>
                <w:rFonts w:ascii="Arial" w:cs="Arial" w:eastAsia="Arial" w:hAnsi="Arial"/>
                <w:sz w:val="14"/>
                <w:szCs w:val="14"/>
                <w:color w:val="auto"/>
              </w:rPr>
              <w:t>Michael J. Hoffman,</w:t>
            </w:r>
          </w:p>
        </w:tc>
        <w:tc>
          <w:tcPr>
            <w:tcW w:w="520" w:type="dxa"/>
            <w:vAlign w:val="bottom"/>
          </w:tcPr>
          <w:p>
            <w:pPr>
              <w:jc w:val="center"/>
              <w:ind w:left="114"/>
              <w:spacing w:after="0" w:line="148" w:lineRule="exact"/>
              <w:rPr>
                <w:sz w:val="20"/>
                <w:szCs w:val="20"/>
                <w:color w:val="auto"/>
              </w:rPr>
            </w:pPr>
            <w:r>
              <w:rPr>
                <w:rFonts w:ascii="Arial" w:cs="Arial" w:eastAsia="Arial" w:hAnsi="Arial"/>
                <w:sz w:val="14"/>
                <w:szCs w:val="14"/>
                <w:color w:val="auto"/>
                <w:w w:val="96"/>
              </w:rPr>
              <w:t>2017</w:t>
            </w:r>
          </w:p>
        </w:tc>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9"/>
              </w:rPr>
              <w:t>$ 680,000</w:t>
            </w:r>
          </w:p>
        </w:tc>
        <w:tc>
          <w:tcPr>
            <w:tcW w:w="7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587,418</w:t>
            </w:r>
          </w:p>
        </w:tc>
        <w:tc>
          <w:tcPr>
            <w:tcW w:w="1180" w:type="dxa"/>
            <w:vAlign w:val="bottom"/>
            <w:gridSpan w:val="2"/>
          </w:tcPr>
          <w:p>
            <w:pPr>
              <w:jc w:val="right"/>
              <w:ind w:right="53"/>
              <w:spacing w:after="0" w:line="148" w:lineRule="exact"/>
              <w:rPr>
                <w:sz w:val="20"/>
                <w:szCs w:val="20"/>
                <w:color w:val="auto"/>
              </w:rPr>
            </w:pPr>
            <w:r>
              <w:rPr>
                <w:rFonts w:ascii="Arial" w:cs="Arial" w:eastAsia="Arial" w:hAnsi="Arial"/>
                <w:sz w:val="14"/>
                <w:szCs w:val="14"/>
                <w:color w:val="auto"/>
              </w:rPr>
              <w:t>$ 1,087,490</w:t>
            </w:r>
          </w:p>
        </w:tc>
        <w:tc>
          <w:tcPr>
            <w:tcW w:w="1180" w:type="dxa"/>
            <w:vAlign w:val="bottom"/>
            <w:gridSpan w:val="2"/>
          </w:tcPr>
          <w:p>
            <w:pPr>
              <w:jc w:val="right"/>
              <w:ind w:right="52"/>
              <w:spacing w:after="0" w:line="148" w:lineRule="exact"/>
              <w:rPr>
                <w:sz w:val="20"/>
                <w:szCs w:val="20"/>
                <w:color w:val="auto"/>
              </w:rPr>
            </w:pPr>
            <w:r>
              <w:rPr>
                <w:rFonts w:ascii="Arial" w:cs="Arial" w:eastAsia="Arial" w:hAnsi="Arial"/>
                <w:sz w:val="14"/>
                <w:szCs w:val="14"/>
                <w:color w:val="auto"/>
              </w:rPr>
              <w:t>$ 182,212</w:t>
            </w:r>
          </w:p>
        </w:tc>
        <w:tc>
          <w:tcPr>
            <w:tcW w:w="88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7"/>
              </w:rPr>
              <w:t>$ 2,537,120</w:t>
            </w:r>
          </w:p>
        </w:tc>
      </w:tr>
      <w:tr>
        <w:trPr>
          <w:trHeight w:val="149"/>
        </w:trPr>
        <w:tc>
          <w:tcPr>
            <w:tcW w:w="4120" w:type="dxa"/>
            <w:vAlign w:val="bottom"/>
          </w:tcPr>
          <w:p>
            <w:pPr>
              <w:ind w:left="140"/>
              <w:spacing w:after="0" w:line="149" w:lineRule="exact"/>
              <w:rPr>
                <w:sz w:val="20"/>
                <w:szCs w:val="20"/>
                <w:color w:val="auto"/>
              </w:rPr>
            </w:pPr>
            <w:r>
              <w:rPr>
                <w:rFonts w:ascii="Arial" w:cs="Arial" w:eastAsia="Arial" w:hAnsi="Arial"/>
                <w:sz w:val="14"/>
                <w:szCs w:val="14"/>
                <w:color w:val="auto"/>
              </w:rPr>
              <w:t>Former Executive Chairman of the Board</w:t>
            </w:r>
            <w:r>
              <w:rPr>
                <w:rFonts w:ascii="Arial" w:cs="Arial" w:eastAsia="Arial" w:hAnsi="Arial"/>
                <w:sz w:val="11"/>
                <w:szCs w:val="11"/>
                <w:color w:val="auto"/>
              </w:rPr>
              <w:t>(7)</w:t>
            </w:r>
          </w:p>
        </w:tc>
        <w:tc>
          <w:tcPr>
            <w:tcW w:w="52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6"/>
              </w:rPr>
              <w:t>2016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$ 990,000</w:t>
            </w:r>
          </w:p>
        </w:tc>
        <w:tc>
          <w:tcPr>
            <w:tcW w:w="7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1,524,292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1,280,640</w:t>
            </w:r>
          </w:p>
        </w:tc>
        <w:tc>
          <w:tcPr>
            <w:tcW w:w="11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$ 1,023,536</w:t>
            </w:r>
          </w:p>
        </w:tc>
        <w:tc>
          <w:tcPr>
            <w:tcW w:w="11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$ 205,002</w:t>
            </w:r>
          </w:p>
        </w:tc>
        <w:tc>
          <w:tcPr>
            <w:tcW w:w="88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7"/>
              </w:rPr>
              <w:t>$ 5,023,470</w:t>
            </w:r>
          </w:p>
        </w:tc>
      </w:tr>
      <w:tr>
        <w:trPr>
          <w:trHeight w:val="149"/>
        </w:trPr>
        <w:tc>
          <w:tcPr>
            <w:tcW w:w="4120" w:type="dxa"/>
            <w:vAlign w:val="bottom"/>
          </w:tcPr>
          <w:p>
            <w:pPr>
              <w:spacing w:after="0"/>
              <w:rPr>
                <w:sz w:val="12"/>
                <w:szCs w:val="12"/>
                <w:color w:val="auto"/>
              </w:rPr>
            </w:pPr>
          </w:p>
        </w:tc>
        <w:tc>
          <w:tcPr>
            <w:tcW w:w="52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6"/>
              </w:rPr>
              <w:t>2015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$ 960,000</w:t>
            </w:r>
          </w:p>
        </w:tc>
        <w:tc>
          <w:tcPr>
            <w:tcW w:w="7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1,451,528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1,255,936</w:t>
            </w:r>
          </w:p>
        </w:tc>
        <w:tc>
          <w:tcPr>
            <w:tcW w:w="11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$ 1,305,981</w:t>
            </w:r>
          </w:p>
        </w:tc>
        <w:tc>
          <w:tcPr>
            <w:tcW w:w="11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$ 228,543</w:t>
            </w:r>
          </w:p>
        </w:tc>
        <w:tc>
          <w:tcPr>
            <w:tcW w:w="88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7"/>
              </w:rPr>
              <w:t>$ 5,201,988</w:t>
            </w:r>
          </w:p>
        </w:tc>
      </w:tr>
      <w:tr>
        <w:trPr>
          <w:trHeight w:val="148"/>
        </w:trPr>
        <w:tc>
          <w:tcPr>
            <w:tcW w:w="4120" w:type="dxa"/>
            <w:vAlign w:val="bottom"/>
            <w:shd w:val="clear" w:color="auto" w:fill="D9D9D9"/>
          </w:tcPr>
          <w:p>
            <w:pPr>
              <w:spacing w:after="0" w:line="148" w:lineRule="exact"/>
              <w:rPr>
                <w:sz w:val="20"/>
                <w:szCs w:val="20"/>
                <w:color w:val="auto"/>
              </w:rPr>
            </w:pPr>
            <w:r>
              <w:rPr>
                <w:rFonts w:ascii="Arial" w:cs="Arial" w:eastAsia="Arial" w:hAnsi="Arial"/>
                <w:sz w:val="14"/>
                <w:szCs w:val="14"/>
                <w:color w:val="auto"/>
              </w:rPr>
              <w:t>William E. Brown, Jr.,</w:t>
            </w:r>
          </w:p>
        </w:tc>
        <w:tc>
          <w:tcPr>
            <w:tcW w:w="520" w:type="dxa"/>
            <w:vAlign w:val="bottom"/>
            <w:shd w:val="clear" w:color="auto" w:fill="D9D9D9"/>
          </w:tcPr>
          <w:p>
            <w:pPr>
              <w:jc w:val="center"/>
              <w:ind w:left="114"/>
              <w:spacing w:after="0" w:line="148" w:lineRule="exact"/>
              <w:rPr>
                <w:sz w:val="20"/>
                <w:szCs w:val="20"/>
                <w:color w:val="auto"/>
              </w:rPr>
            </w:pPr>
            <w:r>
              <w:rPr>
                <w:rFonts w:ascii="Arial" w:cs="Arial" w:eastAsia="Arial" w:hAnsi="Arial"/>
                <w:sz w:val="14"/>
                <w:szCs w:val="14"/>
                <w:color w:val="auto"/>
                <w:w w:val="96"/>
              </w:rPr>
              <w:t>2017</w:t>
            </w:r>
          </w:p>
        </w:tc>
        <w:tc>
          <w:tcPr>
            <w:tcW w:w="920" w:type="dxa"/>
            <w:vAlign w:val="bottom"/>
            <w:shd w:val="clear" w:color="auto" w:fill="D9D9D9"/>
          </w:tcPr>
          <w:p>
            <w:pPr>
              <w:jc w:val="center"/>
              <w:spacing w:after="0" w:line="148" w:lineRule="exact"/>
              <w:rPr>
                <w:sz w:val="20"/>
                <w:szCs w:val="20"/>
                <w:color w:val="auto"/>
              </w:rPr>
            </w:pPr>
            <w:r>
              <w:rPr>
                <w:rFonts w:ascii="Arial" w:cs="Arial" w:eastAsia="Arial" w:hAnsi="Arial"/>
                <w:sz w:val="14"/>
                <w:szCs w:val="14"/>
                <w:color w:val="auto"/>
                <w:w w:val="99"/>
              </w:rPr>
              <w:t>$ 432,000</w:t>
            </w:r>
          </w:p>
        </w:tc>
        <w:tc>
          <w:tcPr>
            <w:tcW w:w="70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332,572</w:t>
            </w:r>
          </w:p>
        </w:tc>
        <w:tc>
          <w:tcPr>
            <w:tcW w:w="20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8" w:lineRule="exact"/>
              <w:rPr>
                <w:sz w:val="20"/>
                <w:szCs w:val="20"/>
                <w:color w:val="auto"/>
              </w:rPr>
            </w:pPr>
            <w:r>
              <w:rPr>
                <w:rFonts w:ascii="Arial" w:cs="Arial" w:eastAsia="Arial" w:hAnsi="Arial"/>
                <w:sz w:val="14"/>
                <w:szCs w:val="14"/>
                <w:color w:val="auto"/>
              </w:rPr>
              <w:t>337,566</w:t>
            </w:r>
          </w:p>
        </w:tc>
        <w:tc>
          <w:tcPr>
            <w:tcW w:w="48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8" w:lineRule="exact"/>
              <w:rPr>
                <w:sz w:val="20"/>
                <w:szCs w:val="20"/>
                <w:color w:val="auto"/>
              </w:rPr>
            </w:pPr>
            <w:r>
              <w:rPr>
                <w:rFonts w:ascii="Arial" w:cs="Arial" w:eastAsia="Arial" w:hAnsi="Arial"/>
                <w:sz w:val="14"/>
                <w:szCs w:val="14"/>
                <w:color w:val="auto"/>
              </w:rPr>
              <w:t>359,256</w:t>
            </w:r>
          </w:p>
        </w:tc>
        <w:tc>
          <w:tcPr>
            <w:tcW w:w="600" w:type="dxa"/>
            <w:vAlign w:val="bottom"/>
            <w:shd w:val="clear" w:color="auto" w:fill="D9D9D9"/>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ind w:right="52"/>
              <w:spacing w:after="0" w:line="148" w:lineRule="exact"/>
              <w:rPr>
                <w:sz w:val="20"/>
                <w:szCs w:val="20"/>
                <w:color w:val="auto"/>
              </w:rPr>
            </w:pPr>
            <w:r>
              <w:rPr>
                <w:rFonts w:ascii="Arial" w:cs="Arial" w:eastAsia="Arial" w:hAnsi="Arial"/>
                <w:sz w:val="14"/>
                <w:szCs w:val="14"/>
                <w:color w:val="auto"/>
              </w:rPr>
              <w:t>94,636</w:t>
            </w:r>
          </w:p>
        </w:tc>
        <w:tc>
          <w:tcPr>
            <w:tcW w:w="880" w:type="dxa"/>
            <w:vAlign w:val="bottom"/>
            <w:shd w:val="clear" w:color="auto" w:fill="D9D9D9"/>
          </w:tcPr>
          <w:p>
            <w:pPr>
              <w:jc w:val="center"/>
              <w:ind w:left="14"/>
              <w:spacing w:after="0" w:line="148" w:lineRule="exact"/>
              <w:rPr>
                <w:sz w:val="20"/>
                <w:szCs w:val="20"/>
                <w:color w:val="auto"/>
              </w:rPr>
            </w:pPr>
            <w:r>
              <w:rPr>
                <w:rFonts w:ascii="Arial" w:cs="Arial" w:eastAsia="Arial" w:hAnsi="Arial"/>
                <w:sz w:val="14"/>
                <w:szCs w:val="14"/>
                <w:color w:val="auto"/>
                <w:w w:val="97"/>
              </w:rPr>
              <w:t>$ 1,556,030</w:t>
            </w:r>
          </w:p>
        </w:tc>
      </w:tr>
      <w:tr>
        <w:trPr>
          <w:trHeight w:val="149"/>
        </w:trPr>
        <w:tc>
          <w:tcPr>
            <w:tcW w:w="4120" w:type="dxa"/>
            <w:vAlign w:val="bottom"/>
            <w:shd w:val="clear" w:color="auto" w:fill="D9D9D9"/>
          </w:tcPr>
          <w:p>
            <w:pPr>
              <w:ind w:left="140"/>
              <w:spacing w:after="0" w:line="149" w:lineRule="exact"/>
              <w:rPr>
                <w:sz w:val="20"/>
                <w:szCs w:val="20"/>
                <w:color w:val="auto"/>
              </w:rPr>
            </w:pPr>
            <w:r>
              <w:rPr>
                <w:rFonts w:ascii="Arial" w:cs="Arial" w:eastAsia="Arial" w:hAnsi="Arial"/>
                <w:sz w:val="14"/>
                <w:szCs w:val="14"/>
                <w:color w:val="auto"/>
              </w:rPr>
              <w:t>Group VP, Residential and Contractor Businesses</w:t>
            </w:r>
          </w:p>
        </w:tc>
        <w:tc>
          <w:tcPr>
            <w:tcW w:w="520" w:type="dxa"/>
            <w:vAlign w:val="bottom"/>
            <w:shd w:val="clear" w:color="auto" w:fill="D9D9D9"/>
          </w:tcPr>
          <w:p>
            <w:pPr>
              <w:jc w:val="center"/>
              <w:ind w:left="114"/>
              <w:spacing w:after="0" w:line="149" w:lineRule="exact"/>
              <w:rPr>
                <w:sz w:val="20"/>
                <w:szCs w:val="20"/>
                <w:color w:val="auto"/>
              </w:rPr>
            </w:pPr>
            <w:r>
              <w:rPr>
                <w:rFonts w:ascii="Arial" w:cs="Arial" w:eastAsia="Arial" w:hAnsi="Arial"/>
                <w:sz w:val="14"/>
                <w:szCs w:val="14"/>
                <w:color w:val="auto"/>
                <w:w w:val="96"/>
              </w:rPr>
              <w:t>2016</w:t>
            </w:r>
          </w:p>
        </w:tc>
        <w:tc>
          <w:tcPr>
            <w:tcW w:w="92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color w:val="auto"/>
                <w:w w:val="99"/>
              </w:rPr>
              <w:t>$ 410,000</w:t>
            </w:r>
          </w:p>
        </w:tc>
        <w:tc>
          <w:tcPr>
            <w:tcW w:w="70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272,195</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228,288</w:t>
            </w: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9" w:lineRule="exact"/>
              <w:rPr>
                <w:sz w:val="20"/>
                <w:szCs w:val="20"/>
                <w:color w:val="auto"/>
              </w:rPr>
            </w:pPr>
            <w:r>
              <w:rPr>
                <w:rFonts w:ascii="Arial" w:cs="Arial" w:eastAsia="Arial" w:hAnsi="Arial"/>
                <w:sz w:val="14"/>
                <w:szCs w:val="14"/>
                <w:color w:val="auto"/>
              </w:rPr>
              <w:t>236,974</w:t>
            </w: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ind w:right="52"/>
              <w:spacing w:after="0" w:line="149" w:lineRule="exact"/>
              <w:rPr>
                <w:sz w:val="20"/>
                <w:szCs w:val="20"/>
                <w:color w:val="auto"/>
              </w:rPr>
            </w:pPr>
            <w:r>
              <w:rPr>
                <w:rFonts w:ascii="Arial" w:cs="Arial" w:eastAsia="Arial" w:hAnsi="Arial"/>
                <w:sz w:val="14"/>
                <w:szCs w:val="14"/>
                <w:color w:val="auto"/>
              </w:rPr>
              <w:t>85,149</w:t>
            </w:r>
          </w:p>
        </w:tc>
        <w:tc>
          <w:tcPr>
            <w:tcW w:w="880" w:type="dxa"/>
            <w:vAlign w:val="bottom"/>
            <w:shd w:val="clear" w:color="auto" w:fill="D9D9D9"/>
          </w:tcPr>
          <w:p>
            <w:pPr>
              <w:jc w:val="center"/>
              <w:ind w:left="14"/>
              <w:spacing w:after="0" w:line="149" w:lineRule="exact"/>
              <w:rPr>
                <w:sz w:val="20"/>
                <w:szCs w:val="20"/>
                <w:color w:val="auto"/>
              </w:rPr>
            </w:pPr>
            <w:r>
              <w:rPr>
                <w:rFonts w:ascii="Arial" w:cs="Arial" w:eastAsia="Arial" w:hAnsi="Arial"/>
                <w:sz w:val="14"/>
                <w:szCs w:val="14"/>
                <w:color w:val="auto"/>
                <w:w w:val="97"/>
              </w:rPr>
              <w:t>$ 1,232,606</w:t>
            </w:r>
          </w:p>
        </w:tc>
      </w:tr>
      <w:tr>
        <w:trPr>
          <w:trHeight w:val="149"/>
        </w:trPr>
        <w:tc>
          <w:tcPr>
            <w:tcW w:w="4120" w:type="dxa"/>
            <w:vAlign w:val="bottom"/>
            <w:shd w:val="clear" w:color="auto" w:fill="D9D9D9"/>
          </w:tcPr>
          <w:p>
            <w:pPr>
              <w:spacing w:after="0"/>
              <w:rPr>
                <w:sz w:val="12"/>
                <w:szCs w:val="12"/>
                <w:color w:val="auto"/>
              </w:rPr>
            </w:pPr>
          </w:p>
        </w:tc>
        <w:tc>
          <w:tcPr>
            <w:tcW w:w="520" w:type="dxa"/>
            <w:vAlign w:val="bottom"/>
            <w:shd w:val="clear" w:color="auto" w:fill="D9D9D9"/>
          </w:tcPr>
          <w:p>
            <w:pPr>
              <w:jc w:val="center"/>
              <w:ind w:left="114"/>
              <w:spacing w:after="0" w:line="149" w:lineRule="exact"/>
              <w:rPr>
                <w:sz w:val="20"/>
                <w:szCs w:val="20"/>
                <w:color w:val="auto"/>
              </w:rPr>
            </w:pPr>
            <w:r>
              <w:rPr>
                <w:rFonts w:ascii="Arial" w:cs="Arial" w:eastAsia="Arial" w:hAnsi="Arial"/>
                <w:sz w:val="14"/>
                <w:szCs w:val="14"/>
                <w:color w:val="auto"/>
                <w:w w:val="96"/>
              </w:rPr>
              <w:t>2015</w:t>
            </w:r>
          </w:p>
        </w:tc>
        <w:tc>
          <w:tcPr>
            <w:tcW w:w="920" w:type="dxa"/>
            <w:vAlign w:val="bottom"/>
            <w:shd w:val="clear" w:color="auto" w:fill="D9D9D9"/>
          </w:tcPr>
          <w:p>
            <w:pPr>
              <w:jc w:val="center"/>
              <w:spacing w:after="0" w:line="149" w:lineRule="exact"/>
              <w:rPr>
                <w:sz w:val="20"/>
                <w:szCs w:val="20"/>
                <w:color w:val="auto"/>
              </w:rPr>
            </w:pPr>
            <w:r>
              <w:rPr>
                <w:rFonts w:ascii="Arial" w:cs="Arial" w:eastAsia="Arial" w:hAnsi="Arial"/>
                <w:sz w:val="14"/>
                <w:szCs w:val="14"/>
                <w:color w:val="auto"/>
                <w:w w:val="99"/>
              </w:rPr>
              <w:t>$ 390,000</w:t>
            </w:r>
          </w:p>
        </w:tc>
        <w:tc>
          <w:tcPr>
            <w:tcW w:w="70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516,680</w:t>
            </w:r>
          </w:p>
        </w:tc>
        <w:tc>
          <w:tcPr>
            <w:tcW w:w="2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D9D9D9"/>
          </w:tcPr>
          <w:p>
            <w:pPr>
              <w:jc w:val="right"/>
              <w:ind w:right="34"/>
              <w:spacing w:after="0" w:line="149" w:lineRule="exact"/>
              <w:rPr>
                <w:sz w:val="20"/>
                <w:szCs w:val="20"/>
                <w:color w:val="auto"/>
              </w:rPr>
            </w:pPr>
            <w:r>
              <w:rPr>
                <w:rFonts w:ascii="Arial" w:cs="Arial" w:eastAsia="Arial" w:hAnsi="Arial"/>
                <w:sz w:val="14"/>
                <w:szCs w:val="14"/>
                <w:color w:val="auto"/>
              </w:rPr>
              <w:t>201,592</w:t>
            </w:r>
          </w:p>
        </w:tc>
        <w:tc>
          <w:tcPr>
            <w:tcW w:w="48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D9D9D9"/>
          </w:tcPr>
          <w:p>
            <w:pPr>
              <w:jc w:val="right"/>
              <w:ind w:right="53"/>
              <w:spacing w:after="0" w:line="149" w:lineRule="exact"/>
              <w:rPr>
                <w:sz w:val="20"/>
                <w:szCs w:val="20"/>
                <w:color w:val="auto"/>
              </w:rPr>
            </w:pPr>
            <w:r>
              <w:rPr>
                <w:rFonts w:ascii="Arial" w:cs="Arial" w:eastAsia="Arial" w:hAnsi="Arial"/>
                <w:sz w:val="14"/>
                <w:szCs w:val="14"/>
                <w:color w:val="auto"/>
              </w:rPr>
              <w:t>204,571</w:t>
            </w:r>
          </w:p>
        </w:tc>
        <w:tc>
          <w:tcPr>
            <w:tcW w:w="600" w:type="dxa"/>
            <w:vAlign w:val="bottom"/>
            <w:shd w:val="clear" w:color="auto" w:fill="D9D9D9"/>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D9D9D9"/>
          </w:tcPr>
          <w:p>
            <w:pPr>
              <w:jc w:val="right"/>
              <w:ind w:right="52"/>
              <w:spacing w:after="0" w:line="149" w:lineRule="exact"/>
              <w:rPr>
                <w:sz w:val="20"/>
                <w:szCs w:val="20"/>
                <w:color w:val="auto"/>
              </w:rPr>
            </w:pPr>
            <w:r>
              <w:rPr>
                <w:rFonts w:ascii="Arial" w:cs="Arial" w:eastAsia="Arial" w:hAnsi="Arial"/>
                <w:sz w:val="14"/>
                <w:szCs w:val="14"/>
                <w:color w:val="auto"/>
              </w:rPr>
              <w:t>84,943</w:t>
            </w:r>
          </w:p>
        </w:tc>
        <w:tc>
          <w:tcPr>
            <w:tcW w:w="880" w:type="dxa"/>
            <w:vAlign w:val="bottom"/>
            <w:shd w:val="clear" w:color="auto" w:fill="D9D9D9"/>
          </w:tcPr>
          <w:p>
            <w:pPr>
              <w:jc w:val="center"/>
              <w:ind w:left="14"/>
              <w:spacing w:after="0" w:line="149" w:lineRule="exact"/>
              <w:rPr>
                <w:sz w:val="20"/>
                <w:szCs w:val="20"/>
                <w:color w:val="auto"/>
              </w:rPr>
            </w:pPr>
            <w:r>
              <w:rPr>
                <w:rFonts w:ascii="Arial" w:cs="Arial" w:eastAsia="Arial" w:hAnsi="Arial"/>
                <w:sz w:val="14"/>
                <w:szCs w:val="14"/>
                <w:color w:val="auto"/>
                <w:w w:val="97"/>
              </w:rPr>
              <w:t>$ 1,397,786</w:t>
            </w:r>
          </w:p>
        </w:tc>
      </w:tr>
      <w:tr>
        <w:trPr>
          <w:trHeight w:val="148"/>
        </w:trPr>
        <w:tc>
          <w:tcPr>
            <w:tcW w:w="4120" w:type="dxa"/>
            <w:vAlign w:val="bottom"/>
          </w:tcPr>
          <w:p>
            <w:pPr>
              <w:spacing w:after="0" w:line="148" w:lineRule="exact"/>
              <w:rPr>
                <w:sz w:val="20"/>
                <w:szCs w:val="20"/>
                <w:color w:val="auto"/>
              </w:rPr>
            </w:pPr>
            <w:r>
              <w:rPr>
                <w:rFonts w:ascii="Arial" w:cs="Arial" w:eastAsia="Arial" w:hAnsi="Arial"/>
                <w:sz w:val="14"/>
                <w:szCs w:val="14"/>
                <w:color w:val="auto"/>
              </w:rPr>
              <w:t>Timothy P. Dordell,</w:t>
            </w:r>
          </w:p>
        </w:tc>
        <w:tc>
          <w:tcPr>
            <w:tcW w:w="520" w:type="dxa"/>
            <w:vAlign w:val="bottom"/>
          </w:tcPr>
          <w:p>
            <w:pPr>
              <w:jc w:val="center"/>
              <w:ind w:left="114"/>
              <w:spacing w:after="0" w:line="148" w:lineRule="exact"/>
              <w:rPr>
                <w:sz w:val="20"/>
                <w:szCs w:val="20"/>
                <w:color w:val="auto"/>
              </w:rPr>
            </w:pPr>
            <w:r>
              <w:rPr>
                <w:rFonts w:ascii="Arial" w:cs="Arial" w:eastAsia="Arial" w:hAnsi="Arial"/>
                <w:sz w:val="14"/>
                <w:szCs w:val="14"/>
                <w:color w:val="auto"/>
                <w:w w:val="96"/>
              </w:rPr>
              <w:t>2017</w:t>
            </w:r>
          </w:p>
        </w:tc>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w w:val="99"/>
              </w:rPr>
              <w:t>$ 425,000</w:t>
            </w:r>
          </w:p>
        </w:tc>
        <w:tc>
          <w:tcPr>
            <w:tcW w:w="700" w:type="dxa"/>
            <w:vAlign w:val="bottom"/>
          </w:tcPr>
          <w:p>
            <w:pPr>
              <w:jc w:val="right"/>
              <w:ind w:right="34"/>
              <w:spacing w:after="0" w:line="148"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316,216</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8" w:lineRule="exact"/>
              <w:rPr>
                <w:sz w:val="20"/>
                <w:szCs w:val="20"/>
                <w:color w:val="auto"/>
              </w:rPr>
            </w:pPr>
            <w:r>
              <w:rPr>
                <w:rFonts w:ascii="Arial" w:cs="Arial" w:eastAsia="Arial" w:hAnsi="Arial"/>
                <w:sz w:val="14"/>
                <w:szCs w:val="14"/>
                <w:color w:val="auto"/>
              </w:rPr>
              <w:t>322,947</w:t>
            </w: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line="148" w:lineRule="exact"/>
              <w:rPr>
                <w:sz w:val="20"/>
                <w:szCs w:val="20"/>
                <w:color w:val="auto"/>
              </w:rPr>
            </w:pPr>
            <w:r>
              <w:rPr>
                <w:rFonts w:ascii="Arial" w:cs="Arial" w:eastAsia="Arial" w:hAnsi="Arial"/>
                <w:sz w:val="14"/>
                <w:szCs w:val="14"/>
                <w:color w:val="auto"/>
              </w:rPr>
              <w:t>326,247</w:t>
            </w:r>
          </w:p>
        </w:tc>
        <w:tc>
          <w:tcPr>
            <w:tcW w:w="6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8" w:lineRule="exact"/>
              <w:rPr>
                <w:sz w:val="20"/>
                <w:szCs w:val="20"/>
                <w:color w:val="auto"/>
              </w:rPr>
            </w:pPr>
            <w:r>
              <w:rPr>
                <w:rFonts w:ascii="Arial" w:cs="Arial" w:eastAsia="Arial" w:hAnsi="Arial"/>
                <w:sz w:val="14"/>
                <w:szCs w:val="14"/>
                <w:color w:val="auto"/>
              </w:rPr>
              <w:t>97,503</w:t>
            </w:r>
          </w:p>
        </w:tc>
        <w:tc>
          <w:tcPr>
            <w:tcW w:w="880" w:type="dxa"/>
            <w:vAlign w:val="bottom"/>
          </w:tcPr>
          <w:p>
            <w:pPr>
              <w:jc w:val="center"/>
              <w:ind w:left="14"/>
              <w:spacing w:after="0" w:line="148" w:lineRule="exact"/>
              <w:rPr>
                <w:sz w:val="20"/>
                <w:szCs w:val="20"/>
                <w:color w:val="auto"/>
              </w:rPr>
            </w:pPr>
            <w:r>
              <w:rPr>
                <w:rFonts w:ascii="Arial" w:cs="Arial" w:eastAsia="Arial" w:hAnsi="Arial"/>
                <w:sz w:val="14"/>
                <w:szCs w:val="14"/>
                <w:color w:val="auto"/>
                <w:w w:val="97"/>
              </w:rPr>
              <w:t>$ 1,487,913</w:t>
            </w:r>
          </w:p>
        </w:tc>
      </w:tr>
      <w:tr>
        <w:trPr>
          <w:trHeight w:val="149"/>
        </w:trPr>
        <w:tc>
          <w:tcPr>
            <w:tcW w:w="4120" w:type="dxa"/>
            <w:vAlign w:val="bottom"/>
          </w:tcPr>
          <w:p>
            <w:pPr>
              <w:ind w:left="140"/>
              <w:spacing w:after="0" w:line="149" w:lineRule="exact"/>
              <w:rPr>
                <w:sz w:val="20"/>
                <w:szCs w:val="20"/>
                <w:color w:val="auto"/>
              </w:rPr>
            </w:pPr>
            <w:r>
              <w:rPr>
                <w:rFonts w:ascii="Arial" w:cs="Arial" w:eastAsia="Arial" w:hAnsi="Arial"/>
                <w:sz w:val="14"/>
                <w:szCs w:val="14"/>
                <w:color w:val="auto"/>
              </w:rPr>
              <w:t>VP, Secretary and General Counsel</w:t>
            </w:r>
          </w:p>
        </w:tc>
        <w:tc>
          <w:tcPr>
            <w:tcW w:w="520" w:type="dxa"/>
            <w:vAlign w:val="bottom"/>
          </w:tcPr>
          <w:p>
            <w:pPr>
              <w:jc w:val="center"/>
              <w:ind w:left="114"/>
              <w:spacing w:after="0" w:line="149" w:lineRule="exact"/>
              <w:rPr>
                <w:sz w:val="20"/>
                <w:szCs w:val="20"/>
                <w:color w:val="auto"/>
              </w:rPr>
            </w:pPr>
            <w:r>
              <w:rPr>
                <w:rFonts w:ascii="Arial" w:cs="Arial" w:eastAsia="Arial" w:hAnsi="Arial"/>
                <w:sz w:val="14"/>
                <w:szCs w:val="14"/>
                <w:color w:val="auto"/>
                <w:w w:val="96"/>
              </w:rPr>
              <w:t>2016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$ 410,000</w:t>
            </w:r>
          </w:p>
        </w:tc>
        <w:tc>
          <w:tcPr>
            <w:tcW w:w="7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$ 0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256,641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217,152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186,511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84,506</w:t>
            </w:r>
          </w:p>
        </w:tc>
        <w:tc>
          <w:tcPr>
            <w:tcW w:w="880" w:type="dxa"/>
            <w:vAlign w:val="bottom"/>
          </w:tcPr>
          <w:p>
            <w:pPr>
              <w:jc w:val="center"/>
              <w:ind w:left="14"/>
              <w:spacing w:after="0" w:line="149" w:lineRule="exact"/>
              <w:rPr>
                <w:sz w:val="20"/>
                <w:szCs w:val="20"/>
                <w:color w:val="auto"/>
              </w:rPr>
            </w:pPr>
            <w:r>
              <w:rPr>
                <w:rFonts w:ascii="Arial" w:cs="Arial" w:eastAsia="Arial" w:hAnsi="Arial"/>
                <w:sz w:val="14"/>
                <w:szCs w:val="14"/>
                <w:color w:val="auto"/>
                <w:w w:val="97"/>
              </w:rPr>
              <w:t>$ 1,154,810</w:t>
            </w:r>
          </w:p>
        </w:tc>
      </w:tr>
      <w:tr>
        <w:trPr>
          <w:trHeight w:val="162"/>
        </w:trPr>
        <w:tc>
          <w:tcPr>
            <w:tcW w:w="4120" w:type="dxa"/>
            <w:vAlign w:val="bottom"/>
          </w:tcPr>
          <w:p>
            <w:pPr>
              <w:spacing w:after="0"/>
              <w:rPr>
                <w:sz w:val="14"/>
                <w:szCs w:val="14"/>
                <w:color w:val="auto"/>
              </w:rPr>
            </w:pPr>
          </w:p>
        </w:tc>
        <w:tc>
          <w:tcPr>
            <w:tcW w:w="520" w:type="dxa"/>
            <w:vAlign w:val="bottom"/>
          </w:tcPr>
          <w:p>
            <w:pPr>
              <w:jc w:val="center"/>
              <w:ind w:left="114"/>
              <w:spacing w:after="0"/>
              <w:rPr>
                <w:sz w:val="20"/>
                <w:szCs w:val="20"/>
                <w:color w:val="auto"/>
              </w:rPr>
            </w:pPr>
            <w:r>
              <w:rPr>
                <w:rFonts w:ascii="Arial" w:cs="Arial" w:eastAsia="Arial" w:hAnsi="Arial"/>
                <w:sz w:val="14"/>
                <w:szCs w:val="14"/>
                <w:color w:val="auto"/>
                <w:w w:val="96"/>
              </w:rPr>
              <w:t>2015</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$ 397,500</w:t>
            </w:r>
          </w:p>
        </w:tc>
        <w:tc>
          <w:tcPr>
            <w:tcW w:w="700" w:type="dxa"/>
            <w:vAlign w:val="bottom"/>
          </w:tcPr>
          <w:p>
            <w:pPr>
              <w:jc w:val="right"/>
              <w:ind w:right="34"/>
              <w:spacing w:after="0"/>
              <w:rPr>
                <w:sz w:val="20"/>
                <w:szCs w:val="20"/>
                <w:color w:val="auto"/>
              </w:rPr>
            </w:pPr>
            <w:r>
              <w:rPr>
                <w:rFonts w:ascii="Arial" w:cs="Arial" w:eastAsia="Arial" w:hAnsi="Arial"/>
                <w:sz w:val="14"/>
                <w:szCs w:val="14"/>
                <w:color w:val="auto"/>
              </w:rPr>
              <w:t>$ 0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249,584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4"/>
              <w:spacing w:after="0"/>
              <w:rPr>
                <w:sz w:val="20"/>
                <w:szCs w:val="20"/>
                <w:color w:val="auto"/>
              </w:rPr>
            </w:pPr>
            <w:r>
              <w:rPr>
                <w:rFonts w:ascii="Arial" w:cs="Arial" w:eastAsia="Arial" w:hAnsi="Arial"/>
                <w:sz w:val="14"/>
                <w:szCs w:val="14"/>
                <w:color w:val="auto"/>
              </w:rPr>
              <w:t>212,296</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247,847</w:t>
            </w:r>
          </w:p>
        </w:tc>
        <w:tc>
          <w:tcPr>
            <w:tcW w:w="1180" w:type="dxa"/>
            <w:vAlign w:val="bottom"/>
            <w:gridSpan w:val="2"/>
          </w:tcPr>
          <w:p>
            <w:pPr>
              <w:jc w:val="right"/>
              <w:ind w:right="52"/>
              <w:spacing w:after="0"/>
              <w:rPr>
                <w:sz w:val="20"/>
                <w:szCs w:val="20"/>
                <w:color w:val="auto"/>
              </w:rPr>
            </w:pPr>
            <w:r>
              <w:rPr>
                <w:rFonts w:ascii="Arial" w:cs="Arial" w:eastAsia="Arial" w:hAnsi="Arial"/>
                <w:sz w:val="14"/>
                <w:szCs w:val="14"/>
                <w:color w:val="auto"/>
              </w:rPr>
              <w:t>$ 103,600</w:t>
            </w:r>
          </w:p>
        </w:tc>
        <w:tc>
          <w:tcPr>
            <w:tcW w:w="880" w:type="dxa"/>
            <w:vAlign w:val="bottom"/>
          </w:tcPr>
          <w:p>
            <w:pPr>
              <w:jc w:val="center"/>
              <w:ind w:left="14"/>
              <w:spacing w:after="0"/>
              <w:rPr>
                <w:sz w:val="20"/>
                <w:szCs w:val="20"/>
                <w:color w:val="auto"/>
              </w:rPr>
            </w:pPr>
            <w:r>
              <w:rPr>
                <w:rFonts w:ascii="Arial" w:cs="Arial" w:eastAsia="Arial" w:hAnsi="Arial"/>
                <w:sz w:val="14"/>
                <w:szCs w:val="14"/>
                <w:color w:val="auto"/>
                <w:w w:val="97"/>
              </w:rPr>
              <w:t>$ 1,210,827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8865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61"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generally do not pay discretionary bonuses or bonuses that are subjectively determined; we did not pay any such bonuses to any of our named executive officers in any of the last three most recently completed fiscal years. Annual cash incentive award payouts based on performance against pre-established financial performance goals are reported in the “Non-Equity Incentive Plan Compensation” column.</w:t>
      </w:r>
    </w:p>
    <w:p>
      <w:pPr>
        <w:spacing w:after="0" w:line="51" w:lineRule="exact"/>
        <w:rPr>
          <w:rFonts w:ascii="Arial" w:cs="Arial" w:eastAsia="Arial" w:hAnsi="Arial"/>
          <w:sz w:val="17"/>
          <w:szCs w:val="17"/>
          <w:color w:val="auto"/>
        </w:rPr>
      </w:pPr>
    </w:p>
    <w:p>
      <w:pPr>
        <w:ind w:left="460" w:right="60" w:hanging="452"/>
        <w:spacing w:after="0" w:line="23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for fiscal 2017 for our named executive officers represent the grant date fair value, computed in accordance with FASB ASC Topic 718, of performance share awards granted for the fiscal 2017 to fiscal 2019 performance period assuming target levels of performance. In addition, the amount for Mr. Brown in fiscal 2015 includes the grant date fair value of restricted stock units granted to him on September 15, 2015 for retention purposes in connection with the promotion of Mr. Olson to the position of President and COO. Amounts reported for each named executive officer and each award for fiscal 2017 are set forth in the “Grants of Plan-Based Awards for Fiscal 2017” table on page 49 in the “Grant Date Fair Value of Stock and Option Awards” column. Provided below is the fiscal 2017 grant date fair value of performance share awards for the fiscal 2017 to fiscal 2019 performance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80"/>
        <w:spacing w:after="0" w:line="239" w:lineRule="auto"/>
        <w:rPr>
          <w:sz w:val="20"/>
          <w:szCs w:val="20"/>
          <w:color w:val="auto"/>
        </w:rPr>
      </w:pPr>
      <w:r>
        <w:rPr>
          <w:rFonts w:ascii="Arial" w:cs="Arial" w:eastAsia="Arial" w:hAnsi="Arial"/>
          <w:sz w:val="18"/>
          <w:szCs w:val="18"/>
          <w:color w:val="auto"/>
        </w:rPr>
        <w:t>period assuming maximum levels of performance. The maximum value is calculated using the number of shares reflected in the “Maximum” column of the “Estimated Future Payouts Under Equity Incentive Plan Awards” section of the “Grants of Plan-Based Awards for Fiscal 2017” table on page 49 and the closing price of our common stock, as reported by the NYSE, on December 6, 2016, the grant date, of $54.52.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shd w:val="clear" w:color="auto" w:fill="C00000"/>
          </w:tcPr>
          <w:p>
            <w:pPr>
              <w:spacing w:after="0"/>
              <w:rPr>
                <w:sz w:val="14"/>
                <w:szCs w:val="14"/>
                <w:color w:val="auto"/>
              </w:rPr>
            </w:pPr>
          </w:p>
        </w:tc>
        <w:tc>
          <w:tcPr>
            <w:tcW w:w="5920" w:type="dxa"/>
            <w:vAlign w:val="bottom"/>
            <w:gridSpan w:val="2"/>
            <w:shd w:val="clear" w:color="auto" w:fill="C00000"/>
          </w:tcPr>
          <w:p>
            <w:pPr>
              <w:jc w:val="right"/>
              <w:ind w:right="279"/>
              <w:spacing w:after="0"/>
              <w:rPr>
                <w:sz w:val="20"/>
                <w:szCs w:val="20"/>
                <w:color w:val="auto"/>
              </w:rPr>
            </w:pPr>
            <w:r>
              <w:rPr>
                <w:rFonts w:ascii="Arial" w:cs="Arial" w:eastAsia="Arial" w:hAnsi="Arial"/>
                <w:sz w:val="14"/>
                <w:szCs w:val="14"/>
                <w:b w:val="1"/>
                <w:bCs w:val="1"/>
                <w:color w:val="FFFFFF"/>
              </w:rPr>
              <w:t>Grant Date Fair Value at</w:t>
            </w:r>
          </w:p>
        </w:tc>
      </w:tr>
      <w:tr>
        <w:trPr>
          <w:trHeight w:val="189"/>
        </w:trPr>
        <w:tc>
          <w:tcPr>
            <w:tcW w:w="45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5920" w:type="dxa"/>
            <w:vAlign w:val="bottom"/>
            <w:gridSpan w:val="2"/>
            <w:shd w:val="clear" w:color="auto" w:fill="C00000"/>
          </w:tcPr>
          <w:p>
            <w:pPr>
              <w:jc w:val="right"/>
              <w:spacing w:after="0"/>
              <w:rPr>
                <w:sz w:val="20"/>
                <w:szCs w:val="20"/>
                <w:color w:val="auto"/>
              </w:rPr>
            </w:pPr>
            <w:r>
              <w:rPr>
                <w:rFonts w:ascii="Arial" w:cs="Arial" w:eastAsia="Arial" w:hAnsi="Arial"/>
                <w:sz w:val="14"/>
                <w:szCs w:val="14"/>
                <w:b w:val="1"/>
                <w:bCs w:val="1"/>
                <w:color w:val="FFFFFF"/>
              </w:rPr>
              <w:t>Maximum Levels of Performance</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Mr. Olson</w:t>
            </w:r>
          </w:p>
        </w:tc>
        <w:tc>
          <w:tcPr>
            <w:tcW w:w="5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3,107,640</w:t>
            </w:r>
          </w:p>
        </w:tc>
      </w:tr>
      <w:tr>
        <w:trPr>
          <w:trHeight w:val="189"/>
        </w:trPr>
        <w:tc>
          <w:tcPr>
            <w:tcW w:w="458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5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948,648</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Mr. Hoffman</w:t>
            </w:r>
          </w:p>
        </w:tc>
        <w:tc>
          <w:tcPr>
            <w:tcW w:w="5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8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5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665,144</w:t>
            </w:r>
          </w:p>
        </w:tc>
      </w:tr>
      <w:tr>
        <w:trPr>
          <w:trHeight w:val="197"/>
        </w:trPr>
        <w:tc>
          <w:tcPr>
            <w:tcW w:w="4580" w:type="dxa"/>
            <w:vAlign w:val="bottom"/>
          </w:tcPr>
          <w:p>
            <w:pPr>
              <w:spacing w:after="0"/>
              <w:rPr>
                <w:sz w:val="20"/>
                <w:szCs w:val="20"/>
                <w:color w:val="auto"/>
              </w:rPr>
            </w:pPr>
            <w:r>
              <w:rPr>
                <w:rFonts w:ascii="Arial" w:cs="Arial" w:eastAsia="Arial" w:hAnsi="Arial"/>
                <w:sz w:val="16"/>
                <w:szCs w:val="16"/>
                <w:color w:val="auto"/>
              </w:rPr>
              <w:t>Mr. Dordell</w:t>
            </w:r>
          </w:p>
        </w:tc>
        <w:tc>
          <w:tcPr>
            <w:tcW w:w="5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632,432</w:t>
            </w:r>
          </w:p>
        </w:tc>
      </w:tr>
    </w:tbl>
    <w:p>
      <w:pPr>
        <w:spacing w:after="0" w:line="113" w:lineRule="exact"/>
        <w:rPr>
          <w:sz w:val="20"/>
          <w:szCs w:val="20"/>
          <w:color w:val="auto"/>
        </w:rPr>
      </w:pPr>
    </w:p>
    <w:p>
      <w:pPr>
        <w:ind w:left="460" w:right="80" w:hanging="452"/>
        <w:spacing w:after="0" w:line="275"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00" w:type="dxa"/>
            <w:vAlign w:val="bottom"/>
            <w:shd w:val="clear" w:color="auto" w:fill="C00000"/>
          </w:tcPr>
          <w:p>
            <w:pPr>
              <w:spacing w:after="0"/>
              <w:rPr>
                <w:sz w:val="14"/>
                <w:szCs w:val="14"/>
                <w:color w:val="auto"/>
              </w:rPr>
            </w:pPr>
          </w:p>
        </w:tc>
        <w:tc>
          <w:tcPr>
            <w:tcW w:w="2780" w:type="dxa"/>
            <w:vAlign w:val="bottom"/>
            <w:shd w:val="clear" w:color="auto" w:fill="C00000"/>
          </w:tcPr>
          <w:p>
            <w:pPr>
              <w:spacing w:after="0"/>
              <w:rPr>
                <w:sz w:val="14"/>
                <w:szCs w:val="14"/>
                <w:color w:val="auto"/>
              </w:rPr>
            </w:pPr>
          </w:p>
        </w:tc>
        <w:tc>
          <w:tcPr>
            <w:tcW w:w="1140" w:type="dxa"/>
            <w:vAlign w:val="bottom"/>
            <w:shd w:val="clear" w:color="auto" w:fill="C00000"/>
          </w:tcPr>
          <w:p>
            <w:pPr>
              <w:spacing w:after="0"/>
              <w:rPr>
                <w:sz w:val="14"/>
                <w:szCs w:val="14"/>
                <w:color w:val="auto"/>
              </w:rPr>
            </w:pPr>
          </w:p>
        </w:tc>
        <w:tc>
          <w:tcPr>
            <w:tcW w:w="1200" w:type="dxa"/>
            <w:vAlign w:val="bottom"/>
            <w:shd w:val="clear" w:color="auto" w:fill="C00000"/>
          </w:tcPr>
          <w:p>
            <w:pPr>
              <w:spacing w:after="0"/>
              <w:rPr>
                <w:sz w:val="14"/>
                <w:szCs w:val="14"/>
                <w:color w:val="auto"/>
              </w:rPr>
            </w:pPr>
          </w:p>
        </w:tc>
        <w:tc>
          <w:tcPr>
            <w:tcW w:w="1540" w:type="dxa"/>
            <w:vAlign w:val="bottom"/>
            <w:shd w:val="clear" w:color="auto" w:fill="C00000"/>
          </w:tcPr>
          <w:p>
            <w:pPr>
              <w:spacing w:after="0"/>
              <w:rPr>
                <w:sz w:val="14"/>
                <w:szCs w:val="14"/>
                <w:color w:val="auto"/>
              </w:rPr>
            </w:pPr>
          </w:p>
        </w:tc>
        <w:tc>
          <w:tcPr>
            <w:tcW w:w="1240" w:type="dxa"/>
            <w:vAlign w:val="bottom"/>
            <w:shd w:val="clear" w:color="auto" w:fill="C00000"/>
          </w:tcPr>
          <w:p>
            <w:pPr>
              <w:jc w:val="center"/>
              <w:ind w:left="63"/>
              <w:spacing w:after="0"/>
              <w:rPr>
                <w:sz w:val="20"/>
                <w:szCs w:val="20"/>
                <w:color w:val="auto"/>
              </w:rPr>
            </w:pPr>
            <w:r>
              <w:rPr>
                <w:rFonts w:ascii="Arial" w:cs="Arial" w:eastAsia="Arial" w:hAnsi="Arial"/>
                <w:sz w:val="14"/>
                <w:szCs w:val="14"/>
                <w:b w:val="1"/>
                <w:bCs w:val="1"/>
                <w:color w:val="FFFFFF"/>
              </w:rPr>
              <w:t>Per Share</w:t>
            </w:r>
          </w:p>
        </w:tc>
      </w:tr>
      <w:tr>
        <w:trPr>
          <w:trHeight w:val="162"/>
        </w:trPr>
        <w:tc>
          <w:tcPr>
            <w:tcW w:w="2600" w:type="dxa"/>
            <w:vAlign w:val="bottom"/>
            <w:shd w:val="clear" w:color="auto" w:fill="C00000"/>
          </w:tcPr>
          <w:p>
            <w:pPr>
              <w:spacing w:after="0"/>
              <w:rPr>
                <w:sz w:val="14"/>
                <w:szCs w:val="14"/>
                <w:color w:val="auto"/>
              </w:rPr>
            </w:pPr>
          </w:p>
        </w:tc>
        <w:tc>
          <w:tcPr>
            <w:tcW w:w="2780" w:type="dxa"/>
            <w:vAlign w:val="bottom"/>
            <w:shd w:val="clear" w:color="auto" w:fill="C00000"/>
          </w:tcPr>
          <w:p>
            <w:pPr>
              <w:jc w:val="right"/>
              <w:ind w:right="283"/>
              <w:spacing w:after="0"/>
              <w:rPr>
                <w:sz w:val="20"/>
                <w:szCs w:val="20"/>
                <w:color w:val="auto"/>
              </w:rPr>
            </w:pPr>
            <w:r>
              <w:rPr>
                <w:rFonts w:ascii="Arial" w:cs="Arial" w:eastAsia="Arial" w:hAnsi="Arial"/>
                <w:sz w:val="14"/>
                <w:szCs w:val="14"/>
                <w:b w:val="1"/>
                <w:bCs w:val="1"/>
                <w:color w:val="FFFFFF"/>
              </w:rPr>
              <w:t>Risk Free</w:t>
            </w:r>
          </w:p>
        </w:tc>
        <w:tc>
          <w:tcPr>
            <w:tcW w:w="1140" w:type="dxa"/>
            <w:vAlign w:val="bottom"/>
            <w:shd w:val="clear" w:color="auto" w:fill="C00000"/>
          </w:tcPr>
          <w:p>
            <w:pPr>
              <w:ind w:left="240"/>
              <w:spacing w:after="0"/>
              <w:rPr>
                <w:sz w:val="20"/>
                <w:szCs w:val="20"/>
                <w:color w:val="auto"/>
              </w:rPr>
            </w:pPr>
            <w:r>
              <w:rPr>
                <w:rFonts w:ascii="Arial" w:cs="Arial" w:eastAsia="Arial" w:hAnsi="Arial"/>
                <w:sz w:val="14"/>
                <w:szCs w:val="14"/>
                <w:b w:val="1"/>
                <w:bCs w:val="1"/>
                <w:color w:val="FFFFFF"/>
              </w:rPr>
              <w:t>Expected</w:t>
            </w:r>
          </w:p>
        </w:tc>
        <w:tc>
          <w:tcPr>
            <w:tcW w:w="1200" w:type="dxa"/>
            <w:vAlign w:val="bottom"/>
            <w:shd w:val="clear" w:color="auto" w:fill="C00000"/>
          </w:tcPr>
          <w:p>
            <w:pPr>
              <w:jc w:val="right"/>
              <w:ind w:right="283"/>
              <w:spacing w:after="0"/>
              <w:rPr>
                <w:sz w:val="20"/>
                <w:szCs w:val="20"/>
                <w:color w:val="auto"/>
              </w:rPr>
            </w:pPr>
            <w:r>
              <w:rPr>
                <w:rFonts w:ascii="Arial" w:cs="Arial" w:eastAsia="Arial" w:hAnsi="Arial"/>
                <w:sz w:val="14"/>
                <w:szCs w:val="14"/>
                <w:b w:val="1"/>
                <w:bCs w:val="1"/>
                <w:color w:val="FFFFFF"/>
              </w:rPr>
              <w:t>Expected</w:t>
            </w:r>
          </w:p>
        </w:tc>
        <w:tc>
          <w:tcPr>
            <w:tcW w:w="1540" w:type="dxa"/>
            <w:vAlign w:val="bottom"/>
            <w:shd w:val="clear" w:color="auto" w:fill="C00000"/>
          </w:tcPr>
          <w:p>
            <w:pPr>
              <w:jc w:val="right"/>
              <w:ind w:right="443"/>
              <w:spacing w:after="0"/>
              <w:rPr>
                <w:sz w:val="20"/>
                <w:szCs w:val="20"/>
                <w:color w:val="auto"/>
              </w:rPr>
            </w:pPr>
            <w:r>
              <w:rPr>
                <w:rFonts w:ascii="Arial" w:cs="Arial" w:eastAsia="Arial" w:hAnsi="Arial"/>
                <w:sz w:val="14"/>
                <w:szCs w:val="14"/>
                <w:b w:val="1"/>
                <w:bCs w:val="1"/>
                <w:color w:val="FFFFFF"/>
              </w:rPr>
              <w:t>Expected</w:t>
            </w:r>
          </w:p>
        </w:tc>
        <w:tc>
          <w:tcPr>
            <w:tcW w:w="1240" w:type="dxa"/>
            <w:vAlign w:val="bottom"/>
            <w:shd w:val="clear" w:color="auto" w:fill="C00000"/>
          </w:tcPr>
          <w:p>
            <w:pPr>
              <w:jc w:val="center"/>
              <w:ind w:left="63"/>
              <w:spacing w:after="0"/>
              <w:rPr>
                <w:sz w:val="20"/>
                <w:szCs w:val="20"/>
                <w:color w:val="auto"/>
              </w:rPr>
            </w:pPr>
            <w:r>
              <w:rPr>
                <w:rFonts w:ascii="Arial" w:cs="Arial" w:eastAsia="Arial" w:hAnsi="Arial"/>
                <w:sz w:val="14"/>
                <w:szCs w:val="14"/>
                <w:b w:val="1"/>
                <w:bCs w:val="1"/>
                <w:color w:val="FFFFFF"/>
              </w:rPr>
              <w:t>Black-Scholes</w:t>
            </w:r>
          </w:p>
        </w:tc>
      </w:tr>
      <w:tr>
        <w:trPr>
          <w:trHeight w:val="189"/>
        </w:trPr>
        <w:tc>
          <w:tcPr>
            <w:tcW w:w="260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Grant Date</w:t>
            </w:r>
          </w:p>
        </w:tc>
        <w:tc>
          <w:tcPr>
            <w:tcW w:w="2780" w:type="dxa"/>
            <w:vAlign w:val="bottom"/>
            <w:shd w:val="clear" w:color="auto" w:fill="C00000"/>
          </w:tcPr>
          <w:p>
            <w:pPr>
              <w:jc w:val="right"/>
              <w:ind w:right="463"/>
              <w:spacing w:after="0"/>
              <w:rPr>
                <w:sz w:val="20"/>
                <w:szCs w:val="20"/>
                <w:color w:val="auto"/>
              </w:rPr>
            </w:pPr>
            <w:r>
              <w:rPr>
                <w:rFonts w:ascii="Arial" w:cs="Arial" w:eastAsia="Arial" w:hAnsi="Arial"/>
                <w:sz w:val="14"/>
                <w:szCs w:val="14"/>
                <w:b w:val="1"/>
                <w:bCs w:val="1"/>
                <w:color w:val="FFFFFF"/>
              </w:rPr>
              <w:t>Rate</w:t>
            </w:r>
          </w:p>
        </w:tc>
        <w:tc>
          <w:tcPr>
            <w:tcW w:w="1140" w:type="dxa"/>
            <w:vAlign w:val="bottom"/>
            <w:shd w:val="clear" w:color="auto" w:fill="C00000"/>
          </w:tcPr>
          <w:p>
            <w:pPr>
              <w:ind w:left="420"/>
              <w:spacing w:after="0"/>
              <w:rPr>
                <w:sz w:val="20"/>
                <w:szCs w:val="20"/>
                <w:color w:val="auto"/>
              </w:rPr>
            </w:pPr>
            <w:r>
              <w:rPr>
                <w:rFonts w:ascii="Arial" w:cs="Arial" w:eastAsia="Arial" w:hAnsi="Arial"/>
                <w:sz w:val="14"/>
                <w:szCs w:val="14"/>
                <w:b w:val="1"/>
                <w:bCs w:val="1"/>
                <w:color w:val="FFFFFF"/>
              </w:rPr>
              <w:t>Life</w:t>
            </w:r>
          </w:p>
        </w:tc>
        <w:tc>
          <w:tcPr>
            <w:tcW w:w="1200" w:type="dxa"/>
            <w:vAlign w:val="bottom"/>
            <w:shd w:val="clear" w:color="auto" w:fill="C00000"/>
          </w:tcPr>
          <w:p>
            <w:pPr>
              <w:jc w:val="right"/>
              <w:ind w:right="303"/>
              <w:spacing w:after="0"/>
              <w:rPr>
                <w:sz w:val="20"/>
                <w:szCs w:val="20"/>
                <w:color w:val="auto"/>
              </w:rPr>
            </w:pPr>
            <w:r>
              <w:rPr>
                <w:rFonts w:ascii="Arial" w:cs="Arial" w:eastAsia="Arial" w:hAnsi="Arial"/>
                <w:sz w:val="14"/>
                <w:szCs w:val="14"/>
                <w:b w:val="1"/>
                <w:bCs w:val="1"/>
                <w:color w:val="FFFFFF"/>
              </w:rPr>
              <w:t>Volatility</w:t>
            </w:r>
          </w:p>
        </w:tc>
        <w:tc>
          <w:tcPr>
            <w:tcW w:w="1540" w:type="dxa"/>
            <w:vAlign w:val="bottom"/>
            <w:shd w:val="clear" w:color="auto" w:fill="C00000"/>
          </w:tcPr>
          <w:p>
            <w:pPr>
              <w:jc w:val="right"/>
              <w:ind w:right="283"/>
              <w:spacing w:after="0"/>
              <w:rPr>
                <w:sz w:val="20"/>
                <w:szCs w:val="20"/>
                <w:color w:val="auto"/>
              </w:rPr>
            </w:pPr>
            <w:r>
              <w:rPr>
                <w:rFonts w:ascii="Arial" w:cs="Arial" w:eastAsia="Arial" w:hAnsi="Arial"/>
                <w:sz w:val="14"/>
                <w:szCs w:val="14"/>
                <w:b w:val="1"/>
                <w:bCs w:val="1"/>
                <w:color w:val="FFFFFF"/>
              </w:rPr>
              <w:t>Dividend Yield</w:t>
            </w:r>
          </w:p>
        </w:tc>
        <w:tc>
          <w:tcPr>
            <w:tcW w:w="1240" w:type="dxa"/>
            <w:vAlign w:val="bottom"/>
            <w:shd w:val="clear" w:color="auto" w:fill="C00000"/>
          </w:tcPr>
          <w:p>
            <w:pPr>
              <w:jc w:val="center"/>
              <w:ind w:left="63"/>
              <w:spacing w:after="0"/>
              <w:rPr>
                <w:sz w:val="20"/>
                <w:szCs w:val="20"/>
                <w:color w:val="auto"/>
              </w:rPr>
            </w:pPr>
            <w:r>
              <w:rPr>
                <w:rFonts w:ascii="Arial" w:cs="Arial" w:eastAsia="Arial" w:hAnsi="Arial"/>
                <w:sz w:val="14"/>
                <w:szCs w:val="14"/>
                <w:b w:val="1"/>
                <w:bCs w:val="1"/>
                <w:color w:val="FFFFFF"/>
              </w:rPr>
              <w:t>Value</w:t>
            </w:r>
          </w:p>
        </w:tc>
      </w:tr>
      <w:tr>
        <w:trPr>
          <w:trHeight w:val="189"/>
        </w:trPr>
        <w:tc>
          <w:tcPr>
            <w:tcW w:w="2600" w:type="dxa"/>
            <w:vAlign w:val="bottom"/>
          </w:tcPr>
          <w:p>
            <w:pPr>
              <w:spacing w:after="0"/>
              <w:rPr>
                <w:sz w:val="20"/>
                <w:szCs w:val="20"/>
                <w:color w:val="auto"/>
              </w:rPr>
            </w:pPr>
            <w:r>
              <w:rPr>
                <w:rFonts w:ascii="Arial" w:cs="Arial" w:eastAsia="Arial" w:hAnsi="Arial"/>
                <w:sz w:val="16"/>
                <w:szCs w:val="16"/>
                <w:color w:val="auto"/>
              </w:rPr>
              <w:t>12/09/2016</w:t>
            </w:r>
          </w:p>
        </w:tc>
        <w:tc>
          <w:tcPr>
            <w:tcW w:w="2780" w:type="dxa"/>
            <w:vAlign w:val="bottom"/>
          </w:tcPr>
          <w:p>
            <w:pPr>
              <w:jc w:val="right"/>
              <w:ind w:right="143"/>
              <w:spacing w:after="0"/>
              <w:rPr>
                <w:sz w:val="20"/>
                <w:szCs w:val="20"/>
                <w:color w:val="auto"/>
              </w:rPr>
            </w:pPr>
            <w:r>
              <w:rPr>
                <w:rFonts w:ascii="Arial" w:cs="Arial" w:eastAsia="Arial" w:hAnsi="Arial"/>
                <w:sz w:val="16"/>
                <w:szCs w:val="16"/>
                <w:color w:val="auto"/>
              </w:rPr>
              <w:t>2.13%</w:t>
            </w:r>
          </w:p>
        </w:tc>
        <w:tc>
          <w:tcPr>
            <w:tcW w:w="1140" w:type="dxa"/>
            <w:vAlign w:val="bottom"/>
          </w:tcPr>
          <w:p>
            <w:pPr>
              <w:ind w:left="260"/>
              <w:spacing w:after="0"/>
              <w:rPr>
                <w:sz w:val="20"/>
                <w:szCs w:val="20"/>
                <w:color w:val="auto"/>
              </w:rPr>
            </w:pPr>
            <w:r>
              <w:rPr>
                <w:rFonts w:ascii="Arial" w:cs="Arial" w:eastAsia="Arial" w:hAnsi="Arial"/>
                <w:sz w:val="16"/>
                <w:szCs w:val="16"/>
                <w:color w:val="auto"/>
              </w:rPr>
              <w:t>6.3 years</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22.37%</w:t>
            </w:r>
          </w:p>
        </w:tc>
        <w:tc>
          <w:tcPr>
            <w:tcW w:w="1540" w:type="dxa"/>
            <w:vAlign w:val="bottom"/>
          </w:tcPr>
          <w:p>
            <w:pPr>
              <w:jc w:val="right"/>
              <w:ind w:right="123"/>
              <w:spacing w:after="0"/>
              <w:rPr>
                <w:sz w:val="20"/>
                <w:szCs w:val="20"/>
                <w:color w:val="auto"/>
              </w:rPr>
            </w:pPr>
            <w:r>
              <w:rPr>
                <w:rFonts w:ascii="Arial" w:cs="Arial" w:eastAsia="Arial" w:hAnsi="Arial"/>
                <w:sz w:val="16"/>
                <w:szCs w:val="16"/>
                <w:color w:val="auto"/>
              </w:rPr>
              <w:t>0.97%</w:t>
            </w:r>
          </w:p>
        </w:tc>
        <w:tc>
          <w:tcPr>
            <w:tcW w:w="1240" w:type="dxa"/>
            <w:vAlign w:val="bottom"/>
          </w:tcPr>
          <w:p>
            <w:pPr>
              <w:jc w:val="right"/>
              <w:spacing w:after="0"/>
              <w:rPr>
                <w:sz w:val="20"/>
                <w:szCs w:val="20"/>
                <w:color w:val="auto"/>
              </w:rPr>
            </w:pPr>
            <w:r>
              <w:rPr>
                <w:rFonts w:ascii="Arial" w:cs="Arial" w:eastAsia="Arial" w:hAnsi="Arial"/>
                <w:sz w:val="16"/>
                <w:szCs w:val="16"/>
                <w:color w:val="auto"/>
              </w:rPr>
              <w:t>$13.29</w:t>
            </w:r>
          </w:p>
        </w:tc>
      </w:tr>
      <w:tr>
        <w:trPr>
          <w:trHeight w:val="189"/>
        </w:trPr>
        <w:tc>
          <w:tcPr>
            <w:tcW w:w="2600" w:type="dxa"/>
            <w:vAlign w:val="bottom"/>
            <w:shd w:val="clear" w:color="auto" w:fill="D9D9D9"/>
          </w:tcPr>
          <w:p>
            <w:pPr>
              <w:spacing w:after="0"/>
              <w:rPr>
                <w:sz w:val="20"/>
                <w:szCs w:val="20"/>
                <w:color w:val="auto"/>
              </w:rPr>
            </w:pPr>
            <w:r>
              <w:rPr>
                <w:rFonts w:ascii="Arial" w:cs="Arial" w:eastAsia="Arial" w:hAnsi="Arial"/>
                <w:sz w:val="16"/>
                <w:szCs w:val="16"/>
                <w:color w:val="auto"/>
              </w:rPr>
              <w:t>12/04/2015</w:t>
            </w:r>
          </w:p>
        </w:tc>
        <w:tc>
          <w:tcPr>
            <w:tcW w:w="2780" w:type="dxa"/>
            <w:vAlign w:val="bottom"/>
            <w:shd w:val="clear" w:color="auto" w:fill="D9D9D9"/>
          </w:tcPr>
          <w:p>
            <w:pPr>
              <w:jc w:val="right"/>
              <w:ind w:right="143"/>
              <w:spacing w:after="0"/>
              <w:rPr>
                <w:sz w:val="20"/>
                <w:szCs w:val="20"/>
                <w:color w:val="auto"/>
              </w:rPr>
            </w:pPr>
            <w:r>
              <w:rPr>
                <w:rFonts w:ascii="Arial" w:cs="Arial" w:eastAsia="Arial" w:hAnsi="Arial"/>
                <w:sz w:val="16"/>
                <w:szCs w:val="16"/>
                <w:color w:val="auto"/>
              </w:rPr>
              <w:t>1.90%</w:t>
            </w:r>
          </w:p>
        </w:tc>
        <w:tc>
          <w:tcPr>
            <w:tcW w:w="1140" w:type="dxa"/>
            <w:vAlign w:val="bottom"/>
            <w:shd w:val="clear" w:color="auto" w:fill="D9D9D9"/>
          </w:tcPr>
          <w:p>
            <w:pPr>
              <w:ind w:left="260"/>
              <w:spacing w:after="0"/>
              <w:rPr>
                <w:sz w:val="20"/>
                <w:szCs w:val="20"/>
                <w:color w:val="auto"/>
              </w:rPr>
            </w:pPr>
            <w:r>
              <w:rPr>
                <w:rFonts w:ascii="Arial" w:cs="Arial" w:eastAsia="Arial" w:hAnsi="Arial"/>
                <w:sz w:val="16"/>
                <w:szCs w:val="16"/>
                <w:color w:val="auto"/>
              </w:rPr>
              <w:t>6.3 years</w:t>
            </w:r>
          </w:p>
        </w:tc>
        <w:tc>
          <w:tcPr>
            <w:tcW w:w="120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24.59%</w:t>
            </w:r>
          </w:p>
        </w:tc>
        <w:tc>
          <w:tcPr>
            <w:tcW w:w="1540" w:type="dxa"/>
            <w:vAlign w:val="bottom"/>
            <w:shd w:val="clear" w:color="auto" w:fill="D9D9D9"/>
          </w:tcPr>
          <w:p>
            <w:pPr>
              <w:jc w:val="right"/>
              <w:ind w:right="123"/>
              <w:spacing w:after="0"/>
              <w:rPr>
                <w:sz w:val="20"/>
                <w:szCs w:val="20"/>
                <w:color w:val="auto"/>
              </w:rPr>
            </w:pPr>
            <w:r>
              <w:rPr>
                <w:rFonts w:ascii="Arial" w:cs="Arial" w:eastAsia="Arial" w:hAnsi="Arial"/>
                <w:sz w:val="16"/>
                <w:szCs w:val="16"/>
                <w:color w:val="auto"/>
              </w:rPr>
              <w:t>1.23%</w:t>
            </w:r>
          </w:p>
        </w:tc>
        <w:tc>
          <w:tcPr>
            <w:tcW w:w="12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$9.28</w:t>
            </w:r>
          </w:p>
        </w:tc>
      </w:tr>
      <w:tr>
        <w:trPr>
          <w:trHeight w:val="197"/>
        </w:trPr>
        <w:tc>
          <w:tcPr>
            <w:tcW w:w="2600" w:type="dxa"/>
            <w:vAlign w:val="bottom"/>
          </w:tcPr>
          <w:p>
            <w:pPr>
              <w:spacing w:after="0"/>
              <w:rPr>
                <w:sz w:val="20"/>
                <w:szCs w:val="20"/>
                <w:color w:val="auto"/>
              </w:rPr>
            </w:pPr>
            <w:r>
              <w:rPr>
                <w:rFonts w:ascii="Arial" w:cs="Arial" w:eastAsia="Arial" w:hAnsi="Arial"/>
                <w:sz w:val="16"/>
                <w:szCs w:val="16"/>
                <w:color w:val="auto"/>
              </w:rPr>
              <w:t>12/05/2014</w:t>
            </w:r>
          </w:p>
        </w:tc>
        <w:tc>
          <w:tcPr>
            <w:tcW w:w="2780" w:type="dxa"/>
            <w:vAlign w:val="bottom"/>
          </w:tcPr>
          <w:p>
            <w:pPr>
              <w:jc w:val="right"/>
              <w:ind w:right="143"/>
              <w:spacing w:after="0"/>
              <w:rPr>
                <w:sz w:val="20"/>
                <w:szCs w:val="20"/>
                <w:color w:val="auto"/>
              </w:rPr>
            </w:pPr>
            <w:r>
              <w:rPr>
                <w:rFonts w:ascii="Arial" w:cs="Arial" w:eastAsia="Arial" w:hAnsi="Arial"/>
                <w:sz w:val="16"/>
                <w:szCs w:val="16"/>
                <w:color w:val="auto"/>
              </w:rPr>
              <w:t>1.57%</w:t>
            </w:r>
          </w:p>
        </w:tc>
        <w:tc>
          <w:tcPr>
            <w:tcW w:w="1140" w:type="dxa"/>
            <w:vAlign w:val="bottom"/>
          </w:tcPr>
          <w:p>
            <w:pPr>
              <w:ind w:left="260"/>
              <w:spacing w:after="0"/>
              <w:rPr>
                <w:sz w:val="20"/>
                <w:szCs w:val="20"/>
                <w:color w:val="auto"/>
              </w:rPr>
            </w:pPr>
            <w:r>
              <w:rPr>
                <w:rFonts w:ascii="Arial" w:cs="Arial" w:eastAsia="Arial" w:hAnsi="Arial"/>
                <w:sz w:val="16"/>
                <w:szCs w:val="16"/>
                <w:color w:val="auto"/>
              </w:rPr>
              <w:t>6.2 years</w:t>
            </w: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31.12%</w:t>
            </w:r>
          </w:p>
        </w:tc>
        <w:tc>
          <w:tcPr>
            <w:tcW w:w="1540" w:type="dxa"/>
            <w:vAlign w:val="bottom"/>
          </w:tcPr>
          <w:p>
            <w:pPr>
              <w:jc w:val="right"/>
              <w:ind w:right="123"/>
              <w:spacing w:after="0"/>
              <w:rPr>
                <w:sz w:val="20"/>
                <w:szCs w:val="20"/>
                <w:color w:val="auto"/>
              </w:rPr>
            </w:pPr>
            <w:r>
              <w:rPr>
                <w:rFonts w:ascii="Arial" w:cs="Arial" w:eastAsia="Arial" w:hAnsi="Arial"/>
                <w:sz w:val="16"/>
                <w:szCs w:val="16"/>
                <w:color w:val="auto"/>
              </w:rPr>
              <w:t>1.28%</w:t>
            </w:r>
          </w:p>
        </w:tc>
        <w:tc>
          <w:tcPr>
            <w:tcW w:w="1240" w:type="dxa"/>
            <w:vAlign w:val="bottom"/>
          </w:tcPr>
          <w:p>
            <w:pPr>
              <w:jc w:val="right"/>
              <w:spacing w:after="0"/>
              <w:rPr>
                <w:sz w:val="20"/>
                <w:szCs w:val="20"/>
                <w:color w:val="auto"/>
              </w:rPr>
            </w:pPr>
            <w:r>
              <w:rPr>
                <w:rFonts w:ascii="Arial" w:cs="Arial" w:eastAsia="Arial" w:hAnsi="Arial"/>
                <w:sz w:val="16"/>
                <w:szCs w:val="16"/>
                <w:color w:val="auto"/>
              </w:rPr>
              <w:t>$8.92</w:t>
            </w:r>
          </w:p>
        </w:tc>
      </w:tr>
    </w:tbl>
    <w:p>
      <w:pPr>
        <w:spacing w:after="0" w:line="113" w:lineRule="exact"/>
        <w:rPr>
          <w:sz w:val="20"/>
          <w:szCs w:val="20"/>
          <w:color w:val="auto"/>
        </w:rPr>
      </w:pPr>
    </w:p>
    <w:p>
      <w:pPr>
        <w:ind w:left="460" w:right="220" w:hanging="452"/>
        <w:spacing w:after="0" w:line="23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 that are established and communicated at the beginning of each fiscal year. Additional detail regarding our annual cash incentives is set forth in the “Annual Cash Incentives—Actual Cash Compensation Discussion and Analysis” on page 40.</w:t>
      </w:r>
    </w:p>
    <w:p>
      <w:pPr>
        <w:spacing w:after="0" w:line="107"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for fiscal 2017 are set forth below under “All Other Compensation for Fiscal 2017”.</w:t>
      </w:r>
    </w:p>
    <w:p>
      <w:pPr>
        <w:spacing w:after="0" w:line="117" w:lineRule="exact"/>
        <w:rPr>
          <w:rFonts w:ascii="Arial" w:cs="Arial" w:eastAsia="Arial" w:hAnsi="Arial"/>
          <w:sz w:val="18"/>
          <w:szCs w:val="18"/>
          <w:color w:val="auto"/>
        </w:rPr>
      </w:pPr>
    </w:p>
    <w:p>
      <w:pPr>
        <w:ind w:left="460" w:right="4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Olson was our President and CEO for all of fiscal 2017. Mr. Olson was an executive officer, but not a named executive officer, in fiscal 2015; therefore, his information is only provided for fiscal 2016 and fiscal 2017. On November 3, 2017, Mr. Olson became our Chairman, in addition to his roles as President and CEO.</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Hoffman was our Executive Chairman for all of fiscal 2017. Mr. Hoffman retired from our company on November 3, 2017.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All Other Compensation for Fiscal 2017</w:t>
      </w:r>
    </w:p>
    <w:p>
      <w:pPr>
        <w:spacing w:after="0" w:line="126" w:lineRule="exact"/>
        <w:rPr>
          <w:sz w:val="20"/>
          <w:szCs w:val="20"/>
          <w:color w:val="auto"/>
        </w:rPr>
      </w:pPr>
    </w:p>
    <w:p>
      <w:pPr>
        <w:ind w:right="600" w:firstLine="456"/>
        <w:spacing w:after="0"/>
        <w:rPr>
          <w:sz w:val="20"/>
          <w:szCs w:val="20"/>
          <w:color w:val="auto"/>
        </w:rPr>
      </w:pPr>
      <w:r>
        <w:rPr>
          <w:rFonts w:ascii="Arial" w:cs="Arial" w:eastAsia="Arial" w:hAnsi="Arial"/>
          <w:sz w:val="18"/>
          <w:szCs w:val="18"/>
          <w:color w:val="auto"/>
        </w:rPr>
        <w:t>All other compensation for fiscal 2017 includes the value of Company contributions to our retirement plan(s), the value of modest perquisites provided and the matching portion by the Company for charitable donations by our named executive officers, all of which are described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Element</w:t>
            </w:r>
          </w:p>
        </w:tc>
        <w:tc>
          <w:tcPr>
            <w:tcW w:w="520" w:type="dxa"/>
            <w:vAlign w:val="bottom"/>
            <w:shd w:val="clear" w:color="auto" w:fill="C00000"/>
          </w:tcPr>
          <w:p>
            <w:pPr>
              <w:spacing w:after="0"/>
              <w:rPr>
                <w:sz w:val="14"/>
                <w:szCs w:val="14"/>
                <w:color w:val="auto"/>
              </w:rPr>
            </w:pPr>
          </w:p>
        </w:tc>
        <w:tc>
          <w:tcPr>
            <w:tcW w:w="9020" w:type="dxa"/>
            <w:vAlign w:val="bottom"/>
            <w:shd w:val="clear" w:color="auto" w:fill="C00000"/>
          </w:tcPr>
          <w:p>
            <w:pPr>
              <w:ind w:left="4060"/>
              <w:spacing w:after="0"/>
              <w:rPr>
                <w:sz w:val="20"/>
                <w:szCs w:val="20"/>
                <w:color w:val="auto"/>
              </w:rPr>
            </w:pPr>
            <w:r>
              <w:rPr>
                <w:rFonts w:ascii="Arial" w:cs="Arial" w:eastAsia="Arial" w:hAnsi="Arial"/>
                <w:sz w:val="14"/>
                <w:szCs w:val="14"/>
                <w:b w:val="1"/>
                <w:bCs w:val="1"/>
                <w:color w:val="FFFFFF"/>
              </w:rPr>
              <w:t>Description</w:t>
            </w:r>
          </w:p>
        </w:tc>
      </w:tr>
      <w:tr>
        <w:trPr>
          <w:trHeight w:val="191"/>
        </w:trPr>
        <w:tc>
          <w:tcPr>
            <w:tcW w:w="1880" w:type="dxa"/>
            <w:vAlign w:val="bottom"/>
          </w:tcPr>
          <w:p>
            <w:pPr>
              <w:ind w:left="60"/>
              <w:spacing w:after="0"/>
              <w:rPr>
                <w:sz w:val="20"/>
                <w:szCs w:val="20"/>
                <w:color w:val="auto"/>
              </w:rPr>
            </w:pPr>
            <w:r>
              <w:rPr>
                <w:rFonts w:ascii="Arial" w:cs="Arial" w:eastAsia="Arial" w:hAnsi="Arial"/>
                <w:sz w:val="16"/>
                <w:szCs w:val="16"/>
                <w:color w:val="auto"/>
              </w:rPr>
              <w:t>Retirement Benefits</w:t>
            </w: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Under our IS&amp;ESOP, we currently match $0.50 for each employee dollar contribution, up to an employee maximum of 4%.</w:t>
            </w:r>
          </w:p>
        </w:tc>
      </w:tr>
      <w:tr>
        <w:trPr>
          <w:trHeight w:val="189"/>
        </w:trPr>
        <w:tc>
          <w:tcPr>
            <w:tcW w:w="1880" w:type="dxa"/>
            <w:vAlign w:val="bottom"/>
          </w:tcPr>
          <w:p>
            <w:pPr>
              <w:spacing w:after="0"/>
              <w:rPr>
                <w:sz w:val="16"/>
                <w:szCs w:val="16"/>
                <w:color w:val="auto"/>
              </w:rPr>
            </w:pP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Additionally, there may be an annual Company investment savings and ESOP contribution. Employees are eligible to</w:t>
            </w:r>
          </w:p>
        </w:tc>
      </w:tr>
      <w:tr>
        <w:trPr>
          <w:trHeight w:val="189"/>
        </w:trPr>
        <w:tc>
          <w:tcPr>
            <w:tcW w:w="1880" w:type="dxa"/>
            <w:vAlign w:val="bottom"/>
          </w:tcPr>
          <w:p>
            <w:pPr>
              <w:spacing w:after="0"/>
              <w:rPr>
                <w:sz w:val="16"/>
                <w:szCs w:val="16"/>
                <w:color w:val="auto"/>
              </w:rPr>
            </w:pP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participate in the plan and receive company contributions, all of which are discretionary, after 30 days of service. For certain</w:t>
            </w:r>
          </w:p>
        </w:tc>
      </w:tr>
      <w:tr>
        <w:trPr>
          <w:trHeight w:val="189"/>
        </w:trPr>
        <w:tc>
          <w:tcPr>
            <w:tcW w:w="1880" w:type="dxa"/>
            <w:vAlign w:val="bottom"/>
          </w:tcPr>
          <w:p>
            <w:pPr>
              <w:spacing w:after="0"/>
              <w:rPr>
                <w:sz w:val="16"/>
                <w:szCs w:val="16"/>
                <w:color w:val="auto"/>
              </w:rPr>
            </w:pP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employees whose compensation exceeds the IRS limit, we also provide a contribution into our nonqualified deferred</w:t>
            </w:r>
          </w:p>
        </w:tc>
      </w:tr>
      <w:tr>
        <w:trPr>
          <w:trHeight w:val="189"/>
        </w:trPr>
        <w:tc>
          <w:tcPr>
            <w:tcW w:w="1880" w:type="dxa"/>
            <w:vAlign w:val="bottom"/>
          </w:tcPr>
          <w:p>
            <w:pPr>
              <w:spacing w:after="0"/>
              <w:rPr>
                <w:sz w:val="16"/>
                <w:szCs w:val="16"/>
                <w:color w:val="auto"/>
              </w:rPr>
            </w:pP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compensation plans, the Supplemental Benefit Plan or the Deferred Plan, as applicable. Our nonqualified deferred</w:t>
            </w:r>
          </w:p>
        </w:tc>
      </w:tr>
      <w:tr>
        <w:trPr>
          <w:trHeight w:val="187"/>
        </w:trPr>
        <w:tc>
          <w:tcPr>
            <w:tcW w:w="1880" w:type="dxa"/>
            <w:vAlign w:val="bottom"/>
          </w:tcPr>
          <w:p>
            <w:pPr>
              <w:spacing w:after="0"/>
              <w:rPr>
                <w:sz w:val="16"/>
                <w:szCs w:val="16"/>
                <w:color w:val="auto"/>
              </w:rPr>
            </w:pPr>
          </w:p>
        </w:tc>
        <w:tc>
          <w:tcPr>
            <w:tcW w:w="9540" w:type="dxa"/>
            <w:vAlign w:val="bottom"/>
            <w:gridSpan w:val="2"/>
          </w:tcPr>
          <w:p>
            <w:pPr>
              <w:ind w:left="420"/>
              <w:spacing w:after="0"/>
              <w:rPr>
                <w:sz w:val="20"/>
                <w:szCs w:val="20"/>
                <w:color w:val="auto"/>
              </w:rPr>
            </w:pPr>
            <w:r>
              <w:rPr>
                <w:rFonts w:ascii="Arial" w:cs="Arial" w:eastAsia="Arial" w:hAnsi="Arial"/>
                <w:sz w:val="16"/>
                <w:szCs w:val="16"/>
                <w:color w:val="auto"/>
              </w:rPr>
              <w:t>compensation plans are described under “Nonqualified Deferred Compensation for Fiscal 2017” beginning on page 52.</w:t>
            </w:r>
          </w:p>
        </w:tc>
      </w:tr>
      <w:tr>
        <w:trPr>
          <w:trHeight w:val="191"/>
        </w:trPr>
        <w:tc>
          <w:tcPr>
            <w:tcW w:w="1880" w:type="dxa"/>
            <w:vAlign w:val="bottom"/>
            <w:shd w:val="clear" w:color="auto" w:fill="D9D9D9"/>
          </w:tcPr>
          <w:p>
            <w:pPr>
              <w:ind w:left="60"/>
              <w:spacing w:after="0"/>
              <w:rPr>
                <w:sz w:val="20"/>
                <w:szCs w:val="20"/>
                <w:color w:val="auto"/>
              </w:rPr>
            </w:pPr>
            <w:r>
              <w:rPr>
                <w:rFonts w:ascii="Arial" w:cs="Arial" w:eastAsia="Arial" w:hAnsi="Arial"/>
                <w:sz w:val="16"/>
                <w:szCs w:val="16"/>
                <w:color w:val="auto"/>
              </w:rPr>
              <w:t>Perquisites</w:t>
            </w:r>
          </w:p>
        </w:tc>
        <w:tc>
          <w:tcPr>
            <w:tcW w:w="9540" w:type="dxa"/>
            <w:vAlign w:val="bottom"/>
            <w:gridSpan w:val="2"/>
            <w:shd w:val="clear" w:color="auto" w:fill="D9D9D9"/>
          </w:tcPr>
          <w:p>
            <w:pPr>
              <w:ind w:left="420"/>
              <w:spacing w:after="0"/>
              <w:rPr>
                <w:sz w:val="20"/>
                <w:szCs w:val="20"/>
                <w:color w:val="auto"/>
              </w:rPr>
            </w:pPr>
            <w:r>
              <w:rPr>
                <w:rFonts w:ascii="Arial" w:cs="Arial" w:eastAsia="Arial" w:hAnsi="Arial"/>
                <w:sz w:val="16"/>
                <w:szCs w:val="16"/>
                <w:color w:val="auto"/>
              </w:rPr>
              <w:t>We provide our executive officers with modest perquisites, including:</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ind w:left="420"/>
              <w:spacing w:after="0"/>
              <w:rPr>
                <w:sz w:val="20"/>
                <w:szCs w:val="20"/>
                <w:color w:val="auto"/>
              </w:rPr>
            </w:pPr>
            <w:r>
              <w:rPr>
                <w:rFonts w:ascii="Arial" w:cs="Arial" w:eastAsia="Arial" w:hAnsi="Arial"/>
                <w:sz w:val="16"/>
                <w:szCs w:val="16"/>
                <w:color w:val="auto"/>
              </w:rPr>
              <w:t>•</w:t>
            </w:r>
          </w:p>
        </w:tc>
        <w:tc>
          <w:tcPr>
            <w:tcW w:w="9020" w:type="dxa"/>
            <w:vAlign w:val="bottom"/>
            <w:shd w:val="clear" w:color="auto" w:fill="D9D9D9"/>
          </w:tcPr>
          <w:p>
            <w:pPr>
              <w:ind w:left="40"/>
              <w:spacing w:after="0"/>
              <w:rPr>
                <w:sz w:val="20"/>
                <w:szCs w:val="20"/>
                <w:color w:val="auto"/>
              </w:rPr>
            </w:pPr>
            <w:r>
              <w:rPr>
                <w:rFonts w:ascii="Arial" w:cs="Arial" w:eastAsia="Arial" w:hAnsi="Arial"/>
                <w:sz w:val="16"/>
                <w:szCs w:val="16"/>
                <w:color w:val="auto"/>
              </w:rPr>
              <w:t>Company-leased automobile—We pay all costs associated with leasing, operating, maintaining and insuring a company-</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leased automobile up to certain thresholds. Our executive officers are generally eligible for a new vehicle after 30 months</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and may choose to purchase the existing vehicle at book value plus payment of any miscellaneous expenses charged by our</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leasing company.</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ind w:left="420"/>
              <w:spacing w:after="0"/>
              <w:rPr>
                <w:sz w:val="20"/>
                <w:szCs w:val="20"/>
                <w:color w:val="auto"/>
              </w:rPr>
            </w:pPr>
            <w:r>
              <w:rPr>
                <w:rFonts w:ascii="Arial" w:cs="Arial" w:eastAsia="Arial" w:hAnsi="Arial"/>
                <w:sz w:val="16"/>
                <w:szCs w:val="16"/>
                <w:color w:val="auto"/>
              </w:rPr>
              <w:t>•</w:t>
            </w:r>
          </w:p>
        </w:tc>
        <w:tc>
          <w:tcPr>
            <w:tcW w:w="9020" w:type="dxa"/>
            <w:vAlign w:val="bottom"/>
            <w:shd w:val="clear" w:color="auto" w:fill="D9D9D9"/>
          </w:tcPr>
          <w:p>
            <w:pPr>
              <w:ind w:left="40"/>
              <w:spacing w:after="0"/>
              <w:rPr>
                <w:sz w:val="20"/>
                <w:szCs w:val="20"/>
                <w:color w:val="auto"/>
              </w:rPr>
            </w:pPr>
            <w:r>
              <w:rPr>
                <w:rFonts w:ascii="Arial" w:cs="Arial" w:eastAsia="Arial" w:hAnsi="Arial"/>
                <w:sz w:val="16"/>
                <w:szCs w:val="16"/>
                <w:color w:val="auto"/>
              </w:rPr>
              <w:t>Financial planning—We encourage our executive officers to receive professional advice regarding their financial, tax and</w:t>
            </w:r>
          </w:p>
        </w:tc>
      </w:tr>
      <w:tr>
        <w:trPr>
          <w:trHeight w:val="189"/>
        </w:trPr>
        <w:tc>
          <w:tcPr>
            <w:tcW w:w="188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estate planning needs. Therefore, we pay up to a maximum defined amount for each of our executive officers to cover tax</w:t>
            </w:r>
          </w:p>
        </w:tc>
      </w:tr>
      <w:tr>
        <w:trPr>
          <w:trHeight w:val="201"/>
        </w:trPr>
        <w:tc>
          <w:tcPr>
            <w:tcW w:w="1880" w:type="dxa"/>
            <w:vAlign w:val="bottom"/>
            <w:shd w:val="clear" w:color="auto" w:fill="D9D9D9"/>
          </w:tcPr>
          <w:p>
            <w:pPr>
              <w:spacing w:after="0"/>
              <w:rPr>
                <w:sz w:val="17"/>
                <w:szCs w:val="17"/>
                <w:color w:val="auto"/>
              </w:rPr>
            </w:pPr>
          </w:p>
        </w:tc>
        <w:tc>
          <w:tcPr>
            <w:tcW w:w="520" w:type="dxa"/>
            <w:vAlign w:val="bottom"/>
            <w:shd w:val="clear" w:color="auto" w:fill="D9D9D9"/>
          </w:tcPr>
          <w:p>
            <w:pPr>
              <w:spacing w:after="0"/>
              <w:rPr>
                <w:sz w:val="17"/>
                <w:szCs w:val="17"/>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planning, tax</w:t>
            </w:r>
          </w:p>
        </w:tc>
      </w:tr>
      <w:tr>
        <w:trPr>
          <w:trHeight w:val="365"/>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tcPr>
          <w:p>
            <w:pPr>
              <w:ind w:left="322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Element</w:t>
            </w:r>
          </w:p>
        </w:tc>
        <w:tc>
          <w:tcPr>
            <w:tcW w:w="600" w:type="dxa"/>
            <w:vAlign w:val="bottom"/>
            <w:shd w:val="clear" w:color="auto" w:fill="C00000"/>
          </w:tcPr>
          <w:p>
            <w:pPr>
              <w:spacing w:after="0"/>
              <w:rPr>
                <w:sz w:val="14"/>
                <w:szCs w:val="14"/>
                <w:color w:val="auto"/>
              </w:rPr>
            </w:pPr>
          </w:p>
        </w:tc>
        <w:tc>
          <w:tcPr>
            <w:tcW w:w="9020" w:type="dxa"/>
            <w:vAlign w:val="bottom"/>
            <w:shd w:val="clear" w:color="auto" w:fill="C00000"/>
          </w:tcPr>
          <w:p>
            <w:pPr>
              <w:ind w:left="4060"/>
              <w:spacing w:after="0"/>
              <w:rPr>
                <w:sz w:val="20"/>
                <w:szCs w:val="20"/>
                <w:color w:val="auto"/>
              </w:rPr>
            </w:pPr>
            <w:r>
              <w:rPr>
                <w:rFonts w:ascii="Arial" w:cs="Arial" w:eastAsia="Arial" w:hAnsi="Arial"/>
                <w:sz w:val="14"/>
                <w:szCs w:val="14"/>
                <w:b w:val="1"/>
                <w:bCs w:val="1"/>
                <w:color w:val="FFFFFF"/>
              </w:rPr>
              <w:t>Description</w:t>
            </w:r>
          </w:p>
        </w:tc>
      </w:tr>
      <w:tr>
        <w:trPr>
          <w:trHeight w:val="191"/>
        </w:trPr>
        <w:tc>
          <w:tcPr>
            <w:tcW w:w="1800" w:type="dxa"/>
            <w:vAlign w:val="bottom"/>
            <w:shd w:val="clear" w:color="auto" w:fill="D9D9D9"/>
          </w:tcPr>
          <w:p>
            <w:pPr>
              <w:ind w:left="60"/>
              <w:spacing w:after="0"/>
              <w:rPr>
                <w:sz w:val="20"/>
                <w:szCs w:val="20"/>
                <w:color w:val="auto"/>
              </w:rPr>
            </w:pPr>
            <w:r>
              <w:rPr>
                <w:rFonts w:ascii="Arial" w:cs="Arial" w:eastAsia="Arial" w:hAnsi="Arial"/>
                <w:sz w:val="16"/>
                <w:szCs w:val="16"/>
                <w:color w:val="auto"/>
              </w:rPr>
              <w:t>Perquisites</w:t>
            </w: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return preparation, financial counseling and estate planning. Every three years, we will pay up to an additional 50% of the</w:t>
            </w:r>
          </w:p>
        </w:tc>
      </w:tr>
      <w:tr>
        <w:trPr>
          <w:trHeight w:val="189"/>
        </w:trPr>
        <w:tc>
          <w:tcPr>
            <w:tcW w:w="180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(continued)</w:t>
            </w: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annual allowance. Annual allowance ranges from $5,000 to $15,000 depending on the level of the executive officer’s</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position.</w:t>
            </w:r>
          </w:p>
        </w:tc>
      </w:tr>
      <w:tr>
        <w:trPr>
          <w:trHeight w:val="189"/>
        </w:trPr>
        <w:tc>
          <w:tcPr>
            <w:tcW w:w="1800" w:type="dxa"/>
            <w:vAlign w:val="bottom"/>
            <w:shd w:val="clear" w:color="auto" w:fill="D9D9D9"/>
          </w:tcPr>
          <w:p>
            <w:pPr>
              <w:spacing w:after="0"/>
              <w:rPr>
                <w:sz w:val="16"/>
                <w:szCs w:val="16"/>
                <w:color w:val="auto"/>
              </w:rPr>
            </w:pPr>
          </w:p>
        </w:tc>
        <w:tc>
          <w:tcPr>
            <w:tcW w:w="9620" w:type="dxa"/>
            <w:vAlign w:val="bottom"/>
            <w:gridSpan w:val="2"/>
            <w:shd w:val="clear" w:color="auto" w:fill="D9D9D9"/>
          </w:tcPr>
          <w:p>
            <w:pPr>
              <w:ind w:left="500"/>
              <w:spacing w:after="0"/>
              <w:rPr>
                <w:sz w:val="20"/>
                <w:szCs w:val="20"/>
                <w:color w:val="auto"/>
              </w:rPr>
            </w:pPr>
            <w:r>
              <w:rPr>
                <w:rFonts w:ascii="Arial" w:cs="Arial" w:eastAsia="Arial" w:hAnsi="Arial"/>
                <w:sz w:val="16"/>
                <w:szCs w:val="16"/>
                <w:color w:val="auto"/>
              </w:rPr>
              <w:t>• Annual executive physical—To help ensure the health of our executive officers, we generally pay up to $2,000 for approved</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physical exam expenses not covered by the executive officer’s health insurance.</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9020" w:type="dxa"/>
            <w:vAlign w:val="bottom"/>
            <w:shd w:val="clear" w:color="auto" w:fill="D9D9D9"/>
          </w:tcPr>
          <w:p>
            <w:pPr>
              <w:ind w:left="40"/>
              <w:spacing w:after="0"/>
              <w:rPr>
                <w:sz w:val="20"/>
                <w:szCs w:val="20"/>
                <w:color w:val="auto"/>
              </w:rPr>
            </w:pPr>
            <w:r>
              <w:rPr>
                <w:rFonts w:ascii="Arial" w:cs="Arial" w:eastAsia="Arial" w:hAnsi="Arial"/>
                <w:sz w:val="16"/>
                <w:szCs w:val="16"/>
                <w:color w:val="auto"/>
              </w:rPr>
              <w:t>Company products—To enable our executive officers the opportunity to become more familiar with our products and use</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those products on a regular basis, we provide certain Company products and related accessories for personal use at no cost;</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provided, however, that executive officers are responsible for applicable taxes attributable to the value of such products. The</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value of a product or accessory is generally deemed to be our distributor net price or its equivalent, which is also the price at</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spacing w:after="0"/>
              <w:rPr>
                <w:sz w:val="16"/>
                <w:szCs w:val="16"/>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which products are available to employees for purchase.</w:t>
            </w:r>
          </w:p>
        </w:tc>
      </w:tr>
      <w:tr>
        <w:trPr>
          <w:trHeight w:val="189"/>
        </w:trPr>
        <w:tc>
          <w:tcPr>
            <w:tcW w:w="1800" w:type="dxa"/>
            <w:vAlign w:val="bottom"/>
            <w:shd w:val="clear" w:color="auto" w:fill="D9D9D9"/>
          </w:tcPr>
          <w:p>
            <w:pPr>
              <w:spacing w:after="0"/>
              <w:rPr>
                <w:sz w:val="16"/>
                <w:szCs w:val="16"/>
                <w:color w:val="auto"/>
              </w:rPr>
            </w:pPr>
          </w:p>
        </w:tc>
        <w:tc>
          <w:tcPr>
            <w:tcW w:w="600" w:type="dxa"/>
            <w:vAlign w:val="bottom"/>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9020" w:type="dxa"/>
            <w:vAlign w:val="bottom"/>
            <w:shd w:val="clear" w:color="auto" w:fill="D9D9D9"/>
          </w:tcPr>
          <w:p>
            <w:pPr>
              <w:ind w:left="40"/>
              <w:spacing w:after="0"/>
              <w:rPr>
                <w:sz w:val="20"/>
                <w:szCs w:val="20"/>
                <w:color w:val="auto"/>
              </w:rPr>
            </w:pPr>
            <w:r>
              <w:rPr>
                <w:rFonts w:ascii="Arial" w:cs="Arial" w:eastAsia="Arial" w:hAnsi="Arial"/>
                <w:sz w:val="16"/>
                <w:szCs w:val="16"/>
                <w:color w:val="auto"/>
              </w:rPr>
              <w:t>Travel expenses—During fiscal 2017, we paid certain travel costs for spouses of our executive officers in connection with an</w:t>
            </w:r>
          </w:p>
        </w:tc>
      </w:tr>
      <w:tr>
        <w:trPr>
          <w:trHeight w:val="201"/>
        </w:trPr>
        <w:tc>
          <w:tcPr>
            <w:tcW w:w="1800" w:type="dxa"/>
            <w:vAlign w:val="bottom"/>
            <w:shd w:val="clear" w:color="auto" w:fill="D9D9D9"/>
          </w:tcPr>
          <w:p>
            <w:pPr>
              <w:spacing w:after="0"/>
              <w:rPr>
                <w:sz w:val="17"/>
                <w:szCs w:val="17"/>
                <w:color w:val="auto"/>
              </w:rPr>
            </w:pPr>
          </w:p>
        </w:tc>
        <w:tc>
          <w:tcPr>
            <w:tcW w:w="600" w:type="dxa"/>
            <w:vAlign w:val="bottom"/>
            <w:shd w:val="clear" w:color="auto" w:fill="D9D9D9"/>
          </w:tcPr>
          <w:p>
            <w:pPr>
              <w:spacing w:after="0"/>
              <w:rPr>
                <w:sz w:val="17"/>
                <w:szCs w:val="17"/>
                <w:color w:val="auto"/>
              </w:rPr>
            </w:pPr>
          </w:p>
        </w:tc>
        <w:tc>
          <w:tcPr>
            <w:tcW w:w="9020" w:type="dxa"/>
            <w:vAlign w:val="bottom"/>
            <w:shd w:val="clear" w:color="auto" w:fill="D9D9D9"/>
          </w:tcPr>
          <w:p>
            <w:pPr>
              <w:ind w:left="60"/>
              <w:spacing w:after="0"/>
              <w:rPr>
                <w:sz w:val="20"/>
                <w:szCs w:val="20"/>
                <w:color w:val="auto"/>
              </w:rPr>
            </w:pPr>
            <w:r>
              <w:rPr>
                <w:rFonts w:ascii="Arial" w:cs="Arial" w:eastAsia="Arial" w:hAnsi="Arial"/>
                <w:sz w:val="16"/>
                <w:szCs w:val="16"/>
                <w:color w:val="auto"/>
              </w:rPr>
              <w:t>off-site meeting of the Board of Directors.</w:t>
            </w:r>
          </w:p>
        </w:tc>
      </w:tr>
      <w:tr>
        <w:trPr>
          <w:trHeight w:val="191"/>
        </w:trPr>
        <w:tc>
          <w:tcPr>
            <w:tcW w:w="1800" w:type="dxa"/>
            <w:vAlign w:val="bottom"/>
          </w:tcPr>
          <w:p>
            <w:pPr>
              <w:ind w:left="60"/>
              <w:spacing w:after="0"/>
              <w:rPr>
                <w:sz w:val="20"/>
                <w:szCs w:val="20"/>
                <w:color w:val="auto"/>
              </w:rPr>
            </w:pPr>
            <w:r>
              <w:rPr>
                <w:rFonts w:ascii="Arial" w:cs="Arial" w:eastAsia="Arial" w:hAnsi="Arial"/>
                <w:sz w:val="16"/>
                <w:szCs w:val="16"/>
                <w:color w:val="auto"/>
              </w:rPr>
              <w:t>Charitable Giving</w:t>
            </w:r>
          </w:p>
        </w:tc>
        <w:tc>
          <w:tcPr>
            <w:tcW w:w="9620" w:type="dxa"/>
            <w:vAlign w:val="bottom"/>
            <w:gridSpan w:val="2"/>
          </w:tcPr>
          <w:p>
            <w:pPr>
              <w:ind w:left="500"/>
              <w:spacing w:after="0"/>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w:t>
            </w:r>
          </w:p>
        </w:tc>
      </w:tr>
      <w:tr>
        <w:trPr>
          <w:trHeight w:val="189"/>
        </w:trPr>
        <w:tc>
          <w:tcPr>
            <w:tcW w:w="1800" w:type="dxa"/>
            <w:vAlign w:val="bottom"/>
          </w:tcPr>
          <w:p>
            <w:pPr>
              <w:spacing w:after="0"/>
              <w:rPr>
                <w:sz w:val="16"/>
                <w:szCs w:val="16"/>
                <w:color w:val="auto"/>
              </w:rPr>
            </w:pPr>
          </w:p>
        </w:tc>
        <w:tc>
          <w:tcPr>
            <w:tcW w:w="9620" w:type="dxa"/>
            <w:vAlign w:val="bottom"/>
            <w:gridSpan w:val="2"/>
          </w:tcPr>
          <w:p>
            <w:pPr>
              <w:ind w:left="500"/>
              <w:spacing w:after="0"/>
              <w:rPr>
                <w:sz w:val="20"/>
                <w:szCs w:val="20"/>
                <w:color w:val="auto"/>
              </w:rPr>
            </w:pPr>
            <w:r>
              <w:rPr>
                <w:rFonts w:ascii="Arial" w:cs="Arial" w:eastAsia="Arial" w:hAnsi="Arial"/>
                <w:sz w:val="16"/>
                <w:szCs w:val="16"/>
                <w:color w:val="auto"/>
              </w:rPr>
              <w:t>officers provides that a gift or gifts by an executive officer and/or his or her spouse to one or more tax exempt 501(c)(3)</w:t>
            </w:r>
          </w:p>
        </w:tc>
      </w:tr>
      <w:tr>
        <w:trPr>
          <w:trHeight w:val="195"/>
        </w:trPr>
        <w:tc>
          <w:tcPr>
            <w:tcW w:w="1800" w:type="dxa"/>
            <w:vAlign w:val="bottom"/>
          </w:tcPr>
          <w:p>
            <w:pPr>
              <w:spacing w:after="0"/>
              <w:rPr>
                <w:sz w:val="16"/>
                <w:szCs w:val="16"/>
                <w:color w:val="auto"/>
              </w:rPr>
            </w:pPr>
          </w:p>
        </w:tc>
        <w:tc>
          <w:tcPr>
            <w:tcW w:w="9620" w:type="dxa"/>
            <w:vAlign w:val="bottom"/>
            <w:gridSpan w:val="2"/>
          </w:tcPr>
          <w:p>
            <w:pPr>
              <w:ind w:left="500"/>
              <w:spacing w:after="0"/>
              <w:rPr>
                <w:sz w:val="20"/>
                <w:szCs w:val="20"/>
                <w:color w:val="auto"/>
              </w:rPr>
            </w:pPr>
            <w:r>
              <w:rPr>
                <w:rFonts w:ascii="Arial" w:cs="Arial" w:eastAsia="Arial" w:hAnsi="Arial"/>
                <w:sz w:val="16"/>
                <w:szCs w:val="16"/>
                <w:color w:val="auto"/>
              </w:rPr>
              <w:t>charitable organizations located in the United States will be matched by us in an aggregate amount of up to $3,000 per year.</w:t>
            </w:r>
          </w:p>
        </w:tc>
      </w:tr>
    </w:tbl>
    <w:p>
      <w:pPr>
        <w:spacing w:after="0" w:line="100"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Specific amounts included in the fiscal 2017 “All Other Compensation” column of the “Summary Compensation Table” are in the table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shd w:val="clear" w:color="auto" w:fill="C00000"/>
          </w:tcPr>
          <w:p>
            <w:pPr>
              <w:spacing w:after="0"/>
              <w:rPr>
                <w:sz w:val="14"/>
                <w:szCs w:val="14"/>
                <w:color w:val="auto"/>
              </w:rPr>
            </w:pPr>
          </w:p>
        </w:tc>
        <w:tc>
          <w:tcPr>
            <w:tcW w:w="2920" w:type="dxa"/>
            <w:vAlign w:val="bottom"/>
            <w:shd w:val="clear" w:color="auto" w:fill="C00000"/>
          </w:tcPr>
          <w:p>
            <w:pPr>
              <w:ind w:left="1820"/>
              <w:spacing w:after="0"/>
              <w:rPr>
                <w:sz w:val="20"/>
                <w:szCs w:val="20"/>
                <w:color w:val="auto"/>
              </w:rPr>
            </w:pPr>
            <w:r>
              <w:rPr>
                <w:rFonts w:ascii="Arial" w:cs="Arial" w:eastAsia="Arial" w:hAnsi="Arial"/>
                <w:sz w:val="14"/>
                <w:szCs w:val="14"/>
                <w:b w:val="1"/>
                <w:bCs w:val="1"/>
                <w:color w:val="FFFFFF"/>
              </w:rPr>
              <w:t>IS&amp;ESOP</w:t>
            </w:r>
          </w:p>
        </w:tc>
        <w:tc>
          <w:tcPr>
            <w:tcW w:w="17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Nonqualified Plan</w:t>
            </w:r>
          </w:p>
        </w:tc>
        <w:tc>
          <w:tcPr>
            <w:tcW w:w="1120" w:type="dxa"/>
            <w:vAlign w:val="bottom"/>
            <w:shd w:val="clear" w:color="auto" w:fill="C00000"/>
          </w:tcPr>
          <w:p>
            <w:pPr>
              <w:spacing w:after="0"/>
              <w:rPr>
                <w:sz w:val="14"/>
                <w:szCs w:val="14"/>
                <w:color w:val="auto"/>
              </w:rPr>
            </w:pPr>
          </w:p>
        </w:tc>
        <w:tc>
          <w:tcPr>
            <w:tcW w:w="700" w:type="dxa"/>
            <w:vAlign w:val="bottom"/>
            <w:shd w:val="clear" w:color="auto" w:fill="C00000"/>
          </w:tcPr>
          <w:p>
            <w:pPr>
              <w:spacing w:after="0"/>
              <w:rPr>
                <w:sz w:val="14"/>
                <w:szCs w:val="14"/>
                <w:color w:val="auto"/>
              </w:rPr>
            </w:pPr>
          </w:p>
        </w:tc>
        <w:tc>
          <w:tcPr>
            <w:tcW w:w="1400" w:type="dxa"/>
            <w:vAlign w:val="bottom"/>
            <w:shd w:val="clear" w:color="auto" w:fill="C00000"/>
          </w:tcPr>
          <w:p>
            <w:pPr>
              <w:spacing w:after="0"/>
              <w:rPr>
                <w:sz w:val="14"/>
                <w:szCs w:val="14"/>
                <w:color w:val="auto"/>
              </w:rPr>
            </w:pPr>
          </w:p>
        </w:tc>
        <w:tc>
          <w:tcPr>
            <w:tcW w:w="360" w:type="dxa"/>
            <w:vAlign w:val="bottom"/>
            <w:shd w:val="clear" w:color="auto" w:fill="C00000"/>
          </w:tcPr>
          <w:p>
            <w:pPr>
              <w:spacing w:after="0"/>
              <w:rPr>
                <w:sz w:val="14"/>
                <w:szCs w:val="14"/>
                <w:color w:val="auto"/>
              </w:rPr>
            </w:pPr>
          </w:p>
        </w:tc>
        <w:tc>
          <w:tcPr>
            <w:tcW w:w="660" w:type="dxa"/>
            <w:vAlign w:val="bottom"/>
            <w:shd w:val="clear" w:color="auto" w:fill="C00000"/>
          </w:tcPr>
          <w:p>
            <w:pPr>
              <w:spacing w:after="0"/>
              <w:rPr>
                <w:sz w:val="14"/>
                <w:szCs w:val="14"/>
                <w:color w:val="auto"/>
              </w:rPr>
            </w:pPr>
          </w:p>
        </w:tc>
      </w:tr>
      <w:tr>
        <w:trPr>
          <w:trHeight w:val="166"/>
        </w:trPr>
        <w:tc>
          <w:tcPr>
            <w:tcW w:w="2560" w:type="dxa"/>
            <w:vAlign w:val="bottom"/>
            <w:shd w:val="clear" w:color="auto" w:fill="C00000"/>
          </w:tcPr>
          <w:p>
            <w:pPr>
              <w:spacing w:after="0"/>
              <w:rPr>
                <w:sz w:val="14"/>
                <w:szCs w:val="14"/>
                <w:color w:val="auto"/>
              </w:rPr>
            </w:pPr>
          </w:p>
        </w:tc>
        <w:tc>
          <w:tcPr>
            <w:tcW w:w="2920" w:type="dxa"/>
            <w:vAlign w:val="bottom"/>
            <w:shd w:val="clear" w:color="auto" w:fill="C00000"/>
          </w:tcPr>
          <w:p>
            <w:pPr>
              <w:ind w:left="1600"/>
              <w:spacing w:after="0" w:line="165"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(1)</w:t>
            </w:r>
          </w:p>
        </w:tc>
        <w:tc>
          <w:tcPr>
            <w:tcW w:w="170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9"/>
                <w:szCs w:val="19"/>
                <w:b w:val="1"/>
                <w:bCs w:val="1"/>
                <w:color w:val="FFFFFF"/>
                <w:vertAlign w:val="superscript"/>
              </w:rPr>
              <w:t>(2)</w:t>
            </w:r>
          </w:p>
        </w:tc>
        <w:tc>
          <w:tcPr>
            <w:tcW w:w="1820" w:type="dxa"/>
            <w:vAlign w:val="bottom"/>
            <w:gridSpan w:val="2"/>
            <w:shd w:val="clear" w:color="auto" w:fill="C00000"/>
          </w:tcPr>
          <w:p>
            <w:pPr>
              <w:jc w:val="right"/>
              <w:ind w:right="159"/>
              <w:spacing w:after="0" w:line="165" w:lineRule="exact"/>
              <w:rPr>
                <w:sz w:val="20"/>
                <w:szCs w:val="20"/>
                <w:color w:val="auto"/>
              </w:rPr>
            </w:pPr>
            <w:r>
              <w:rPr>
                <w:rFonts w:ascii="Arial" w:cs="Arial" w:eastAsia="Arial" w:hAnsi="Arial"/>
                <w:sz w:val="12"/>
                <w:szCs w:val="12"/>
                <w:b w:val="1"/>
                <w:bCs w:val="1"/>
                <w:color w:val="FFFFFF"/>
              </w:rPr>
              <w:t>Charitable Giving</w:t>
            </w:r>
            <w:r>
              <w:rPr>
                <w:rFonts w:ascii="Arial" w:cs="Arial" w:eastAsia="Arial" w:hAnsi="Arial"/>
                <w:sz w:val="19"/>
                <w:szCs w:val="19"/>
                <w:b w:val="1"/>
                <w:bCs w:val="1"/>
                <w:color w:val="FFFFFF"/>
                <w:vertAlign w:val="superscript"/>
              </w:rPr>
              <w:t>(3)</w:t>
            </w:r>
          </w:p>
        </w:tc>
        <w:tc>
          <w:tcPr>
            <w:tcW w:w="1400" w:type="dxa"/>
            <w:vAlign w:val="bottom"/>
            <w:shd w:val="clear" w:color="auto" w:fill="C00000"/>
          </w:tcPr>
          <w:p>
            <w:pPr>
              <w:jc w:val="right"/>
              <w:ind w:right="163"/>
              <w:spacing w:after="0" w:line="165" w:lineRule="exact"/>
              <w:rPr>
                <w:sz w:val="20"/>
                <w:szCs w:val="20"/>
                <w:color w:val="auto"/>
              </w:rPr>
            </w:pPr>
            <w:r>
              <w:rPr>
                <w:rFonts w:ascii="Arial" w:cs="Arial" w:eastAsia="Arial" w:hAnsi="Arial"/>
                <w:sz w:val="12"/>
                <w:szCs w:val="12"/>
                <w:b w:val="1"/>
                <w:bCs w:val="1"/>
                <w:color w:val="FFFFFF"/>
              </w:rPr>
              <w:t>Perquisites</w:t>
            </w:r>
            <w:r>
              <w:rPr>
                <w:rFonts w:ascii="Arial" w:cs="Arial" w:eastAsia="Arial" w:hAnsi="Arial"/>
                <w:sz w:val="19"/>
                <w:szCs w:val="19"/>
                <w:b w:val="1"/>
                <w:bCs w:val="1"/>
                <w:color w:val="FFFFFF"/>
                <w:vertAlign w:val="superscript"/>
              </w:rPr>
              <w:t>(4)</w:t>
            </w:r>
          </w:p>
        </w:tc>
        <w:tc>
          <w:tcPr>
            <w:tcW w:w="360" w:type="dxa"/>
            <w:vAlign w:val="bottom"/>
            <w:shd w:val="clear" w:color="auto" w:fill="C00000"/>
          </w:tcPr>
          <w:p>
            <w:pPr>
              <w:spacing w:after="0"/>
              <w:rPr>
                <w:sz w:val="14"/>
                <w:szCs w:val="14"/>
                <w:color w:val="auto"/>
              </w:rPr>
            </w:pPr>
          </w:p>
        </w:tc>
        <w:tc>
          <w:tcPr>
            <w:tcW w:w="660" w:type="dxa"/>
            <w:vAlign w:val="bottom"/>
            <w:shd w:val="clear" w:color="auto" w:fill="C00000"/>
          </w:tcPr>
          <w:p>
            <w:pPr>
              <w:jc w:val="right"/>
              <w:ind w:right="182"/>
              <w:spacing w:after="0"/>
              <w:rPr>
                <w:sz w:val="20"/>
                <w:szCs w:val="20"/>
                <w:color w:val="auto"/>
              </w:rPr>
            </w:pPr>
            <w:r>
              <w:rPr>
                <w:rFonts w:ascii="Arial" w:cs="Arial" w:eastAsia="Arial" w:hAnsi="Arial"/>
                <w:sz w:val="14"/>
                <w:szCs w:val="14"/>
                <w:b w:val="1"/>
                <w:bCs w:val="1"/>
                <w:color w:val="FFFFFF"/>
              </w:rPr>
              <w:t>Total</w:t>
            </w:r>
          </w:p>
        </w:tc>
      </w:tr>
      <w:tr>
        <w:trPr>
          <w:trHeight w:val="189"/>
        </w:trPr>
        <w:tc>
          <w:tcPr>
            <w:tcW w:w="25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2920" w:type="dxa"/>
            <w:vAlign w:val="bottom"/>
            <w:shd w:val="clear" w:color="auto" w:fill="C00000"/>
          </w:tcPr>
          <w:p>
            <w:pPr>
              <w:ind w:left="2060"/>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C00000"/>
          </w:tcPr>
          <w:p>
            <w:pPr>
              <w:jc w:val="center"/>
              <w:ind w:left="684"/>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C00000"/>
          </w:tcPr>
          <w:p>
            <w:pPr>
              <w:spacing w:after="0"/>
              <w:rPr>
                <w:sz w:val="16"/>
                <w:szCs w:val="16"/>
                <w:color w:val="auto"/>
              </w:rPr>
            </w:pPr>
          </w:p>
        </w:tc>
        <w:tc>
          <w:tcPr>
            <w:tcW w:w="1120" w:type="dxa"/>
            <w:vAlign w:val="bottom"/>
            <w:shd w:val="clear" w:color="auto" w:fill="C00000"/>
          </w:tcPr>
          <w:p>
            <w:pPr>
              <w:jc w:val="right"/>
              <w:ind w:right="43"/>
              <w:spacing w:after="0"/>
              <w:rPr>
                <w:sz w:val="20"/>
                <w:szCs w:val="20"/>
                <w:color w:val="auto"/>
              </w:rPr>
            </w:pPr>
            <w:r>
              <w:rPr>
                <w:rFonts w:ascii="Arial" w:cs="Arial" w:eastAsia="Arial" w:hAnsi="Arial"/>
                <w:sz w:val="14"/>
                <w:szCs w:val="14"/>
                <w:b w:val="1"/>
                <w:bCs w:val="1"/>
                <w:color w:val="FFFFFF"/>
              </w:rPr>
              <w:t>($)</w:t>
            </w:r>
          </w:p>
        </w:tc>
        <w:tc>
          <w:tcPr>
            <w:tcW w:w="700" w:type="dxa"/>
            <w:vAlign w:val="bottom"/>
            <w:shd w:val="clear" w:color="auto" w:fill="C00000"/>
          </w:tcPr>
          <w:p>
            <w:pPr>
              <w:spacing w:after="0"/>
              <w:rPr>
                <w:sz w:val="16"/>
                <w:szCs w:val="16"/>
                <w:color w:val="auto"/>
              </w:rPr>
            </w:pPr>
          </w:p>
        </w:tc>
        <w:tc>
          <w:tcPr>
            <w:tcW w:w="1400" w:type="dxa"/>
            <w:vAlign w:val="bottom"/>
            <w:shd w:val="clear" w:color="auto" w:fill="C00000"/>
          </w:tcPr>
          <w:p>
            <w:pPr>
              <w:jc w:val="right"/>
              <w:ind w:right="543"/>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C00000"/>
          </w:tcPr>
          <w:p>
            <w:pPr>
              <w:spacing w:after="0"/>
              <w:rPr>
                <w:sz w:val="16"/>
                <w:szCs w:val="16"/>
                <w:color w:val="auto"/>
              </w:rPr>
            </w:pPr>
          </w:p>
        </w:tc>
        <w:tc>
          <w:tcPr>
            <w:tcW w:w="660" w:type="dxa"/>
            <w:vAlign w:val="bottom"/>
            <w:shd w:val="clear" w:color="auto" w:fill="C00000"/>
          </w:tcPr>
          <w:p>
            <w:pPr>
              <w:jc w:val="right"/>
              <w:ind w:right="262"/>
              <w:spacing w:after="0"/>
              <w:rPr>
                <w:sz w:val="20"/>
                <w:szCs w:val="20"/>
                <w:color w:val="auto"/>
              </w:rPr>
            </w:pPr>
            <w:r>
              <w:rPr>
                <w:rFonts w:ascii="Arial" w:cs="Arial" w:eastAsia="Arial" w:hAnsi="Arial"/>
                <w:sz w:val="14"/>
                <w:szCs w:val="14"/>
                <w:b w:val="1"/>
                <w:bCs w:val="1"/>
                <w:color w:val="FFFFFF"/>
              </w:rPr>
              <w:t>($)</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Mr. Olson</w:t>
            </w:r>
          </w:p>
        </w:tc>
        <w:tc>
          <w:tcPr>
            <w:tcW w:w="2920" w:type="dxa"/>
            <w:vAlign w:val="bottom"/>
          </w:tcPr>
          <w:p>
            <w:pPr>
              <w:ind w:left="2060"/>
              <w:spacing w:after="0"/>
              <w:rPr>
                <w:sz w:val="20"/>
                <w:szCs w:val="20"/>
                <w:color w:val="auto"/>
              </w:rPr>
            </w:pPr>
            <w:r>
              <w:rPr>
                <w:rFonts w:ascii="Arial" w:cs="Arial" w:eastAsia="Arial" w:hAnsi="Arial"/>
                <w:sz w:val="16"/>
                <w:szCs w:val="16"/>
                <w:color w:val="auto"/>
              </w:rPr>
              <w:t>$ 23,861</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color w:val="auto"/>
              </w:rPr>
              <w:t>$ 115,393</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3,000</w:t>
            </w:r>
          </w:p>
        </w:tc>
        <w:tc>
          <w:tcPr>
            <w:tcW w:w="1400" w:type="dxa"/>
            <w:vAlign w:val="bottom"/>
          </w:tcPr>
          <w:p>
            <w:pPr>
              <w:jc w:val="right"/>
              <w:ind w:right="163"/>
              <w:spacing w:after="0"/>
              <w:rPr>
                <w:sz w:val="20"/>
                <w:szCs w:val="20"/>
                <w:color w:val="auto"/>
              </w:rPr>
            </w:pPr>
            <w:r>
              <w:rPr>
                <w:rFonts w:ascii="Arial" w:cs="Arial" w:eastAsia="Arial" w:hAnsi="Arial"/>
                <w:sz w:val="16"/>
                <w:szCs w:val="16"/>
                <w:color w:val="auto"/>
              </w:rPr>
              <w:t>$ 17,274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159,528</w:t>
            </w:r>
          </w:p>
        </w:tc>
      </w:tr>
      <w:tr>
        <w:trPr>
          <w:trHeight w:val="189"/>
        </w:trPr>
        <w:tc>
          <w:tcPr>
            <w:tcW w:w="256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2920" w:type="dxa"/>
            <w:vAlign w:val="bottom"/>
            <w:shd w:val="clear" w:color="auto" w:fill="D9D9D9"/>
          </w:tcPr>
          <w:p>
            <w:pPr>
              <w:ind w:left="2060"/>
              <w:spacing w:after="0"/>
              <w:rPr>
                <w:sz w:val="20"/>
                <w:szCs w:val="20"/>
                <w:color w:val="auto"/>
              </w:rPr>
            </w:pPr>
            <w:r>
              <w:rPr>
                <w:rFonts w:ascii="Arial" w:cs="Arial" w:eastAsia="Arial" w:hAnsi="Arial"/>
                <w:sz w:val="16"/>
                <w:szCs w:val="16"/>
                <w:color w:val="auto"/>
              </w:rPr>
              <w:t>$ 23,861</w:t>
            </w:r>
          </w:p>
        </w:tc>
        <w:tc>
          <w:tcPr>
            <w:tcW w:w="94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58,275</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3,000</w:t>
            </w:r>
          </w:p>
        </w:tc>
        <w:tc>
          <w:tcPr>
            <w:tcW w:w="1400" w:type="dxa"/>
            <w:vAlign w:val="bottom"/>
            <w:shd w:val="clear" w:color="auto" w:fill="D9D9D9"/>
          </w:tcPr>
          <w:p>
            <w:pPr>
              <w:jc w:val="right"/>
              <w:ind w:right="163"/>
              <w:spacing w:after="0"/>
              <w:rPr>
                <w:sz w:val="20"/>
                <w:szCs w:val="20"/>
                <w:color w:val="auto"/>
              </w:rPr>
            </w:pPr>
            <w:r>
              <w:rPr>
                <w:rFonts w:ascii="Arial" w:cs="Arial" w:eastAsia="Arial" w:hAnsi="Arial"/>
                <w:sz w:val="16"/>
                <w:szCs w:val="16"/>
                <w:color w:val="auto"/>
              </w:rPr>
              <w:t>$ 40,508</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125,644</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Mr. Hoffman</w:t>
            </w:r>
          </w:p>
        </w:tc>
        <w:tc>
          <w:tcPr>
            <w:tcW w:w="2920" w:type="dxa"/>
            <w:vAlign w:val="bottom"/>
          </w:tcPr>
          <w:p>
            <w:pPr>
              <w:ind w:left="2060"/>
              <w:spacing w:after="0"/>
              <w:rPr>
                <w:sz w:val="20"/>
                <w:szCs w:val="20"/>
                <w:color w:val="auto"/>
              </w:rPr>
            </w:pPr>
            <w:r>
              <w:rPr>
                <w:rFonts w:ascii="Arial" w:cs="Arial" w:eastAsia="Arial" w:hAnsi="Arial"/>
                <w:sz w:val="16"/>
                <w:szCs w:val="16"/>
                <w:color w:val="auto"/>
              </w:rPr>
              <w:t>$ 23,861</w:t>
            </w:r>
          </w:p>
        </w:tc>
        <w:tc>
          <w:tcPr>
            <w:tcW w:w="1700" w:type="dxa"/>
            <w:vAlign w:val="bottom"/>
            <w:gridSpan w:val="2"/>
          </w:tcPr>
          <w:p>
            <w:pPr>
              <w:jc w:val="right"/>
              <w:ind w:right="159"/>
              <w:spacing w:after="0"/>
              <w:rPr>
                <w:sz w:val="20"/>
                <w:szCs w:val="20"/>
                <w:color w:val="auto"/>
              </w:rPr>
            </w:pPr>
            <w:r>
              <w:rPr>
                <w:rFonts w:ascii="Arial" w:cs="Arial" w:eastAsia="Arial" w:hAnsi="Arial"/>
                <w:sz w:val="16"/>
                <w:szCs w:val="16"/>
                <w:color w:val="auto"/>
              </w:rPr>
              <w:t>$ 122,229</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3,000</w:t>
            </w:r>
          </w:p>
        </w:tc>
        <w:tc>
          <w:tcPr>
            <w:tcW w:w="1400" w:type="dxa"/>
            <w:vAlign w:val="bottom"/>
          </w:tcPr>
          <w:p>
            <w:pPr>
              <w:jc w:val="right"/>
              <w:ind w:right="163"/>
              <w:spacing w:after="0"/>
              <w:rPr>
                <w:sz w:val="20"/>
                <w:szCs w:val="20"/>
                <w:color w:val="auto"/>
              </w:rPr>
            </w:pPr>
            <w:r>
              <w:rPr>
                <w:rFonts w:ascii="Arial" w:cs="Arial" w:eastAsia="Arial" w:hAnsi="Arial"/>
                <w:sz w:val="16"/>
                <w:szCs w:val="16"/>
                <w:color w:val="auto"/>
              </w:rPr>
              <w:t>$ 33,122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182,212</w:t>
            </w:r>
          </w:p>
        </w:tc>
      </w:tr>
      <w:tr>
        <w:trPr>
          <w:trHeight w:val="189"/>
        </w:trPr>
        <w:tc>
          <w:tcPr>
            <w:tcW w:w="2560" w:type="dxa"/>
            <w:vAlign w:val="bottom"/>
            <w:shd w:val="clear" w:color="auto" w:fill="D9D9D9"/>
          </w:tcPr>
          <w:p>
            <w:pPr>
              <w:spacing w:after="0"/>
              <w:rPr>
                <w:sz w:val="20"/>
                <w:szCs w:val="20"/>
                <w:color w:val="auto"/>
              </w:rPr>
            </w:pPr>
            <w:r>
              <w:rPr>
                <w:rFonts w:ascii="Arial" w:cs="Arial" w:eastAsia="Arial" w:hAnsi="Arial"/>
                <w:sz w:val="16"/>
                <w:szCs w:val="16"/>
                <w:color w:val="auto"/>
              </w:rPr>
              <w:t>Mr. Brown</w:t>
            </w:r>
          </w:p>
        </w:tc>
        <w:tc>
          <w:tcPr>
            <w:tcW w:w="2920" w:type="dxa"/>
            <w:vAlign w:val="bottom"/>
            <w:shd w:val="clear" w:color="auto" w:fill="D9D9D9"/>
          </w:tcPr>
          <w:p>
            <w:pPr>
              <w:ind w:left="2060"/>
              <w:spacing w:after="0"/>
              <w:rPr>
                <w:sz w:val="20"/>
                <w:szCs w:val="20"/>
                <w:color w:val="auto"/>
              </w:rPr>
            </w:pPr>
            <w:r>
              <w:rPr>
                <w:rFonts w:ascii="Arial" w:cs="Arial" w:eastAsia="Arial" w:hAnsi="Arial"/>
                <w:sz w:val="16"/>
                <w:szCs w:val="16"/>
                <w:color w:val="auto"/>
              </w:rPr>
              <w:t>$ 18,707</w:t>
            </w:r>
          </w:p>
        </w:tc>
        <w:tc>
          <w:tcPr>
            <w:tcW w:w="940" w:type="dxa"/>
            <w:vAlign w:val="bottom"/>
            <w:shd w:val="clear" w:color="auto" w:fill="D9D9D9"/>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47,438</w:t>
            </w:r>
          </w:p>
        </w:tc>
        <w:tc>
          <w:tcPr>
            <w:tcW w:w="11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ind w:right="159"/>
              <w:spacing w:after="0"/>
              <w:rPr>
                <w:sz w:val="20"/>
                <w:szCs w:val="20"/>
                <w:color w:val="auto"/>
              </w:rPr>
            </w:pPr>
            <w:r>
              <w:rPr>
                <w:rFonts w:ascii="Arial" w:cs="Arial" w:eastAsia="Arial" w:hAnsi="Arial"/>
                <w:sz w:val="16"/>
                <w:szCs w:val="16"/>
                <w:color w:val="auto"/>
              </w:rPr>
              <w:t>3,000</w:t>
            </w:r>
          </w:p>
        </w:tc>
        <w:tc>
          <w:tcPr>
            <w:tcW w:w="1400" w:type="dxa"/>
            <w:vAlign w:val="bottom"/>
            <w:shd w:val="clear" w:color="auto" w:fill="D9D9D9"/>
          </w:tcPr>
          <w:p>
            <w:pPr>
              <w:jc w:val="right"/>
              <w:ind w:right="163"/>
              <w:spacing w:after="0"/>
              <w:rPr>
                <w:sz w:val="20"/>
                <w:szCs w:val="20"/>
                <w:color w:val="auto"/>
              </w:rPr>
            </w:pPr>
            <w:r>
              <w:rPr>
                <w:rFonts w:ascii="Arial" w:cs="Arial" w:eastAsia="Arial" w:hAnsi="Arial"/>
                <w:sz w:val="16"/>
                <w:szCs w:val="16"/>
                <w:color w:val="auto"/>
              </w:rPr>
              <w:t>$ 25,491</w:t>
            </w:r>
          </w:p>
        </w:tc>
        <w:tc>
          <w:tcPr>
            <w:tcW w:w="3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94,636</w:t>
            </w:r>
          </w:p>
        </w:tc>
      </w:tr>
      <w:tr>
        <w:trPr>
          <w:trHeight w:val="197"/>
        </w:trPr>
        <w:tc>
          <w:tcPr>
            <w:tcW w:w="2560" w:type="dxa"/>
            <w:vAlign w:val="bottom"/>
          </w:tcPr>
          <w:p>
            <w:pPr>
              <w:spacing w:after="0"/>
              <w:rPr>
                <w:sz w:val="20"/>
                <w:szCs w:val="20"/>
                <w:color w:val="auto"/>
              </w:rPr>
            </w:pPr>
            <w:r>
              <w:rPr>
                <w:rFonts w:ascii="Arial" w:cs="Arial" w:eastAsia="Arial" w:hAnsi="Arial"/>
                <w:sz w:val="16"/>
                <w:szCs w:val="16"/>
                <w:color w:val="auto"/>
              </w:rPr>
              <w:t>Mr. Dordell</w:t>
            </w:r>
          </w:p>
        </w:tc>
        <w:tc>
          <w:tcPr>
            <w:tcW w:w="2920" w:type="dxa"/>
            <w:vAlign w:val="bottom"/>
          </w:tcPr>
          <w:p>
            <w:pPr>
              <w:ind w:left="2060"/>
              <w:spacing w:after="0"/>
              <w:rPr>
                <w:sz w:val="20"/>
                <w:szCs w:val="20"/>
                <w:color w:val="auto"/>
              </w:rPr>
            </w:pPr>
            <w:r>
              <w:rPr>
                <w:rFonts w:ascii="Arial" w:cs="Arial" w:eastAsia="Arial" w:hAnsi="Arial"/>
                <w:sz w:val="16"/>
                <w:szCs w:val="16"/>
                <w:color w:val="auto"/>
              </w:rPr>
              <w:t>$ 22,643</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39,941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3,000</w:t>
            </w:r>
          </w:p>
        </w:tc>
        <w:tc>
          <w:tcPr>
            <w:tcW w:w="1400" w:type="dxa"/>
            <w:vAlign w:val="bottom"/>
          </w:tcPr>
          <w:p>
            <w:pPr>
              <w:jc w:val="right"/>
              <w:ind w:right="163"/>
              <w:spacing w:after="0"/>
              <w:rPr>
                <w:sz w:val="20"/>
                <w:szCs w:val="20"/>
                <w:color w:val="auto"/>
              </w:rPr>
            </w:pPr>
            <w:r>
              <w:rPr>
                <w:rFonts w:ascii="Arial" w:cs="Arial" w:eastAsia="Arial" w:hAnsi="Arial"/>
                <w:sz w:val="16"/>
                <w:szCs w:val="16"/>
                <w:color w:val="auto"/>
              </w:rPr>
              <w:t>$ 31,919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865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1" w:lineRule="exact"/>
        <w:rPr>
          <w:sz w:val="20"/>
          <w:szCs w:val="20"/>
          <w:color w:val="auto"/>
        </w:rPr>
      </w:pPr>
    </w:p>
    <w:p>
      <w:pPr>
        <w:ind w:left="460" w:right="8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(i) matching contributions, (ii) investment savings contributions, and (iii) ESOP contributions to the IS&amp;ESOP.</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Deferred Plan and Supplemental Benefit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76" w:lineRule="exact"/>
        <w:rPr>
          <w:rFonts w:ascii="Arial" w:cs="Arial" w:eastAsia="Arial" w:hAnsi="Arial"/>
          <w:sz w:val="18"/>
          <w:szCs w:val="18"/>
          <w:color w:val="auto"/>
        </w:rPr>
      </w:pPr>
    </w:p>
    <w:p>
      <w:pPr>
        <w:ind w:left="460" w:right="420" w:hanging="452"/>
        <w:spacing w:after="0" w:line="23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an off-site meeting of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Grants of Plan-Based Awards for Fiscal 2017</w:t>
      </w:r>
    </w:p>
    <w:p>
      <w:pPr>
        <w:spacing w:after="0" w:line="126" w:lineRule="exact"/>
        <w:rPr>
          <w:sz w:val="20"/>
          <w:szCs w:val="20"/>
          <w:color w:val="auto"/>
        </w:rPr>
      </w:pPr>
    </w:p>
    <w:p>
      <w:pPr>
        <w:jc w:val="both"/>
        <w:ind w:right="100" w:firstLine="456"/>
        <w:spacing w:after="0"/>
        <w:rPr>
          <w:sz w:val="20"/>
          <w:szCs w:val="20"/>
          <w:color w:val="auto"/>
        </w:rPr>
      </w:pPr>
      <w:r>
        <w:rPr>
          <w:rFonts w:ascii="Arial" w:cs="Arial" w:eastAsia="Arial" w:hAnsi="Arial"/>
          <w:sz w:val="18"/>
          <w:szCs w:val="18"/>
          <w:color w:val="auto"/>
        </w:rPr>
        <w:t>We currently grant cash and equity awards under our Amended and Restated 2010 Plan. During fiscal 2017, plan-based awards granted to our named executive officers included annual cash incentive awards, performance share awards, and stock option awards. More details on these grants can be found within the “Compensation Discussion and Analysis.”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all plan-based awards granted to our named executive officers during fiscal 2017.</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5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440" w:type="dxa"/>
            <w:vAlign w:val="bottom"/>
            <w:shd w:val="clear" w:color="auto" w:fill="C00000"/>
          </w:tcPr>
          <w:p>
            <w:pPr>
              <w:spacing w:after="0"/>
              <w:rPr>
                <w:sz w:val="10"/>
                <w:szCs w:val="10"/>
                <w:color w:val="auto"/>
              </w:rPr>
            </w:pPr>
          </w:p>
        </w:tc>
        <w:tc>
          <w:tcPr>
            <w:tcW w:w="6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68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62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r>
      <w:tr>
        <w:trPr>
          <w:trHeight w:val="122"/>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5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440" w:type="dxa"/>
            <w:vAlign w:val="bottom"/>
            <w:shd w:val="clear" w:color="auto" w:fill="C00000"/>
          </w:tcPr>
          <w:p>
            <w:pPr>
              <w:spacing w:after="0"/>
              <w:rPr>
                <w:sz w:val="10"/>
                <w:szCs w:val="10"/>
                <w:color w:val="auto"/>
              </w:rPr>
            </w:pPr>
          </w:p>
        </w:tc>
        <w:tc>
          <w:tcPr>
            <w:tcW w:w="64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9"/>
              </w:rPr>
              <w:t>Stock</w:t>
            </w:r>
          </w:p>
        </w:tc>
        <w:tc>
          <w:tcPr>
            <w:tcW w:w="68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5"/>
              </w:rPr>
              <w:t>Option</w:t>
            </w:r>
          </w:p>
        </w:tc>
        <w:tc>
          <w:tcPr>
            <w:tcW w:w="620" w:type="dxa"/>
            <w:vAlign w:val="bottom"/>
            <w:shd w:val="clear" w:color="auto" w:fill="C00000"/>
          </w:tcPr>
          <w:p>
            <w:pPr>
              <w:spacing w:after="0"/>
              <w:rPr>
                <w:sz w:val="10"/>
                <w:szCs w:val="10"/>
                <w:color w:val="auto"/>
              </w:rPr>
            </w:pPr>
          </w:p>
        </w:tc>
        <w:tc>
          <w:tcPr>
            <w:tcW w:w="7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rPr>
              <w:t>Grant</w:t>
            </w:r>
          </w:p>
        </w:tc>
      </w:tr>
      <w:tr>
        <w:trPr>
          <w:trHeight w:val="122"/>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5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660" w:type="dxa"/>
            <w:vAlign w:val="bottom"/>
            <w:shd w:val="clear" w:color="auto" w:fill="C00000"/>
          </w:tcPr>
          <w:p>
            <w:pPr>
              <w:spacing w:after="0"/>
              <w:rPr>
                <w:sz w:val="10"/>
                <w:szCs w:val="10"/>
                <w:color w:val="auto"/>
              </w:rPr>
            </w:pPr>
          </w:p>
        </w:tc>
        <w:tc>
          <w:tcPr>
            <w:tcW w:w="72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640" w:type="dxa"/>
            <w:vAlign w:val="bottom"/>
            <w:shd w:val="clear" w:color="auto" w:fill="C00000"/>
          </w:tcPr>
          <w:p>
            <w:pPr>
              <w:spacing w:after="0"/>
              <w:rPr>
                <w:sz w:val="10"/>
                <w:szCs w:val="10"/>
                <w:color w:val="auto"/>
              </w:rPr>
            </w:pPr>
          </w:p>
        </w:tc>
        <w:tc>
          <w:tcPr>
            <w:tcW w:w="440" w:type="dxa"/>
            <w:vAlign w:val="bottom"/>
            <w:shd w:val="clear" w:color="auto" w:fill="C00000"/>
          </w:tcPr>
          <w:p>
            <w:pPr>
              <w:spacing w:after="0"/>
              <w:rPr>
                <w:sz w:val="10"/>
                <w:szCs w:val="10"/>
                <w:color w:val="auto"/>
              </w:rPr>
            </w:pPr>
          </w:p>
        </w:tc>
        <w:tc>
          <w:tcPr>
            <w:tcW w:w="64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68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6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7"/>
              </w:rPr>
              <w:t>Exercise</w:t>
            </w:r>
          </w:p>
        </w:tc>
        <w:tc>
          <w:tcPr>
            <w:tcW w:w="7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7"/>
              </w:rPr>
              <w:t>Date Fair</w:t>
            </w:r>
          </w:p>
        </w:tc>
      </w:tr>
      <w:tr>
        <w:trPr>
          <w:trHeight w:val="122"/>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580" w:type="dxa"/>
            <w:vAlign w:val="bottom"/>
            <w:shd w:val="clear" w:color="auto" w:fill="C00000"/>
          </w:tcPr>
          <w:p>
            <w:pPr>
              <w:spacing w:after="0"/>
              <w:rPr>
                <w:sz w:val="10"/>
                <w:szCs w:val="10"/>
                <w:color w:val="auto"/>
              </w:rPr>
            </w:pPr>
          </w:p>
        </w:tc>
        <w:tc>
          <w:tcPr>
            <w:tcW w:w="1980" w:type="dxa"/>
            <w:vAlign w:val="bottom"/>
            <w:gridSpan w:val="3"/>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Estimated Future Payouts</w:t>
            </w:r>
          </w:p>
        </w:tc>
        <w:tc>
          <w:tcPr>
            <w:tcW w:w="1720" w:type="dxa"/>
            <w:vAlign w:val="bottom"/>
            <w:gridSpan w:val="3"/>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Estimated Future Payouts</w:t>
            </w:r>
          </w:p>
        </w:tc>
        <w:tc>
          <w:tcPr>
            <w:tcW w:w="64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8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Number of</w:t>
            </w:r>
          </w:p>
        </w:tc>
        <w:tc>
          <w:tcPr>
            <w:tcW w:w="6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9"/>
              </w:rPr>
              <w:t>or Base</w:t>
            </w:r>
          </w:p>
        </w:tc>
        <w:tc>
          <w:tcPr>
            <w:tcW w:w="7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Value of</w:t>
            </w:r>
          </w:p>
        </w:tc>
      </w:tr>
      <w:tr>
        <w:trPr>
          <w:trHeight w:val="122"/>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spacing w:after="0"/>
              <w:rPr>
                <w:sz w:val="10"/>
                <w:szCs w:val="10"/>
                <w:color w:val="auto"/>
              </w:rPr>
            </w:pPr>
          </w:p>
        </w:tc>
        <w:tc>
          <w:tcPr>
            <w:tcW w:w="580" w:type="dxa"/>
            <w:vAlign w:val="bottom"/>
            <w:shd w:val="clear" w:color="auto" w:fill="C00000"/>
          </w:tcPr>
          <w:p>
            <w:pPr>
              <w:spacing w:after="0"/>
              <w:rPr>
                <w:sz w:val="10"/>
                <w:szCs w:val="10"/>
                <w:color w:val="auto"/>
              </w:rPr>
            </w:pPr>
          </w:p>
        </w:tc>
        <w:tc>
          <w:tcPr>
            <w:tcW w:w="1980" w:type="dxa"/>
            <w:vAlign w:val="bottom"/>
            <w:gridSpan w:val="3"/>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9"/>
              </w:rPr>
              <w:t>Under Non-Equity Incentive</w:t>
            </w:r>
          </w:p>
        </w:tc>
        <w:tc>
          <w:tcPr>
            <w:tcW w:w="1720" w:type="dxa"/>
            <w:vAlign w:val="bottom"/>
            <w:gridSpan w:val="3"/>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Under Equity Incentive</w:t>
            </w:r>
          </w:p>
        </w:tc>
        <w:tc>
          <w:tcPr>
            <w:tcW w:w="64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5"/>
              </w:rPr>
              <w:t>Shares of</w:t>
            </w:r>
          </w:p>
        </w:tc>
        <w:tc>
          <w:tcPr>
            <w:tcW w:w="68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6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9"/>
              </w:rPr>
              <w:t>Price of</w:t>
            </w:r>
          </w:p>
        </w:tc>
        <w:tc>
          <w:tcPr>
            <w:tcW w:w="720" w:type="dxa"/>
            <w:vAlign w:val="bottom"/>
            <w:shd w:val="clear" w:color="auto" w:fill="C00000"/>
          </w:tcPr>
          <w:p>
            <w:pPr>
              <w:jc w:val="center"/>
              <w:spacing w:after="0" w:line="122" w:lineRule="exact"/>
              <w:rPr>
                <w:sz w:val="20"/>
                <w:szCs w:val="20"/>
                <w:color w:val="auto"/>
              </w:rPr>
            </w:pPr>
            <w:r>
              <w:rPr>
                <w:rFonts w:ascii="Arial" w:cs="Arial" w:eastAsia="Arial" w:hAnsi="Arial"/>
                <w:sz w:val="11"/>
                <w:szCs w:val="11"/>
                <w:b w:val="1"/>
                <w:bCs w:val="1"/>
                <w:color w:val="FFFFFF"/>
                <w:w w:val="95"/>
              </w:rPr>
              <w:t>Stock and</w:t>
            </w:r>
          </w:p>
        </w:tc>
      </w:tr>
      <w:tr>
        <w:trPr>
          <w:trHeight w:val="149"/>
        </w:trPr>
        <w:tc>
          <w:tcPr>
            <w:tcW w:w="3880" w:type="dxa"/>
            <w:vAlign w:val="bottom"/>
            <w:shd w:val="clear" w:color="auto" w:fill="C00000"/>
          </w:tcPr>
          <w:p>
            <w:pPr>
              <w:spacing w:after="0"/>
              <w:rPr>
                <w:sz w:val="12"/>
                <w:szCs w:val="12"/>
                <w:color w:val="auto"/>
              </w:rPr>
            </w:pPr>
          </w:p>
        </w:tc>
        <w:tc>
          <w:tcPr>
            <w:tcW w:w="600" w:type="dxa"/>
            <w:vAlign w:val="bottom"/>
            <w:shd w:val="clear" w:color="auto" w:fill="C00000"/>
          </w:tcPr>
          <w:p>
            <w:pPr>
              <w:spacing w:after="0"/>
              <w:rPr>
                <w:sz w:val="12"/>
                <w:szCs w:val="12"/>
                <w:color w:val="auto"/>
              </w:rPr>
            </w:pPr>
          </w:p>
        </w:tc>
        <w:tc>
          <w:tcPr>
            <w:tcW w:w="580" w:type="dxa"/>
            <w:vAlign w:val="bottom"/>
            <w:shd w:val="clear" w:color="auto" w:fill="C00000"/>
          </w:tcPr>
          <w:p>
            <w:pPr>
              <w:spacing w:after="0"/>
              <w:rPr>
                <w:sz w:val="12"/>
                <w:szCs w:val="12"/>
                <w:color w:val="auto"/>
              </w:rPr>
            </w:pPr>
          </w:p>
        </w:tc>
        <w:tc>
          <w:tcPr>
            <w:tcW w:w="600" w:type="dxa"/>
            <w:vAlign w:val="bottom"/>
            <w:shd w:val="clear" w:color="auto" w:fill="C00000"/>
          </w:tcPr>
          <w:p>
            <w:pPr>
              <w:spacing w:after="0"/>
              <w:rPr>
                <w:sz w:val="12"/>
                <w:szCs w:val="12"/>
                <w:color w:val="auto"/>
              </w:rPr>
            </w:pPr>
          </w:p>
        </w:tc>
        <w:tc>
          <w:tcPr>
            <w:tcW w:w="1380" w:type="dxa"/>
            <w:vAlign w:val="bottom"/>
            <w:gridSpan w:val="2"/>
            <w:shd w:val="clear" w:color="auto" w:fill="C00000"/>
          </w:tcPr>
          <w:p>
            <w:pPr>
              <w:jc w:val="center"/>
              <w:ind w:right="566"/>
              <w:spacing w:after="0"/>
              <w:rPr>
                <w:sz w:val="20"/>
                <w:szCs w:val="20"/>
                <w:color w:val="auto"/>
              </w:rPr>
            </w:pPr>
            <w:r>
              <w:rPr>
                <w:rFonts w:ascii="Arial" w:cs="Arial" w:eastAsia="Arial" w:hAnsi="Arial"/>
                <w:sz w:val="11"/>
                <w:szCs w:val="11"/>
                <w:b w:val="1"/>
                <w:bCs w:val="1"/>
                <w:color w:val="FFFFFF"/>
                <w:w w:val="98"/>
              </w:rPr>
              <w:t>Plan Awards</w:t>
            </w:r>
            <w:r>
              <w:rPr>
                <w:rFonts w:ascii="Arial" w:cs="Arial" w:eastAsia="Arial" w:hAnsi="Arial"/>
                <w:sz w:val="9"/>
                <w:szCs w:val="9"/>
                <w:b w:val="1"/>
                <w:bCs w:val="1"/>
                <w:color w:val="FFFFFF"/>
                <w:w w:val="98"/>
              </w:rPr>
              <w:t>(1)</w:t>
            </w:r>
          </w:p>
        </w:tc>
        <w:tc>
          <w:tcPr>
            <w:tcW w:w="1280" w:type="dxa"/>
            <w:vAlign w:val="bottom"/>
            <w:gridSpan w:val="2"/>
            <w:shd w:val="clear" w:color="auto" w:fill="C00000"/>
          </w:tcPr>
          <w:p>
            <w:pPr>
              <w:jc w:val="center"/>
              <w:ind w:left="386"/>
              <w:spacing w:after="0"/>
              <w:rPr>
                <w:sz w:val="20"/>
                <w:szCs w:val="20"/>
                <w:color w:val="auto"/>
              </w:rPr>
            </w:pPr>
            <w:r>
              <w:rPr>
                <w:rFonts w:ascii="Arial" w:cs="Arial" w:eastAsia="Arial" w:hAnsi="Arial"/>
                <w:sz w:val="11"/>
                <w:szCs w:val="11"/>
                <w:b w:val="1"/>
                <w:bCs w:val="1"/>
                <w:color w:val="FFFFFF"/>
                <w:w w:val="98"/>
              </w:rPr>
              <w:t>Plan Awards</w:t>
            </w:r>
            <w:r>
              <w:rPr>
                <w:rFonts w:ascii="Arial" w:cs="Arial" w:eastAsia="Arial" w:hAnsi="Arial"/>
                <w:sz w:val="9"/>
                <w:szCs w:val="9"/>
                <w:b w:val="1"/>
                <w:bCs w:val="1"/>
                <w:color w:val="FFFFFF"/>
                <w:w w:val="98"/>
              </w:rPr>
              <w:t>(2)</w:t>
            </w:r>
          </w:p>
        </w:tc>
        <w:tc>
          <w:tcPr>
            <w:tcW w:w="440" w:type="dxa"/>
            <w:vAlign w:val="bottom"/>
            <w:shd w:val="clear" w:color="auto" w:fill="C00000"/>
          </w:tcPr>
          <w:p>
            <w:pPr>
              <w:spacing w:after="0"/>
              <w:rPr>
                <w:sz w:val="12"/>
                <w:szCs w:val="12"/>
                <w:color w:val="auto"/>
              </w:rPr>
            </w:pPr>
          </w:p>
        </w:tc>
        <w:tc>
          <w:tcPr>
            <w:tcW w:w="6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9"/>
              </w:rPr>
              <w:t>Stock or</w:t>
            </w:r>
          </w:p>
        </w:tc>
        <w:tc>
          <w:tcPr>
            <w:tcW w:w="68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7"/>
              </w:rPr>
              <w:t>Underlying</w:t>
            </w:r>
          </w:p>
        </w:tc>
        <w:tc>
          <w:tcPr>
            <w:tcW w:w="6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5"/>
              </w:rPr>
              <w:t>Option</w:t>
            </w:r>
          </w:p>
        </w:tc>
      </w:tr>
      <w:tr>
        <w:trPr>
          <w:trHeight w:val="120"/>
        </w:trPr>
        <w:tc>
          <w:tcPr>
            <w:tcW w:w="3880" w:type="dxa"/>
            <w:vAlign w:val="bottom"/>
            <w:shd w:val="clear" w:color="auto" w:fill="C00000"/>
          </w:tcPr>
          <w:p>
            <w:pPr>
              <w:spacing w:after="0"/>
              <w:rPr>
                <w:sz w:val="10"/>
                <w:szCs w:val="10"/>
                <w:color w:val="auto"/>
              </w:rPr>
            </w:pPr>
          </w:p>
        </w:tc>
        <w:tc>
          <w:tcPr>
            <w:tcW w:w="600" w:type="dxa"/>
            <w:vAlign w:val="bottom"/>
            <w:shd w:val="clear" w:color="auto" w:fill="C00000"/>
          </w:tcPr>
          <w:p>
            <w:pPr>
              <w:jc w:val="center"/>
              <w:spacing w:after="0" w:line="120" w:lineRule="exact"/>
              <w:rPr>
                <w:sz w:val="20"/>
                <w:szCs w:val="20"/>
                <w:color w:val="auto"/>
              </w:rPr>
            </w:pPr>
            <w:r>
              <w:rPr>
                <w:rFonts w:ascii="Arial" w:cs="Arial" w:eastAsia="Arial" w:hAnsi="Arial"/>
                <w:sz w:val="11"/>
                <w:szCs w:val="11"/>
                <w:b w:val="1"/>
                <w:bCs w:val="1"/>
                <w:color w:val="FFFFFF"/>
              </w:rPr>
              <w:t>Grant</w:t>
            </w:r>
          </w:p>
        </w:tc>
        <w:tc>
          <w:tcPr>
            <w:tcW w:w="580" w:type="dxa"/>
            <w:vAlign w:val="bottom"/>
            <w:shd w:val="clear" w:color="auto" w:fill="C00000"/>
          </w:tcPr>
          <w:p>
            <w:pPr>
              <w:jc w:val="right"/>
              <w:ind w:right="6"/>
              <w:spacing w:after="0" w:line="120" w:lineRule="exact"/>
              <w:rPr>
                <w:sz w:val="20"/>
                <w:szCs w:val="20"/>
                <w:color w:val="auto"/>
              </w:rPr>
            </w:pPr>
            <w:r>
              <w:rPr>
                <w:rFonts w:ascii="Arial" w:cs="Arial" w:eastAsia="Arial" w:hAnsi="Arial"/>
                <w:sz w:val="11"/>
                <w:szCs w:val="11"/>
                <w:b w:val="1"/>
                <w:bCs w:val="1"/>
                <w:color w:val="FFFFFF"/>
              </w:rPr>
              <w:t>Approval</w:t>
            </w:r>
          </w:p>
        </w:tc>
        <w:tc>
          <w:tcPr>
            <w:tcW w:w="600" w:type="dxa"/>
            <w:vAlign w:val="bottom"/>
            <w:shd w:val="clear" w:color="auto" w:fill="C00000"/>
          </w:tcPr>
          <w:p>
            <w:pPr>
              <w:jc w:val="right"/>
              <w:spacing w:after="0" w:line="120" w:lineRule="exact"/>
              <w:rPr>
                <w:sz w:val="20"/>
                <w:szCs w:val="20"/>
                <w:color w:val="auto"/>
              </w:rPr>
            </w:pPr>
            <w:r>
              <w:rPr>
                <w:rFonts w:ascii="Arial" w:cs="Arial" w:eastAsia="Arial" w:hAnsi="Arial"/>
                <w:sz w:val="11"/>
                <w:szCs w:val="11"/>
                <w:b w:val="1"/>
                <w:bCs w:val="1"/>
                <w:color w:val="FFFFFF"/>
              </w:rPr>
              <w:t>Threshold</w:t>
            </w:r>
          </w:p>
        </w:tc>
        <w:tc>
          <w:tcPr>
            <w:tcW w:w="660" w:type="dxa"/>
            <w:vAlign w:val="bottom"/>
            <w:shd w:val="clear" w:color="auto" w:fill="C00000"/>
          </w:tcPr>
          <w:p>
            <w:pPr>
              <w:ind w:left="180"/>
              <w:spacing w:after="0" w:line="120" w:lineRule="exact"/>
              <w:rPr>
                <w:sz w:val="20"/>
                <w:szCs w:val="20"/>
                <w:color w:val="auto"/>
              </w:rPr>
            </w:pPr>
            <w:r>
              <w:rPr>
                <w:rFonts w:ascii="Arial" w:cs="Arial" w:eastAsia="Arial" w:hAnsi="Arial"/>
                <w:sz w:val="11"/>
                <w:szCs w:val="11"/>
                <w:b w:val="1"/>
                <w:bCs w:val="1"/>
                <w:color w:val="FFFFFF"/>
              </w:rPr>
              <w:t>Target</w:t>
            </w:r>
          </w:p>
        </w:tc>
        <w:tc>
          <w:tcPr>
            <w:tcW w:w="720" w:type="dxa"/>
            <w:vAlign w:val="bottom"/>
            <w:shd w:val="clear" w:color="auto" w:fill="C00000"/>
          </w:tcPr>
          <w:p>
            <w:pPr>
              <w:jc w:val="right"/>
              <w:ind w:right="66"/>
              <w:spacing w:after="0" w:line="120" w:lineRule="exact"/>
              <w:rPr>
                <w:sz w:val="20"/>
                <w:szCs w:val="20"/>
                <w:color w:val="auto"/>
              </w:rPr>
            </w:pPr>
            <w:r>
              <w:rPr>
                <w:rFonts w:ascii="Arial" w:cs="Arial" w:eastAsia="Arial" w:hAnsi="Arial"/>
                <w:sz w:val="11"/>
                <w:szCs w:val="11"/>
                <w:b w:val="1"/>
                <w:bCs w:val="1"/>
                <w:color w:val="FFFFFF"/>
              </w:rPr>
              <w:t>Maximum</w:t>
            </w:r>
          </w:p>
        </w:tc>
        <w:tc>
          <w:tcPr>
            <w:tcW w:w="640" w:type="dxa"/>
            <w:vAlign w:val="bottom"/>
            <w:shd w:val="clear" w:color="auto" w:fill="C00000"/>
          </w:tcPr>
          <w:p>
            <w:pPr>
              <w:jc w:val="right"/>
              <w:ind w:right="26"/>
              <w:spacing w:after="0" w:line="120" w:lineRule="exact"/>
              <w:rPr>
                <w:sz w:val="20"/>
                <w:szCs w:val="20"/>
                <w:color w:val="auto"/>
              </w:rPr>
            </w:pPr>
            <w:r>
              <w:rPr>
                <w:rFonts w:ascii="Arial" w:cs="Arial" w:eastAsia="Arial" w:hAnsi="Arial"/>
                <w:sz w:val="11"/>
                <w:szCs w:val="11"/>
                <w:b w:val="1"/>
                <w:bCs w:val="1"/>
                <w:color w:val="FFFFFF"/>
              </w:rPr>
              <w:t>Threshold</w:t>
            </w:r>
          </w:p>
        </w:tc>
        <w:tc>
          <w:tcPr>
            <w:tcW w:w="1080" w:type="dxa"/>
            <w:vAlign w:val="bottom"/>
            <w:gridSpan w:val="2"/>
            <w:shd w:val="clear" w:color="auto" w:fill="C00000"/>
          </w:tcPr>
          <w:p>
            <w:pPr>
              <w:jc w:val="right"/>
              <w:ind w:right="6"/>
              <w:spacing w:after="0" w:line="120" w:lineRule="exact"/>
              <w:rPr>
                <w:sz w:val="20"/>
                <w:szCs w:val="20"/>
                <w:color w:val="auto"/>
              </w:rPr>
            </w:pPr>
            <w:r>
              <w:rPr>
                <w:rFonts w:ascii="Arial" w:cs="Arial" w:eastAsia="Arial" w:hAnsi="Arial"/>
                <w:sz w:val="11"/>
                <w:szCs w:val="11"/>
                <w:b w:val="1"/>
                <w:bCs w:val="1"/>
                <w:color w:val="FFFFFF"/>
              </w:rPr>
              <w:t>Target  Maximum</w:t>
            </w:r>
          </w:p>
        </w:tc>
        <w:tc>
          <w:tcPr>
            <w:tcW w:w="640" w:type="dxa"/>
            <w:vAlign w:val="bottom"/>
            <w:shd w:val="clear" w:color="auto" w:fill="C00000"/>
          </w:tcPr>
          <w:p>
            <w:pPr>
              <w:jc w:val="center"/>
              <w:spacing w:after="0" w:line="120" w:lineRule="exact"/>
              <w:rPr>
                <w:sz w:val="20"/>
                <w:szCs w:val="20"/>
                <w:color w:val="auto"/>
              </w:rPr>
            </w:pPr>
            <w:r>
              <w:rPr>
                <w:rFonts w:ascii="Arial" w:cs="Arial" w:eastAsia="Arial" w:hAnsi="Arial"/>
                <w:sz w:val="11"/>
                <w:szCs w:val="11"/>
                <w:b w:val="1"/>
                <w:bCs w:val="1"/>
                <w:color w:val="FFFFFF"/>
              </w:rPr>
              <w:t>Units</w:t>
            </w:r>
          </w:p>
        </w:tc>
        <w:tc>
          <w:tcPr>
            <w:tcW w:w="680" w:type="dxa"/>
            <w:vAlign w:val="bottom"/>
            <w:shd w:val="clear" w:color="auto" w:fill="C00000"/>
          </w:tcPr>
          <w:p>
            <w:pPr>
              <w:jc w:val="center"/>
              <w:spacing w:after="0" w:line="120" w:lineRule="exact"/>
              <w:rPr>
                <w:sz w:val="20"/>
                <w:szCs w:val="20"/>
                <w:color w:val="auto"/>
              </w:rPr>
            </w:pPr>
            <w:r>
              <w:rPr>
                <w:rFonts w:ascii="Arial" w:cs="Arial" w:eastAsia="Arial" w:hAnsi="Arial"/>
                <w:sz w:val="11"/>
                <w:szCs w:val="11"/>
                <w:b w:val="1"/>
                <w:bCs w:val="1"/>
                <w:color w:val="FFFFFF"/>
                <w:w w:val="98"/>
              </w:rPr>
              <w:t>Options</w:t>
            </w:r>
            <w:r>
              <w:rPr>
                <w:rFonts w:ascii="Arial" w:cs="Arial" w:eastAsia="Arial" w:hAnsi="Arial"/>
                <w:sz w:val="9"/>
                <w:szCs w:val="9"/>
                <w:b w:val="1"/>
                <w:bCs w:val="1"/>
                <w:color w:val="FFFFFF"/>
                <w:w w:val="98"/>
              </w:rPr>
              <w:t>(3)</w:t>
            </w:r>
          </w:p>
        </w:tc>
        <w:tc>
          <w:tcPr>
            <w:tcW w:w="620" w:type="dxa"/>
            <w:vAlign w:val="bottom"/>
            <w:shd w:val="clear" w:color="auto" w:fill="C00000"/>
          </w:tcPr>
          <w:p>
            <w:pPr>
              <w:jc w:val="center"/>
              <w:spacing w:after="0" w:line="120" w:lineRule="exact"/>
              <w:rPr>
                <w:sz w:val="20"/>
                <w:szCs w:val="20"/>
                <w:color w:val="auto"/>
              </w:rPr>
            </w:pPr>
            <w:r>
              <w:rPr>
                <w:rFonts w:ascii="Arial" w:cs="Arial" w:eastAsia="Arial" w:hAnsi="Arial"/>
                <w:sz w:val="11"/>
                <w:szCs w:val="11"/>
                <w:b w:val="1"/>
                <w:bCs w:val="1"/>
                <w:color w:val="FFFFFF"/>
                <w:w w:val="98"/>
              </w:rPr>
              <w:t>Awards</w:t>
            </w:r>
            <w:r>
              <w:rPr>
                <w:rFonts w:ascii="Arial" w:cs="Arial" w:eastAsia="Arial" w:hAnsi="Arial"/>
                <w:sz w:val="9"/>
                <w:szCs w:val="9"/>
                <w:b w:val="1"/>
                <w:bCs w:val="1"/>
                <w:color w:val="FFFFFF"/>
                <w:w w:val="98"/>
              </w:rPr>
              <w:t>(4)</w:t>
            </w:r>
          </w:p>
        </w:tc>
        <w:tc>
          <w:tcPr>
            <w:tcW w:w="720" w:type="dxa"/>
            <w:vAlign w:val="bottom"/>
            <w:shd w:val="clear" w:color="auto" w:fill="C00000"/>
          </w:tcPr>
          <w:p>
            <w:pPr>
              <w:jc w:val="center"/>
              <w:spacing w:after="0" w:line="120"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9"/>
                <w:szCs w:val="9"/>
                <w:b w:val="1"/>
                <w:bCs w:val="1"/>
                <w:color w:val="FFFFFF"/>
              </w:rPr>
              <w:t>(5)(6)</w:t>
            </w:r>
          </w:p>
        </w:tc>
      </w:tr>
      <w:tr>
        <w:trPr>
          <w:trHeight w:val="150"/>
        </w:trPr>
        <w:tc>
          <w:tcPr>
            <w:tcW w:w="3880" w:type="dxa"/>
            <w:vAlign w:val="bottom"/>
            <w:shd w:val="clear" w:color="auto" w:fill="C00000"/>
          </w:tcPr>
          <w:p>
            <w:pPr>
              <w:ind w:left="40"/>
              <w:spacing w:after="0"/>
              <w:rPr>
                <w:sz w:val="20"/>
                <w:szCs w:val="20"/>
                <w:color w:val="auto"/>
              </w:rPr>
            </w:pPr>
            <w:r>
              <w:rPr>
                <w:rFonts w:ascii="Arial" w:cs="Arial" w:eastAsia="Arial" w:hAnsi="Arial"/>
                <w:sz w:val="11"/>
                <w:szCs w:val="11"/>
                <w:b w:val="1"/>
                <w:bCs w:val="1"/>
                <w:color w:val="FFFFFF"/>
              </w:rPr>
              <w:t>Name</w:t>
            </w:r>
          </w:p>
        </w:tc>
        <w:tc>
          <w:tcPr>
            <w:tcW w:w="60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2"/>
              </w:rPr>
              <w:t>Date</w:t>
            </w:r>
          </w:p>
        </w:tc>
        <w:tc>
          <w:tcPr>
            <w:tcW w:w="580" w:type="dxa"/>
            <w:vAlign w:val="bottom"/>
            <w:shd w:val="clear" w:color="auto" w:fill="C00000"/>
          </w:tcPr>
          <w:p>
            <w:pPr>
              <w:jc w:val="right"/>
              <w:ind w:right="126"/>
              <w:spacing w:after="0"/>
              <w:rPr>
                <w:sz w:val="20"/>
                <w:szCs w:val="20"/>
                <w:color w:val="auto"/>
              </w:rPr>
            </w:pPr>
            <w:r>
              <w:rPr>
                <w:rFonts w:ascii="Arial" w:cs="Arial" w:eastAsia="Arial" w:hAnsi="Arial"/>
                <w:sz w:val="11"/>
                <w:szCs w:val="11"/>
                <w:b w:val="1"/>
                <w:bCs w:val="1"/>
                <w:color w:val="FFFFFF"/>
              </w:rPr>
              <w:t>Date</w:t>
            </w:r>
          </w:p>
        </w:tc>
        <w:tc>
          <w:tcPr>
            <w:tcW w:w="600" w:type="dxa"/>
            <w:vAlign w:val="bottom"/>
            <w:shd w:val="clear" w:color="auto" w:fill="C00000"/>
          </w:tcPr>
          <w:p>
            <w:pPr>
              <w:jc w:val="right"/>
              <w:ind w:right="166"/>
              <w:spacing w:after="0"/>
              <w:rPr>
                <w:sz w:val="20"/>
                <w:szCs w:val="20"/>
                <w:color w:val="auto"/>
              </w:rPr>
            </w:pPr>
            <w:r>
              <w:rPr>
                <w:rFonts w:ascii="Arial" w:cs="Arial" w:eastAsia="Arial" w:hAnsi="Arial"/>
                <w:sz w:val="11"/>
                <w:szCs w:val="11"/>
                <w:b w:val="1"/>
                <w:bCs w:val="1"/>
                <w:color w:val="FFFFFF"/>
              </w:rPr>
              <w:t>($)</w:t>
            </w:r>
          </w:p>
        </w:tc>
        <w:tc>
          <w:tcPr>
            <w:tcW w:w="66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88"/>
              </w:rPr>
              <w:t>($)</w:t>
            </w:r>
          </w:p>
        </w:tc>
        <w:tc>
          <w:tcPr>
            <w:tcW w:w="720" w:type="dxa"/>
            <w:vAlign w:val="bottom"/>
            <w:shd w:val="clear" w:color="auto" w:fill="C00000"/>
          </w:tcPr>
          <w:p>
            <w:pPr>
              <w:jc w:val="right"/>
              <w:ind w:right="246"/>
              <w:spacing w:after="0"/>
              <w:rPr>
                <w:sz w:val="20"/>
                <w:szCs w:val="20"/>
                <w:color w:val="auto"/>
              </w:rPr>
            </w:pPr>
            <w:r>
              <w:rPr>
                <w:rFonts w:ascii="Arial" w:cs="Arial" w:eastAsia="Arial" w:hAnsi="Arial"/>
                <w:sz w:val="11"/>
                <w:szCs w:val="11"/>
                <w:b w:val="1"/>
                <w:bCs w:val="1"/>
                <w:color w:val="FFFFFF"/>
              </w:rPr>
              <w:t>($)</w:t>
            </w:r>
          </w:p>
        </w:tc>
        <w:tc>
          <w:tcPr>
            <w:tcW w:w="640" w:type="dxa"/>
            <w:vAlign w:val="bottom"/>
            <w:shd w:val="clear" w:color="auto" w:fill="C00000"/>
          </w:tcPr>
          <w:p>
            <w:pPr>
              <w:jc w:val="right"/>
              <w:ind w:right="206"/>
              <w:spacing w:after="0"/>
              <w:rPr>
                <w:sz w:val="20"/>
                <w:szCs w:val="20"/>
                <w:color w:val="auto"/>
              </w:rPr>
            </w:pPr>
            <w:r>
              <w:rPr>
                <w:rFonts w:ascii="Arial" w:cs="Arial" w:eastAsia="Arial" w:hAnsi="Arial"/>
                <w:sz w:val="11"/>
                <w:szCs w:val="11"/>
                <w:b w:val="1"/>
                <w:bCs w:val="1"/>
                <w:color w:val="FFFFFF"/>
              </w:rPr>
              <w:t>(#)</w:t>
            </w:r>
          </w:p>
        </w:tc>
        <w:tc>
          <w:tcPr>
            <w:tcW w:w="640" w:type="dxa"/>
            <w:vAlign w:val="bottom"/>
            <w:shd w:val="clear" w:color="auto" w:fill="C00000"/>
          </w:tcPr>
          <w:p>
            <w:pPr>
              <w:jc w:val="center"/>
              <w:ind w:right="126"/>
              <w:spacing w:after="0"/>
              <w:rPr>
                <w:sz w:val="20"/>
                <w:szCs w:val="20"/>
                <w:color w:val="auto"/>
              </w:rPr>
            </w:pPr>
            <w:r>
              <w:rPr>
                <w:rFonts w:ascii="Arial" w:cs="Arial" w:eastAsia="Arial" w:hAnsi="Arial"/>
                <w:sz w:val="11"/>
                <w:szCs w:val="11"/>
                <w:b w:val="1"/>
                <w:bCs w:val="1"/>
                <w:color w:val="FFFFFF"/>
              </w:rPr>
              <w:t>(#)</w:t>
            </w:r>
          </w:p>
        </w:tc>
        <w:tc>
          <w:tcPr>
            <w:tcW w:w="440" w:type="dxa"/>
            <w:vAlign w:val="bottom"/>
            <w:shd w:val="clear" w:color="auto" w:fill="C00000"/>
          </w:tcPr>
          <w:p>
            <w:pPr>
              <w:jc w:val="right"/>
              <w:ind w:right="186"/>
              <w:spacing w:after="0"/>
              <w:rPr>
                <w:sz w:val="20"/>
                <w:szCs w:val="20"/>
                <w:color w:val="auto"/>
              </w:rPr>
            </w:pPr>
            <w:r>
              <w:rPr>
                <w:rFonts w:ascii="Arial" w:cs="Arial" w:eastAsia="Arial" w:hAnsi="Arial"/>
                <w:sz w:val="11"/>
                <w:szCs w:val="11"/>
                <w:b w:val="1"/>
                <w:bCs w:val="1"/>
                <w:color w:val="FFFFFF"/>
              </w:rPr>
              <w:t>(#)</w:t>
            </w:r>
          </w:p>
        </w:tc>
        <w:tc>
          <w:tcPr>
            <w:tcW w:w="64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88"/>
              </w:rPr>
              <w:t>(#)</w:t>
            </w:r>
          </w:p>
        </w:tc>
        <w:tc>
          <w:tcPr>
            <w:tcW w:w="68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c>
          <w:tcPr>
            <w:tcW w:w="6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w w:val="98"/>
              </w:rPr>
              <w:t>($/Sh)</w:t>
            </w:r>
          </w:p>
        </w:tc>
        <w:tc>
          <w:tcPr>
            <w:tcW w:w="720" w:type="dxa"/>
            <w:vAlign w:val="bottom"/>
            <w:shd w:val="clear" w:color="auto" w:fill="C00000"/>
          </w:tcPr>
          <w:p>
            <w:pPr>
              <w:jc w:val="center"/>
              <w:spacing w:after="0"/>
              <w:rPr>
                <w:sz w:val="20"/>
                <w:szCs w:val="20"/>
                <w:color w:val="auto"/>
              </w:rPr>
            </w:pPr>
            <w:r>
              <w:rPr>
                <w:rFonts w:ascii="Arial" w:cs="Arial" w:eastAsia="Arial" w:hAnsi="Arial"/>
                <w:sz w:val="11"/>
                <w:szCs w:val="11"/>
                <w:b w:val="1"/>
                <w:bCs w:val="1"/>
                <w:color w:val="FFFFFF"/>
              </w:rPr>
              <w:t>($)</w:t>
            </w:r>
          </w:p>
        </w:tc>
      </w:tr>
      <w:tr>
        <w:trPr>
          <w:trHeight w:val="118"/>
        </w:trPr>
        <w:tc>
          <w:tcPr>
            <w:tcW w:w="3880" w:type="dxa"/>
            <w:vAlign w:val="bottom"/>
          </w:tcPr>
          <w:p>
            <w:pPr>
              <w:spacing w:after="0" w:line="119" w:lineRule="exact"/>
              <w:rPr>
                <w:sz w:val="20"/>
                <w:szCs w:val="20"/>
                <w:color w:val="auto"/>
              </w:rPr>
            </w:pPr>
            <w:r>
              <w:rPr>
                <w:rFonts w:ascii="Arial" w:cs="Arial" w:eastAsia="Arial" w:hAnsi="Arial"/>
                <w:sz w:val="11"/>
                <w:szCs w:val="11"/>
                <w:color w:val="auto"/>
              </w:rPr>
              <w:t>Richard M. Olson</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880" w:type="dxa"/>
            <w:vAlign w:val="bottom"/>
          </w:tcPr>
          <w:p>
            <w:pPr>
              <w:ind w:left="220"/>
              <w:spacing w:after="0" w:line="122" w:lineRule="exact"/>
              <w:rPr>
                <w:sz w:val="20"/>
                <w:szCs w:val="20"/>
                <w:color w:val="auto"/>
              </w:rPr>
            </w:pPr>
            <w:r>
              <w:rPr>
                <w:rFonts w:ascii="Arial" w:cs="Arial" w:eastAsia="Arial" w:hAnsi="Arial"/>
                <w:sz w:val="11"/>
                <w:szCs w:val="11"/>
                <w:color w:val="auto"/>
              </w:rPr>
              <w:t>Annual Cash Incentive Award</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$ 310,000</w:t>
            </w: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rPr>
              <w:t>$ 775,000</w:t>
            </w:r>
          </w:p>
        </w:tc>
        <w:tc>
          <w:tcPr>
            <w:tcW w:w="720" w:type="dxa"/>
            <w:vAlign w:val="bottom"/>
          </w:tcPr>
          <w:p>
            <w:pPr>
              <w:jc w:val="right"/>
              <w:ind w:right="6"/>
              <w:spacing w:after="0" w:line="122" w:lineRule="exact"/>
              <w:rPr>
                <w:sz w:val="20"/>
                <w:szCs w:val="20"/>
                <w:color w:val="auto"/>
              </w:rPr>
            </w:pPr>
            <w:r>
              <w:rPr>
                <w:rFonts w:ascii="Arial" w:cs="Arial" w:eastAsia="Arial" w:hAnsi="Arial"/>
                <w:sz w:val="11"/>
                <w:szCs w:val="11"/>
                <w:color w:val="auto"/>
              </w:rPr>
              <w:t>$ 1,550,000</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880" w:type="dxa"/>
            <w:vAlign w:val="bottom"/>
          </w:tcPr>
          <w:p>
            <w:pPr>
              <w:ind w:left="220"/>
              <w:spacing w:after="0" w:line="122" w:lineRule="exact"/>
              <w:rPr>
                <w:sz w:val="20"/>
                <w:szCs w:val="20"/>
                <w:color w:val="auto"/>
              </w:rPr>
            </w:pPr>
            <w:r>
              <w:rPr>
                <w:rFonts w:ascii="Arial" w:cs="Arial" w:eastAsia="Arial" w:hAnsi="Arial"/>
                <w:sz w:val="11"/>
                <w:szCs w:val="11"/>
                <w:color w:val="auto"/>
              </w:rPr>
              <w:t>Performance Share Award</w:t>
            </w:r>
          </w:p>
        </w:tc>
        <w:tc>
          <w:tcPr>
            <w:tcW w:w="6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11,400</w:t>
            </w:r>
          </w:p>
        </w:tc>
        <w:tc>
          <w:tcPr>
            <w:tcW w:w="6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28,500</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57,000</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$ 1,553,820</w:t>
            </w:r>
          </w:p>
        </w:tc>
      </w:tr>
      <w:tr>
        <w:trPr>
          <w:trHeight w:val="125"/>
        </w:trPr>
        <w:tc>
          <w:tcPr>
            <w:tcW w:w="3880" w:type="dxa"/>
            <w:vAlign w:val="bottom"/>
          </w:tcPr>
          <w:p>
            <w:pPr>
              <w:ind w:left="220"/>
              <w:spacing w:after="0" w:line="125" w:lineRule="exact"/>
              <w:rPr>
                <w:sz w:val="20"/>
                <w:szCs w:val="20"/>
                <w:color w:val="auto"/>
              </w:rPr>
            </w:pPr>
            <w:r>
              <w:rPr>
                <w:rFonts w:ascii="Arial" w:cs="Arial" w:eastAsia="Arial" w:hAnsi="Arial"/>
                <w:sz w:val="11"/>
                <w:szCs w:val="11"/>
                <w:color w:val="auto"/>
              </w:rPr>
              <w:t>Stock Options</w:t>
            </w:r>
          </w:p>
        </w:tc>
        <w:tc>
          <w:tcPr>
            <w:tcW w:w="600" w:type="dxa"/>
            <w:vAlign w:val="bottom"/>
          </w:tcPr>
          <w:p>
            <w:pPr>
              <w:jc w:val="right"/>
              <w:ind w:right="6"/>
              <w:spacing w:after="0" w:line="125" w:lineRule="exact"/>
              <w:rPr>
                <w:sz w:val="20"/>
                <w:szCs w:val="20"/>
                <w:color w:val="auto"/>
              </w:rPr>
            </w:pPr>
            <w:r>
              <w:rPr>
                <w:rFonts w:ascii="Arial" w:cs="Arial" w:eastAsia="Arial" w:hAnsi="Arial"/>
                <w:sz w:val="11"/>
                <w:szCs w:val="11"/>
                <w:color w:val="auto"/>
              </w:rPr>
              <w:t>12/09/16</w:t>
            </w:r>
          </w:p>
        </w:tc>
        <w:tc>
          <w:tcPr>
            <w:tcW w:w="580" w:type="dxa"/>
            <w:vAlign w:val="bottom"/>
          </w:tcPr>
          <w:p>
            <w:pPr>
              <w:jc w:val="right"/>
              <w:ind w:right="6"/>
              <w:spacing w:after="0" w:line="125" w:lineRule="exact"/>
              <w:rPr>
                <w:sz w:val="20"/>
                <w:szCs w:val="20"/>
                <w:color w:val="auto"/>
              </w:rPr>
            </w:pPr>
            <w:r>
              <w:rPr>
                <w:rFonts w:ascii="Arial" w:cs="Arial" w:eastAsia="Arial" w:hAnsi="Arial"/>
                <w:sz w:val="11"/>
                <w:szCs w:val="11"/>
                <w:color w:val="auto"/>
              </w:rPr>
              <w:t>12/06/16</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right"/>
              <w:ind w:right="6"/>
              <w:spacing w:after="0" w:line="125" w:lineRule="exact"/>
              <w:rPr>
                <w:sz w:val="20"/>
                <w:szCs w:val="20"/>
                <w:color w:val="auto"/>
              </w:rPr>
            </w:pPr>
            <w:r>
              <w:rPr>
                <w:rFonts w:ascii="Arial" w:cs="Arial" w:eastAsia="Arial" w:hAnsi="Arial"/>
                <w:sz w:val="11"/>
                <w:szCs w:val="11"/>
                <w:color w:val="auto"/>
              </w:rPr>
              <w:t>119,400</w:t>
            </w: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$ 56.54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$ 1,586,826</w:t>
            </w:r>
          </w:p>
        </w:tc>
      </w:tr>
      <w:tr>
        <w:trPr>
          <w:trHeight w:val="118"/>
        </w:trPr>
        <w:tc>
          <w:tcPr>
            <w:tcW w:w="3880" w:type="dxa"/>
            <w:vAlign w:val="bottom"/>
            <w:shd w:val="clear" w:color="auto" w:fill="D9D9D9"/>
          </w:tcPr>
          <w:p>
            <w:pPr>
              <w:spacing w:after="0" w:line="119" w:lineRule="exact"/>
              <w:rPr>
                <w:sz w:val="20"/>
                <w:szCs w:val="20"/>
                <w:color w:val="auto"/>
              </w:rPr>
            </w:pPr>
            <w:r>
              <w:rPr>
                <w:rFonts w:ascii="Arial" w:cs="Arial" w:eastAsia="Arial" w:hAnsi="Arial"/>
                <w:sz w:val="11"/>
                <w:szCs w:val="11"/>
                <w:color w:val="auto"/>
              </w:rPr>
              <w:t>Renee J. Peterson</w:t>
            </w:r>
          </w:p>
        </w:tc>
        <w:tc>
          <w:tcPr>
            <w:tcW w:w="60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r>
      <w:tr>
        <w:trPr>
          <w:trHeight w:val="122"/>
        </w:trPr>
        <w:tc>
          <w:tcPr>
            <w:tcW w:w="3880" w:type="dxa"/>
            <w:vAlign w:val="bottom"/>
            <w:shd w:val="clear" w:color="auto" w:fill="D9D9D9"/>
          </w:tcPr>
          <w:p>
            <w:pPr>
              <w:ind w:left="220"/>
              <w:spacing w:after="0" w:line="122" w:lineRule="exact"/>
              <w:rPr>
                <w:sz w:val="20"/>
                <w:szCs w:val="20"/>
                <w:color w:val="auto"/>
              </w:rPr>
            </w:pPr>
            <w:r>
              <w:rPr>
                <w:rFonts w:ascii="Arial" w:cs="Arial" w:eastAsia="Arial" w:hAnsi="Arial"/>
                <w:sz w:val="11"/>
                <w:szCs w:val="11"/>
                <w:color w:val="auto"/>
              </w:rPr>
              <w:t>Annual Cash Incentive Award</w:t>
            </w:r>
          </w:p>
        </w:tc>
        <w:tc>
          <w:tcPr>
            <w:tcW w:w="600" w:type="dxa"/>
            <w:vAlign w:val="bottom"/>
            <w:shd w:val="clear" w:color="auto" w:fill="D9D9D9"/>
          </w:tcPr>
          <w:p>
            <w:pPr>
              <w:jc w:val="center"/>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D9D9D9"/>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$ 151,500</w:t>
            </w:r>
          </w:p>
        </w:tc>
        <w:tc>
          <w:tcPr>
            <w:tcW w:w="660" w:type="dxa"/>
            <w:vAlign w:val="bottom"/>
            <w:shd w:val="clear" w:color="auto" w:fill="D9D9D9"/>
          </w:tcPr>
          <w:p>
            <w:pPr>
              <w:jc w:val="center"/>
              <w:spacing w:after="0" w:line="122" w:lineRule="exact"/>
              <w:rPr>
                <w:sz w:val="20"/>
                <w:szCs w:val="20"/>
                <w:color w:val="auto"/>
              </w:rPr>
            </w:pPr>
            <w:r>
              <w:rPr>
                <w:rFonts w:ascii="Arial" w:cs="Arial" w:eastAsia="Arial" w:hAnsi="Arial"/>
                <w:sz w:val="11"/>
                <w:szCs w:val="11"/>
                <w:color w:val="auto"/>
              </w:rPr>
              <w:t>$ 378,750</w:t>
            </w:r>
          </w:p>
        </w:tc>
        <w:tc>
          <w:tcPr>
            <w:tcW w:w="72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$ 757,500</w:t>
            </w: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r>
      <w:tr>
        <w:trPr>
          <w:trHeight w:val="122"/>
        </w:trPr>
        <w:tc>
          <w:tcPr>
            <w:tcW w:w="3880" w:type="dxa"/>
            <w:vAlign w:val="bottom"/>
            <w:shd w:val="clear" w:color="auto" w:fill="D9D9D9"/>
          </w:tcPr>
          <w:p>
            <w:pPr>
              <w:ind w:left="220"/>
              <w:spacing w:after="0" w:line="122" w:lineRule="exact"/>
              <w:rPr>
                <w:sz w:val="20"/>
                <w:szCs w:val="20"/>
                <w:color w:val="auto"/>
              </w:rPr>
            </w:pPr>
            <w:r>
              <w:rPr>
                <w:rFonts w:ascii="Arial" w:cs="Arial" w:eastAsia="Arial" w:hAnsi="Arial"/>
                <w:sz w:val="11"/>
                <w:szCs w:val="11"/>
                <w:color w:val="auto"/>
              </w:rPr>
              <w:t>Performance Share Award</w:t>
            </w:r>
          </w:p>
        </w:tc>
        <w:tc>
          <w:tcPr>
            <w:tcW w:w="60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58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3,480</w:t>
            </w:r>
          </w:p>
        </w:tc>
        <w:tc>
          <w:tcPr>
            <w:tcW w:w="640" w:type="dxa"/>
            <w:vAlign w:val="bottom"/>
            <w:shd w:val="clear" w:color="auto" w:fill="D9D9D9"/>
          </w:tcPr>
          <w:p>
            <w:pPr>
              <w:jc w:val="right"/>
              <w:ind w:right="166"/>
              <w:spacing w:after="0" w:line="122" w:lineRule="exact"/>
              <w:rPr>
                <w:sz w:val="20"/>
                <w:szCs w:val="20"/>
                <w:color w:val="auto"/>
              </w:rPr>
            </w:pPr>
            <w:r>
              <w:rPr>
                <w:rFonts w:ascii="Arial" w:cs="Arial" w:eastAsia="Arial" w:hAnsi="Arial"/>
                <w:sz w:val="11"/>
                <w:szCs w:val="11"/>
                <w:color w:val="auto"/>
              </w:rPr>
              <w:t>8,700</w:t>
            </w:r>
          </w:p>
        </w:tc>
        <w:tc>
          <w:tcPr>
            <w:tcW w:w="44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17,400</w:t>
            </w: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$ 474,324</w:t>
            </w:r>
          </w:p>
        </w:tc>
      </w:tr>
      <w:tr>
        <w:trPr>
          <w:trHeight w:val="125"/>
        </w:trPr>
        <w:tc>
          <w:tcPr>
            <w:tcW w:w="3880" w:type="dxa"/>
            <w:vAlign w:val="bottom"/>
            <w:shd w:val="clear" w:color="auto" w:fill="D9D9D9"/>
          </w:tcPr>
          <w:p>
            <w:pPr>
              <w:ind w:left="220"/>
              <w:spacing w:after="0" w:line="125" w:lineRule="exact"/>
              <w:rPr>
                <w:sz w:val="20"/>
                <w:szCs w:val="20"/>
                <w:color w:val="auto"/>
              </w:rPr>
            </w:pPr>
            <w:r>
              <w:rPr>
                <w:rFonts w:ascii="Arial" w:cs="Arial" w:eastAsia="Arial" w:hAnsi="Arial"/>
                <w:sz w:val="11"/>
                <w:szCs w:val="11"/>
                <w:color w:val="auto"/>
              </w:rPr>
              <w:t>Stock Options</w:t>
            </w:r>
          </w:p>
        </w:tc>
        <w:tc>
          <w:tcPr>
            <w:tcW w:w="60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12/09/16</w:t>
            </w:r>
          </w:p>
        </w:tc>
        <w:tc>
          <w:tcPr>
            <w:tcW w:w="58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12/06/16</w:t>
            </w: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36,300</w:t>
            </w:r>
          </w:p>
        </w:tc>
        <w:tc>
          <w:tcPr>
            <w:tcW w:w="620" w:type="dxa"/>
            <w:vAlign w:val="bottom"/>
            <w:shd w:val="clear" w:color="auto" w:fill="D9D9D9"/>
          </w:tcPr>
          <w:p>
            <w:pPr>
              <w:jc w:val="right"/>
              <w:spacing w:after="0" w:line="125" w:lineRule="exact"/>
              <w:rPr>
                <w:sz w:val="20"/>
                <w:szCs w:val="20"/>
                <w:color w:val="auto"/>
              </w:rPr>
            </w:pPr>
            <w:r>
              <w:rPr>
                <w:rFonts w:ascii="Arial" w:cs="Arial" w:eastAsia="Arial" w:hAnsi="Arial"/>
                <w:sz w:val="11"/>
                <w:szCs w:val="11"/>
                <w:color w:val="auto"/>
              </w:rPr>
              <w:t>$ 56.54</w:t>
            </w:r>
          </w:p>
        </w:tc>
        <w:tc>
          <w:tcPr>
            <w:tcW w:w="720" w:type="dxa"/>
            <w:vAlign w:val="bottom"/>
            <w:shd w:val="clear" w:color="auto" w:fill="D9D9D9"/>
          </w:tcPr>
          <w:p>
            <w:pPr>
              <w:jc w:val="right"/>
              <w:spacing w:after="0" w:line="125" w:lineRule="exact"/>
              <w:rPr>
                <w:sz w:val="20"/>
                <w:szCs w:val="20"/>
                <w:color w:val="auto"/>
              </w:rPr>
            </w:pPr>
            <w:r>
              <w:rPr>
                <w:rFonts w:ascii="Arial" w:cs="Arial" w:eastAsia="Arial" w:hAnsi="Arial"/>
                <w:sz w:val="11"/>
                <w:szCs w:val="11"/>
                <w:color w:val="auto"/>
              </w:rPr>
              <w:t>$ 482,427</w:t>
            </w:r>
          </w:p>
        </w:tc>
      </w:tr>
      <w:tr>
        <w:trPr>
          <w:trHeight w:val="118"/>
        </w:trPr>
        <w:tc>
          <w:tcPr>
            <w:tcW w:w="3880" w:type="dxa"/>
            <w:vAlign w:val="bottom"/>
          </w:tcPr>
          <w:p>
            <w:pPr>
              <w:spacing w:after="0" w:line="119" w:lineRule="exact"/>
              <w:rPr>
                <w:sz w:val="20"/>
                <w:szCs w:val="20"/>
                <w:color w:val="auto"/>
              </w:rPr>
            </w:pPr>
            <w:r>
              <w:rPr>
                <w:rFonts w:ascii="Arial" w:cs="Arial" w:eastAsia="Arial" w:hAnsi="Arial"/>
                <w:sz w:val="11"/>
                <w:szCs w:val="11"/>
                <w:color w:val="auto"/>
              </w:rPr>
              <w:t>Michael J. Hoffman</w:t>
            </w:r>
            <w:r>
              <w:rPr>
                <w:rFonts w:ascii="Arial" w:cs="Arial" w:eastAsia="Arial" w:hAnsi="Arial"/>
                <w:sz w:val="9"/>
                <w:szCs w:val="9"/>
                <w:color w:val="auto"/>
              </w:rPr>
              <w:t>(7)</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880" w:type="dxa"/>
            <w:vAlign w:val="bottom"/>
          </w:tcPr>
          <w:p>
            <w:pPr>
              <w:ind w:left="220"/>
              <w:spacing w:after="0" w:line="122" w:lineRule="exact"/>
              <w:rPr>
                <w:sz w:val="20"/>
                <w:szCs w:val="20"/>
                <w:color w:val="auto"/>
              </w:rPr>
            </w:pPr>
            <w:r>
              <w:rPr>
                <w:rFonts w:ascii="Arial" w:cs="Arial" w:eastAsia="Arial" w:hAnsi="Arial"/>
                <w:sz w:val="11"/>
                <w:szCs w:val="11"/>
                <w:color w:val="auto"/>
              </w:rPr>
              <w:t>Annual Cash Incentive Award</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$ 340,000</w:t>
            </w: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rPr>
              <w:t>$ 850,000</w:t>
            </w:r>
          </w:p>
        </w:tc>
        <w:tc>
          <w:tcPr>
            <w:tcW w:w="720" w:type="dxa"/>
            <w:vAlign w:val="bottom"/>
          </w:tcPr>
          <w:p>
            <w:pPr>
              <w:jc w:val="right"/>
              <w:ind w:right="6"/>
              <w:spacing w:after="0" w:line="122" w:lineRule="exact"/>
              <w:rPr>
                <w:sz w:val="20"/>
                <w:szCs w:val="20"/>
                <w:color w:val="auto"/>
              </w:rPr>
            </w:pPr>
            <w:r>
              <w:rPr>
                <w:rFonts w:ascii="Arial" w:cs="Arial" w:eastAsia="Arial" w:hAnsi="Arial"/>
                <w:sz w:val="11"/>
                <w:szCs w:val="11"/>
                <w:color w:val="auto"/>
              </w:rPr>
              <w:t>$ 1,700,000</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5"/>
        </w:trPr>
        <w:tc>
          <w:tcPr>
            <w:tcW w:w="3880" w:type="dxa"/>
            <w:vAlign w:val="bottom"/>
          </w:tcPr>
          <w:p>
            <w:pPr>
              <w:ind w:left="220"/>
              <w:spacing w:after="0" w:line="125" w:lineRule="exact"/>
              <w:rPr>
                <w:sz w:val="20"/>
                <w:szCs w:val="20"/>
                <w:color w:val="auto"/>
              </w:rPr>
            </w:pPr>
            <w:r>
              <w:rPr>
                <w:rFonts w:ascii="Arial" w:cs="Arial" w:eastAsia="Arial" w:hAnsi="Arial"/>
                <w:sz w:val="11"/>
                <w:szCs w:val="11"/>
                <w:color w:val="auto"/>
              </w:rPr>
              <w:t>Stock Options</w:t>
            </w:r>
          </w:p>
        </w:tc>
        <w:tc>
          <w:tcPr>
            <w:tcW w:w="600" w:type="dxa"/>
            <w:vAlign w:val="bottom"/>
          </w:tcPr>
          <w:p>
            <w:pPr>
              <w:jc w:val="right"/>
              <w:ind w:right="6"/>
              <w:spacing w:after="0" w:line="125" w:lineRule="exact"/>
              <w:rPr>
                <w:sz w:val="20"/>
                <w:szCs w:val="20"/>
                <w:color w:val="auto"/>
              </w:rPr>
            </w:pPr>
            <w:r>
              <w:rPr>
                <w:rFonts w:ascii="Arial" w:cs="Arial" w:eastAsia="Arial" w:hAnsi="Arial"/>
                <w:sz w:val="11"/>
                <w:szCs w:val="11"/>
                <w:color w:val="auto"/>
              </w:rPr>
              <w:t>12/09/16</w:t>
            </w:r>
          </w:p>
        </w:tc>
        <w:tc>
          <w:tcPr>
            <w:tcW w:w="580" w:type="dxa"/>
            <w:vAlign w:val="bottom"/>
          </w:tcPr>
          <w:p>
            <w:pPr>
              <w:jc w:val="right"/>
              <w:ind w:right="6"/>
              <w:spacing w:after="0" w:line="125" w:lineRule="exact"/>
              <w:rPr>
                <w:sz w:val="20"/>
                <w:szCs w:val="20"/>
                <w:color w:val="auto"/>
              </w:rPr>
            </w:pPr>
            <w:r>
              <w:rPr>
                <w:rFonts w:ascii="Arial" w:cs="Arial" w:eastAsia="Arial" w:hAnsi="Arial"/>
                <w:sz w:val="11"/>
                <w:szCs w:val="11"/>
                <w:color w:val="auto"/>
              </w:rPr>
              <w:t>12/06/16</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right"/>
              <w:ind w:right="6"/>
              <w:spacing w:after="0" w:line="125" w:lineRule="exact"/>
              <w:rPr>
                <w:sz w:val="20"/>
                <w:szCs w:val="20"/>
                <w:color w:val="auto"/>
              </w:rPr>
            </w:pPr>
            <w:r>
              <w:rPr>
                <w:rFonts w:ascii="Arial" w:cs="Arial" w:eastAsia="Arial" w:hAnsi="Arial"/>
                <w:sz w:val="11"/>
                <w:szCs w:val="11"/>
                <w:color w:val="auto"/>
              </w:rPr>
              <w:t>44,200</w:t>
            </w: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auto"/>
              </w:rPr>
              <w:t>$ 56.54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$ 587,418</w:t>
            </w:r>
          </w:p>
        </w:tc>
      </w:tr>
      <w:tr>
        <w:trPr>
          <w:trHeight w:val="118"/>
        </w:trPr>
        <w:tc>
          <w:tcPr>
            <w:tcW w:w="3880" w:type="dxa"/>
            <w:vAlign w:val="bottom"/>
            <w:shd w:val="clear" w:color="auto" w:fill="D9D9D9"/>
          </w:tcPr>
          <w:p>
            <w:pPr>
              <w:spacing w:after="0" w:line="119" w:lineRule="exact"/>
              <w:rPr>
                <w:sz w:val="20"/>
                <w:szCs w:val="20"/>
                <w:color w:val="auto"/>
              </w:rPr>
            </w:pPr>
            <w:r>
              <w:rPr>
                <w:rFonts w:ascii="Arial" w:cs="Arial" w:eastAsia="Arial" w:hAnsi="Arial"/>
                <w:sz w:val="11"/>
                <w:szCs w:val="11"/>
                <w:color w:val="auto"/>
              </w:rPr>
              <w:t>William E. Brown, Jr.</w:t>
            </w:r>
          </w:p>
        </w:tc>
        <w:tc>
          <w:tcPr>
            <w:tcW w:w="600" w:type="dxa"/>
            <w:vAlign w:val="bottom"/>
            <w:shd w:val="clear" w:color="auto" w:fill="D9D9D9"/>
          </w:tcPr>
          <w:p>
            <w:pPr>
              <w:spacing w:after="0"/>
              <w:rPr>
                <w:sz w:val="10"/>
                <w:szCs w:val="10"/>
                <w:color w:val="auto"/>
              </w:rPr>
            </w:pPr>
          </w:p>
        </w:tc>
        <w:tc>
          <w:tcPr>
            <w:tcW w:w="58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r>
      <w:tr>
        <w:trPr>
          <w:trHeight w:val="122"/>
        </w:trPr>
        <w:tc>
          <w:tcPr>
            <w:tcW w:w="3880" w:type="dxa"/>
            <w:vAlign w:val="bottom"/>
            <w:shd w:val="clear" w:color="auto" w:fill="D9D9D9"/>
          </w:tcPr>
          <w:p>
            <w:pPr>
              <w:ind w:left="220"/>
              <w:spacing w:after="0" w:line="122" w:lineRule="exact"/>
              <w:rPr>
                <w:sz w:val="20"/>
                <w:szCs w:val="20"/>
                <w:color w:val="auto"/>
              </w:rPr>
            </w:pPr>
            <w:r>
              <w:rPr>
                <w:rFonts w:ascii="Arial" w:cs="Arial" w:eastAsia="Arial" w:hAnsi="Arial"/>
                <w:sz w:val="11"/>
                <w:szCs w:val="11"/>
                <w:color w:val="auto"/>
              </w:rPr>
              <w:t>Annual Cash Incentive Award</w:t>
            </w:r>
          </w:p>
        </w:tc>
        <w:tc>
          <w:tcPr>
            <w:tcW w:w="600" w:type="dxa"/>
            <w:vAlign w:val="bottom"/>
            <w:shd w:val="clear" w:color="auto" w:fill="D9D9D9"/>
          </w:tcPr>
          <w:p>
            <w:pPr>
              <w:jc w:val="center"/>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D9D9D9"/>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$ 112,320</w:t>
            </w:r>
          </w:p>
        </w:tc>
        <w:tc>
          <w:tcPr>
            <w:tcW w:w="660" w:type="dxa"/>
            <w:vAlign w:val="bottom"/>
            <w:shd w:val="clear" w:color="auto" w:fill="D9D9D9"/>
          </w:tcPr>
          <w:p>
            <w:pPr>
              <w:jc w:val="center"/>
              <w:spacing w:after="0" w:line="122" w:lineRule="exact"/>
              <w:rPr>
                <w:sz w:val="20"/>
                <w:szCs w:val="20"/>
                <w:color w:val="auto"/>
              </w:rPr>
            </w:pPr>
            <w:r>
              <w:rPr>
                <w:rFonts w:ascii="Arial" w:cs="Arial" w:eastAsia="Arial" w:hAnsi="Arial"/>
                <w:sz w:val="11"/>
                <w:szCs w:val="11"/>
                <w:color w:val="auto"/>
              </w:rPr>
              <w:t>$ 280,800</w:t>
            </w:r>
          </w:p>
        </w:tc>
        <w:tc>
          <w:tcPr>
            <w:tcW w:w="72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$ 561,600</w:t>
            </w: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r>
      <w:tr>
        <w:trPr>
          <w:trHeight w:val="122"/>
        </w:trPr>
        <w:tc>
          <w:tcPr>
            <w:tcW w:w="3880" w:type="dxa"/>
            <w:vAlign w:val="bottom"/>
            <w:shd w:val="clear" w:color="auto" w:fill="D9D9D9"/>
          </w:tcPr>
          <w:p>
            <w:pPr>
              <w:ind w:left="220"/>
              <w:spacing w:after="0" w:line="122" w:lineRule="exact"/>
              <w:rPr>
                <w:sz w:val="20"/>
                <w:szCs w:val="20"/>
                <w:color w:val="auto"/>
              </w:rPr>
            </w:pPr>
            <w:r>
              <w:rPr>
                <w:rFonts w:ascii="Arial" w:cs="Arial" w:eastAsia="Arial" w:hAnsi="Arial"/>
                <w:sz w:val="11"/>
                <w:szCs w:val="11"/>
                <w:color w:val="auto"/>
              </w:rPr>
              <w:t>Performance Share Award</w:t>
            </w:r>
          </w:p>
        </w:tc>
        <w:tc>
          <w:tcPr>
            <w:tcW w:w="60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58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2,440</w:t>
            </w:r>
          </w:p>
        </w:tc>
        <w:tc>
          <w:tcPr>
            <w:tcW w:w="640" w:type="dxa"/>
            <w:vAlign w:val="bottom"/>
            <w:shd w:val="clear" w:color="auto" w:fill="D9D9D9"/>
          </w:tcPr>
          <w:p>
            <w:pPr>
              <w:jc w:val="right"/>
              <w:ind w:right="166"/>
              <w:spacing w:after="0" w:line="122" w:lineRule="exact"/>
              <w:rPr>
                <w:sz w:val="20"/>
                <w:szCs w:val="20"/>
                <w:color w:val="auto"/>
              </w:rPr>
            </w:pPr>
            <w:r>
              <w:rPr>
                <w:rFonts w:ascii="Arial" w:cs="Arial" w:eastAsia="Arial" w:hAnsi="Arial"/>
                <w:sz w:val="11"/>
                <w:szCs w:val="11"/>
                <w:color w:val="auto"/>
              </w:rPr>
              <w:t>6,100</w:t>
            </w:r>
          </w:p>
        </w:tc>
        <w:tc>
          <w:tcPr>
            <w:tcW w:w="440" w:type="dxa"/>
            <w:vAlign w:val="bottom"/>
            <w:shd w:val="clear" w:color="auto" w:fill="D9D9D9"/>
          </w:tcPr>
          <w:p>
            <w:pPr>
              <w:jc w:val="right"/>
              <w:ind w:right="6"/>
              <w:spacing w:after="0" w:line="122" w:lineRule="exact"/>
              <w:rPr>
                <w:sz w:val="20"/>
                <w:szCs w:val="20"/>
                <w:color w:val="auto"/>
              </w:rPr>
            </w:pPr>
            <w:r>
              <w:rPr>
                <w:rFonts w:ascii="Arial" w:cs="Arial" w:eastAsia="Arial" w:hAnsi="Arial"/>
                <w:sz w:val="11"/>
                <w:szCs w:val="11"/>
                <w:color w:val="auto"/>
              </w:rPr>
              <w:t>12,200</w:t>
            </w: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720" w:type="dxa"/>
            <w:vAlign w:val="bottom"/>
            <w:shd w:val="clear" w:color="auto" w:fill="D9D9D9"/>
          </w:tcPr>
          <w:p>
            <w:pPr>
              <w:jc w:val="right"/>
              <w:spacing w:after="0" w:line="122" w:lineRule="exact"/>
              <w:rPr>
                <w:sz w:val="20"/>
                <w:szCs w:val="20"/>
                <w:color w:val="auto"/>
              </w:rPr>
            </w:pPr>
            <w:r>
              <w:rPr>
                <w:rFonts w:ascii="Arial" w:cs="Arial" w:eastAsia="Arial" w:hAnsi="Arial"/>
                <w:sz w:val="11"/>
                <w:szCs w:val="11"/>
                <w:color w:val="auto"/>
              </w:rPr>
              <w:t>$ 332,572</w:t>
            </w:r>
          </w:p>
        </w:tc>
      </w:tr>
      <w:tr>
        <w:trPr>
          <w:trHeight w:val="125"/>
        </w:trPr>
        <w:tc>
          <w:tcPr>
            <w:tcW w:w="3880" w:type="dxa"/>
            <w:vAlign w:val="bottom"/>
            <w:shd w:val="clear" w:color="auto" w:fill="D9D9D9"/>
          </w:tcPr>
          <w:p>
            <w:pPr>
              <w:ind w:left="220"/>
              <w:spacing w:after="0" w:line="125" w:lineRule="exact"/>
              <w:rPr>
                <w:sz w:val="20"/>
                <w:szCs w:val="20"/>
                <w:color w:val="auto"/>
              </w:rPr>
            </w:pPr>
            <w:r>
              <w:rPr>
                <w:rFonts w:ascii="Arial" w:cs="Arial" w:eastAsia="Arial" w:hAnsi="Arial"/>
                <w:sz w:val="11"/>
                <w:szCs w:val="11"/>
                <w:color w:val="auto"/>
              </w:rPr>
              <w:t>Stock Options</w:t>
            </w:r>
          </w:p>
        </w:tc>
        <w:tc>
          <w:tcPr>
            <w:tcW w:w="60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12/09/16</w:t>
            </w:r>
          </w:p>
        </w:tc>
        <w:tc>
          <w:tcPr>
            <w:tcW w:w="58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12/06/16</w:t>
            </w:r>
          </w:p>
        </w:tc>
        <w:tc>
          <w:tcPr>
            <w:tcW w:w="600" w:type="dxa"/>
            <w:vAlign w:val="bottom"/>
            <w:shd w:val="clear" w:color="auto" w:fill="D9D9D9"/>
          </w:tcPr>
          <w:p>
            <w:pPr>
              <w:spacing w:after="0"/>
              <w:rPr>
                <w:sz w:val="10"/>
                <w:szCs w:val="10"/>
                <w:color w:val="auto"/>
              </w:rPr>
            </w:pPr>
          </w:p>
        </w:tc>
        <w:tc>
          <w:tcPr>
            <w:tcW w:w="66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640" w:type="dxa"/>
            <w:vAlign w:val="bottom"/>
            <w:shd w:val="clear" w:color="auto" w:fill="D9D9D9"/>
          </w:tcPr>
          <w:p>
            <w:pPr>
              <w:spacing w:after="0"/>
              <w:rPr>
                <w:sz w:val="10"/>
                <w:szCs w:val="10"/>
                <w:color w:val="auto"/>
              </w:rPr>
            </w:pPr>
          </w:p>
        </w:tc>
        <w:tc>
          <w:tcPr>
            <w:tcW w:w="680" w:type="dxa"/>
            <w:vAlign w:val="bottom"/>
            <w:shd w:val="clear" w:color="auto" w:fill="D9D9D9"/>
          </w:tcPr>
          <w:p>
            <w:pPr>
              <w:jc w:val="right"/>
              <w:ind w:right="6"/>
              <w:spacing w:after="0" w:line="125" w:lineRule="exact"/>
              <w:rPr>
                <w:sz w:val="20"/>
                <w:szCs w:val="20"/>
                <w:color w:val="auto"/>
              </w:rPr>
            </w:pPr>
            <w:r>
              <w:rPr>
                <w:rFonts w:ascii="Arial" w:cs="Arial" w:eastAsia="Arial" w:hAnsi="Arial"/>
                <w:sz w:val="11"/>
                <w:szCs w:val="11"/>
                <w:color w:val="auto"/>
              </w:rPr>
              <w:t>25,400</w:t>
            </w:r>
          </w:p>
        </w:tc>
        <w:tc>
          <w:tcPr>
            <w:tcW w:w="620" w:type="dxa"/>
            <w:vAlign w:val="bottom"/>
            <w:shd w:val="clear" w:color="auto" w:fill="D9D9D9"/>
          </w:tcPr>
          <w:p>
            <w:pPr>
              <w:jc w:val="right"/>
              <w:spacing w:after="0" w:line="125" w:lineRule="exact"/>
              <w:rPr>
                <w:sz w:val="20"/>
                <w:szCs w:val="20"/>
                <w:color w:val="auto"/>
              </w:rPr>
            </w:pPr>
            <w:r>
              <w:rPr>
                <w:rFonts w:ascii="Arial" w:cs="Arial" w:eastAsia="Arial" w:hAnsi="Arial"/>
                <w:sz w:val="11"/>
                <w:szCs w:val="11"/>
                <w:color w:val="auto"/>
              </w:rPr>
              <w:t>$ 56.54</w:t>
            </w:r>
          </w:p>
        </w:tc>
        <w:tc>
          <w:tcPr>
            <w:tcW w:w="720" w:type="dxa"/>
            <w:vAlign w:val="bottom"/>
            <w:shd w:val="clear" w:color="auto" w:fill="D9D9D9"/>
          </w:tcPr>
          <w:p>
            <w:pPr>
              <w:jc w:val="right"/>
              <w:spacing w:after="0" w:line="125" w:lineRule="exact"/>
              <w:rPr>
                <w:sz w:val="20"/>
                <w:szCs w:val="20"/>
                <w:color w:val="auto"/>
              </w:rPr>
            </w:pPr>
            <w:r>
              <w:rPr>
                <w:rFonts w:ascii="Arial" w:cs="Arial" w:eastAsia="Arial" w:hAnsi="Arial"/>
                <w:sz w:val="11"/>
                <w:szCs w:val="11"/>
                <w:color w:val="auto"/>
              </w:rPr>
              <w:t>$ 337,566</w:t>
            </w:r>
          </w:p>
        </w:tc>
      </w:tr>
      <w:tr>
        <w:trPr>
          <w:trHeight w:val="118"/>
        </w:trPr>
        <w:tc>
          <w:tcPr>
            <w:tcW w:w="3880" w:type="dxa"/>
            <w:vAlign w:val="bottom"/>
          </w:tcPr>
          <w:p>
            <w:pPr>
              <w:spacing w:after="0" w:line="119" w:lineRule="exact"/>
              <w:rPr>
                <w:sz w:val="20"/>
                <w:szCs w:val="20"/>
                <w:color w:val="auto"/>
              </w:rPr>
            </w:pPr>
            <w:r>
              <w:rPr>
                <w:rFonts w:ascii="Arial" w:cs="Arial" w:eastAsia="Arial" w:hAnsi="Arial"/>
                <w:sz w:val="11"/>
                <w:szCs w:val="11"/>
                <w:color w:val="auto"/>
              </w:rPr>
              <w:t>Timothy P. Dordell</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880" w:type="dxa"/>
            <w:vAlign w:val="bottom"/>
          </w:tcPr>
          <w:p>
            <w:pPr>
              <w:ind w:left="220"/>
              <w:spacing w:after="0" w:line="122" w:lineRule="exact"/>
              <w:rPr>
                <w:sz w:val="20"/>
                <w:szCs w:val="20"/>
                <w:color w:val="auto"/>
              </w:rPr>
            </w:pPr>
            <w:r>
              <w:rPr>
                <w:rFonts w:ascii="Arial" w:cs="Arial" w:eastAsia="Arial" w:hAnsi="Arial"/>
                <w:sz w:val="11"/>
                <w:szCs w:val="11"/>
                <w:color w:val="auto"/>
              </w:rPr>
              <w:t>Annual Cash Incentive Award</w:t>
            </w:r>
          </w:p>
        </w:tc>
        <w:tc>
          <w:tcPr>
            <w:tcW w:w="600" w:type="dxa"/>
            <w:vAlign w:val="bottom"/>
          </w:tcPr>
          <w:p>
            <w:pPr>
              <w:jc w:val="center"/>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$ 102,000</w:t>
            </w:r>
          </w:p>
        </w:tc>
        <w:tc>
          <w:tcPr>
            <w:tcW w:w="660" w:type="dxa"/>
            <w:vAlign w:val="bottom"/>
          </w:tcPr>
          <w:p>
            <w:pPr>
              <w:jc w:val="center"/>
              <w:spacing w:after="0" w:line="122" w:lineRule="exact"/>
              <w:rPr>
                <w:sz w:val="20"/>
                <w:szCs w:val="20"/>
                <w:color w:val="auto"/>
              </w:rPr>
            </w:pPr>
            <w:r>
              <w:rPr>
                <w:rFonts w:ascii="Arial" w:cs="Arial" w:eastAsia="Arial" w:hAnsi="Arial"/>
                <w:sz w:val="11"/>
                <w:szCs w:val="11"/>
                <w:color w:val="auto"/>
              </w:rPr>
              <w:t>$ 255,000</w:t>
            </w:r>
          </w:p>
        </w:tc>
        <w:tc>
          <w:tcPr>
            <w:tcW w:w="720" w:type="dxa"/>
            <w:vAlign w:val="bottom"/>
          </w:tcPr>
          <w:p>
            <w:pPr>
              <w:jc w:val="right"/>
              <w:ind w:right="6"/>
              <w:spacing w:after="0" w:line="122" w:lineRule="exact"/>
              <w:rPr>
                <w:sz w:val="20"/>
                <w:szCs w:val="20"/>
                <w:color w:val="auto"/>
              </w:rPr>
            </w:pPr>
            <w:r>
              <w:rPr>
                <w:rFonts w:ascii="Arial" w:cs="Arial" w:eastAsia="Arial" w:hAnsi="Arial"/>
                <w:sz w:val="11"/>
                <w:szCs w:val="11"/>
                <w:color w:val="auto"/>
              </w:rPr>
              <w:t>$ 510,000</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3880" w:type="dxa"/>
            <w:vAlign w:val="bottom"/>
          </w:tcPr>
          <w:p>
            <w:pPr>
              <w:ind w:left="220"/>
              <w:spacing w:after="0" w:line="122" w:lineRule="exact"/>
              <w:rPr>
                <w:sz w:val="20"/>
                <w:szCs w:val="20"/>
                <w:color w:val="auto"/>
              </w:rPr>
            </w:pPr>
            <w:r>
              <w:rPr>
                <w:rFonts w:ascii="Arial" w:cs="Arial" w:eastAsia="Arial" w:hAnsi="Arial"/>
                <w:sz w:val="11"/>
                <w:szCs w:val="11"/>
                <w:color w:val="auto"/>
              </w:rPr>
              <w:t>Performance Share Award</w:t>
            </w:r>
          </w:p>
        </w:tc>
        <w:tc>
          <w:tcPr>
            <w:tcW w:w="6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12/06/16</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2,320</w:t>
            </w:r>
          </w:p>
        </w:tc>
        <w:tc>
          <w:tcPr>
            <w:tcW w:w="6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5,800</w:t>
            </w:r>
          </w:p>
        </w:tc>
        <w:tc>
          <w:tcPr>
            <w:tcW w:w="4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11,600</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$ 316,216</w:t>
            </w:r>
          </w:p>
        </w:tc>
      </w:tr>
      <w:tr>
        <w:trPr>
          <w:trHeight w:val="130"/>
        </w:trPr>
        <w:tc>
          <w:tcPr>
            <w:tcW w:w="3880" w:type="dxa"/>
            <w:vAlign w:val="bottom"/>
          </w:tcPr>
          <w:p>
            <w:pPr>
              <w:ind w:left="220"/>
              <w:spacing w:after="0"/>
              <w:rPr>
                <w:sz w:val="20"/>
                <w:szCs w:val="20"/>
                <w:color w:val="auto"/>
              </w:rPr>
            </w:pPr>
            <w:r>
              <w:rPr>
                <w:rFonts w:ascii="Arial" w:cs="Arial" w:eastAsia="Arial" w:hAnsi="Arial"/>
                <w:sz w:val="11"/>
                <w:szCs w:val="11"/>
                <w:color w:val="auto"/>
              </w:rPr>
              <w:t>Stock Options</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12/09/16</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12/06/16</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24,300</w:t>
            </w:r>
          </w:p>
        </w:tc>
        <w:tc>
          <w:tcPr>
            <w:tcW w:w="620" w:type="dxa"/>
            <w:vAlign w:val="bottom"/>
          </w:tcPr>
          <w:p>
            <w:pPr>
              <w:jc w:val="right"/>
              <w:spacing w:after="0"/>
              <w:rPr>
                <w:sz w:val="20"/>
                <w:szCs w:val="20"/>
                <w:color w:val="auto"/>
              </w:rPr>
            </w:pPr>
            <w:r>
              <w:rPr>
                <w:rFonts w:ascii="Arial" w:cs="Arial" w:eastAsia="Arial" w:hAnsi="Arial"/>
                <w:sz w:val="11"/>
                <w:szCs w:val="11"/>
                <w:color w:val="auto"/>
              </w:rPr>
              <w:t>$ 56.54</w:t>
            </w:r>
          </w:p>
        </w:tc>
        <w:tc>
          <w:tcPr>
            <w:tcW w:w="720" w:type="dxa"/>
            <w:vAlign w:val="bottom"/>
          </w:tcPr>
          <w:p>
            <w:pPr>
              <w:jc w:val="right"/>
              <w:spacing w:after="0"/>
              <w:rPr>
                <w:sz w:val="20"/>
                <w:szCs w:val="20"/>
                <w:color w:val="auto"/>
              </w:rPr>
            </w:pPr>
            <w:r>
              <w:rPr>
                <w:rFonts w:ascii="Arial" w:cs="Arial" w:eastAsia="Arial" w:hAnsi="Arial"/>
                <w:sz w:val="11"/>
                <w:szCs w:val="11"/>
                <w:color w:val="auto"/>
              </w:rPr>
              <w:t>$ 322,947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-1640205</wp:posOffset>
            </wp:positionV>
            <wp:extent cx="22809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886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3" w:lineRule="exact"/>
        <w:rPr>
          <w:sz w:val="20"/>
          <w:szCs w:val="20"/>
          <w:color w:val="auto"/>
        </w:rPr>
      </w:pPr>
    </w:p>
    <w:p>
      <w:pPr>
        <w:ind w:left="460" w:right="500" w:hanging="452"/>
        <w:spacing w:after="0" w:line="275"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reported represent the range of payouts of annual cash incentive awards for fiscal 2017. Actual payouts for fiscal 2017 are included in the “Summary Compensation Table” beginning on page 46 in the “Non-Equity Incentive Plan Compensation” column.</w:t>
      </w:r>
    </w:p>
    <w:p>
      <w:pPr>
        <w:spacing w:after="0" w:line="38" w:lineRule="exact"/>
        <w:rPr>
          <w:rFonts w:ascii="Arial" w:cs="Arial" w:eastAsia="Arial" w:hAnsi="Arial"/>
          <w:sz w:val="17"/>
          <w:szCs w:val="17"/>
          <w:color w:val="auto"/>
        </w:rPr>
      </w:pPr>
    </w:p>
    <w:p>
      <w:pPr>
        <w:ind w:left="460" w:right="28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2017 to fiscal 2019 performance period. Information regarding the performance share awards is set forth within the “Compensation Discussion and Analysis” under “Long-Term Incentives—Performance Share Awards” on page 41.</w:t>
      </w:r>
    </w:p>
    <w:p>
      <w:pPr>
        <w:spacing w:after="0" w:line="67"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2017, which grant date was December 9, 2016, the second business day following the issuance of our press release announcing our financial results for fiscal 2016. Options have a ten-year term and vest ratably in three equal installments on each of the first, second and third year anniversaries of the date of grant. Additional information regarding stock options is set forth within the “Compensation Discussion and Analysis” under “Long-Term Incentives—Stock Options” beginning on page 40.</w:t>
      </w:r>
    </w:p>
    <w:p>
      <w:pPr>
        <w:spacing w:after="0" w:line="67" w:lineRule="exact"/>
        <w:rPr>
          <w:rFonts w:ascii="Arial" w:cs="Arial" w:eastAsia="Arial" w:hAnsi="Arial"/>
          <w:sz w:val="18"/>
          <w:szCs w:val="18"/>
          <w:color w:val="auto"/>
        </w:rPr>
      </w:pPr>
    </w:p>
    <w:p>
      <w:pPr>
        <w:ind w:left="460" w:right="100" w:hanging="452"/>
        <w:spacing w:after="0" w:line="24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2017, which equals the closing price of our common stock, as reported on the NYSE, on December 9, 2016, the date of grant.</w:t>
      </w:r>
    </w:p>
    <w:p>
      <w:pPr>
        <w:spacing w:after="0" w:line="61"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reported represent the grant date fair value of performance share awards at target granted for the fiscal 2017 to fiscal 2019 performance period based on the closing price of our common stock, as reported on the NYSE, on December 6, 2016, the date of grant, of $ 54.52. These amounts are also set forth in the “Summary Compensation Table” beginning on page 46 in the “Stock Awards” column.</w:t>
      </w:r>
    </w:p>
    <w:p>
      <w:pPr>
        <w:spacing w:after="0" w:line="51" w:lineRule="exact"/>
        <w:rPr>
          <w:rFonts w:ascii="Arial" w:cs="Arial" w:eastAsia="Arial" w:hAnsi="Arial"/>
          <w:sz w:val="17"/>
          <w:szCs w:val="17"/>
          <w:color w:val="auto"/>
        </w:rPr>
      </w:pPr>
    </w:p>
    <w:p>
      <w:pPr>
        <w:ind w:left="460" w:right="180" w:hanging="452"/>
        <w:spacing w:after="0" w:line="23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$13.29 per share, computed in accordance with FASB ASC Topic 718, of option awards made for fiscal 2017. These amounts are also set forth in the “Summary Compensation Table” beginning on page 46 in the “Option Awards” column. The specific assumptions used in the valuation of the options are included in footnote 3 to the “Summary Compensation Table.”</w:t>
      </w:r>
    </w:p>
    <w:p>
      <w:pPr>
        <w:spacing w:after="0" w:line="66"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a result of the revised role and responsibilities anticipated in connection with Mr. Hoffman’s transition from Chairman and CEO to Executive Chairman at the beginning of fiscal 2017, including the expectation that he focus on providing leadership to the Board and not on the Company’s operations or day-to-day management, Mr. Hoffman was not granted any performance share awards in fiscal 2017.</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Outstanding Equity Awards at Fiscal Year-End for 2017</w:t>
      </w:r>
    </w:p>
    <w:p>
      <w:pPr>
        <w:spacing w:after="0" w:line="126"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2017, the last day of fiscal 2017. Specifically, 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reflects exercisable and unexercisable stock options, unvested restricted stock unit awards and unvested performance share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shd w:val="clear" w:color="auto" w:fill="C00000"/>
          </w:tcPr>
          <w:p>
            <w:pPr>
              <w:spacing w:after="0"/>
              <w:rPr>
                <w:sz w:val="13"/>
                <w:szCs w:val="13"/>
                <w:color w:val="auto"/>
              </w:rPr>
            </w:pPr>
          </w:p>
        </w:tc>
        <w:tc>
          <w:tcPr>
            <w:tcW w:w="760" w:type="dxa"/>
            <w:vAlign w:val="bottom"/>
            <w:shd w:val="clear" w:color="auto" w:fill="C00000"/>
          </w:tcPr>
          <w:p>
            <w:pPr>
              <w:spacing w:after="0"/>
              <w:rPr>
                <w:sz w:val="13"/>
                <w:szCs w:val="13"/>
                <w:color w:val="auto"/>
              </w:rPr>
            </w:pPr>
          </w:p>
        </w:tc>
        <w:tc>
          <w:tcPr>
            <w:tcW w:w="960" w:type="dxa"/>
            <w:vAlign w:val="bottom"/>
            <w:shd w:val="clear" w:color="auto" w:fill="C00000"/>
          </w:tcPr>
          <w:p>
            <w:pPr>
              <w:spacing w:after="0"/>
              <w:rPr>
                <w:sz w:val="13"/>
                <w:szCs w:val="13"/>
                <w:color w:val="auto"/>
              </w:rPr>
            </w:pPr>
          </w:p>
        </w:tc>
        <w:tc>
          <w:tcPr>
            <w:tcW w:w="220" w:type="dxa"/>
            <w:vAlign w:val="bottom"/>
            <w:shd w:val="clear" w:color="auto" w:fill="C00000"/>
          </w:tcPr>
          <w:p>
            <w:pPr>
              <w:spacing w:after="0"/>
              <w:rPr>
                <w:sz w:val="13"/>
                <w:szCs w:val="13"/>
                <w:color w:val="auto"/>
              </w:rPr>
            </w:pPr>
          </w:p>
        </w:tc>
        <w:tc>
          <w:tcPr>
            <w:tcW w:w="1820" w:type="dxa"/>
            <w:vAlign w:val="bottom"/>
            <w:gridSpan w:val="2"/>
            <w:shd w:val="clear" w:color="auto" w:fill="C00000"/>
          </w:tcPr>
          <w:p>
            <w:pPr>
              <w:ind w:left="320"/>
              <w:spacing w:after="0"/>
              <w:rPr>
                <w:sz w:val="20"/>
                <w:szCs w:val="20"/>
                <w:color w:val="auto"/>
              </w:rPr>
            </w:pPr>
            <w:r>
              <w:rPr>
                <w:rFonts w:ascii="Arial" w:cs="Arial" w:eastAsia="Arial" w:hAnsi="Arial"/>
                <w:sz w:val="13"/>
                <w:szCs w:val="13"/>
                <w:b w:val="1"/>
                <w:bCs w:val="1"/>
                <w:color w:val="FFFFFF"/>
              </w:rPr>
              <w:t>Option Awards</w:t>
            </w:r>
          </w:p>
        </w:tc>
        <w:tc>
          <w:tcPr>
            <w:tcW w:w="840" w:type="dxa"/>
            <w:vAlign w:val="bottom"/>
            <w:shd w:val="clear" w:color="auto" w:fill="C00000"/>
          </w:tcPr>
          <w:p>
            <w:pPr>
              <w:spacing w:after="0"/>
              <w:rPr>
                <w:sz w:val="13"/>
                <w:szCs w:val="13"/>
                <w:color w:val="auto"/>
              </w:rPr>
            </w:pPr>
          </w:p>
        </w:tc>
        <w:tc>
          <w:tcPr>
            <w:tcW w:w="840" w:type="dxa"/>
            <w:vAlign w:val="bottom"/>
            <w:shd w:val="clear" w:color="auto" w:fill="C00000"/>
          </w:tcPr>
          <w:p>
            <w:pPr>
              <w:spacing w:after="0"/>
              <w:rPr>
                <w:sz w:val="13"/>
                <w:szCs w:val="13"/>
                <w:color w:val="auto"/>
              </w:rPr>
            </w:pPr>
          </w:p>
        </w:tc>
        <w:tc>
          <w:tcPr>
            <w:tcW w:w="1920" w:type="dxa"/>
            <w:vAlign w:val="bottom"/>
            <w:gridSpan w:val="2"/>
            <w:shd w:val="clear" w:color="auto" w:fill="C00000"/>
          </w:tcPr>
          <w:p>
            <w:pPr>
              <w:jc w:val="right"/>
              <w:ind w:right="337"/>
              <w:spacing w:after="0"/>
              <w:rPr>
                <w:sz w:val="20"/>
                <w:szCs w:val="20"/>
                <w:color w:val="auto"/>
              </w:rPr>
            </w:pPr>
            <w:r>
              <w:rPr>
                <w:rFonts w:ascii="Arial" w:cs="Arial" w:eastAsia="Arial" w:hAnsi="Arial"/>
                <w:sz w:val="13"/>
                <w:szCs w:val="13"/>
                <w:b w:val="1"/>
                <w:bCs w:val="1"/>
                <w:color w:val="FFFFFF"/>
              </w:rPr>
              <w:t>Stock Awards</w:t>
            </w:r>
          </w:p>
        </w:tc>
        <w:tc>
          <w:tcPr>
            <w:tcW w:w="1080" w:type="dxa"/>
            <w:vAlign w:val="bottom"/>
            <w:shd w:val="clear" w:color="auto" w:fill="C00000"/>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1120" w:type="dxa"/>
            <w:vAlign w:val="bottom"/>
            <w:shd w:val="clear" w:color="auto" w:fill="C00000"/>
          </w:tcPr>
          <w:p>
            <w:pPr>
              <w:jc w:val="center"/>
              <w:ind w:right="77"/>
              <w:spacing w:after="0" w:line="127" w:lineRule="exact"/>
              <w:rPr>
                <w:sz w:val="20"/>
                <w:szCs w:val="20"/>
                <w:color w:val="auto"/>
              </w:rPr>
            </w:pPr>
            <w:r>
              <w:rPr>
                <w:rFonts w:ascii="Arial" w:cs="Arial" w:eastAsia="Arial" w:hAnsi="Arial"/>
                <w:sz w:val="13"/>
                <w:szCs w:val="13"/>
                <w:b w:val="1"/>
                <w:bCs w:val="1"/>
                <w:color w:val="FFFFFF"/>
                <w:w w:val="95"/>
              </w:rPr>
              <w:t>Equity</w:t>
            </w:r>
          </w:p>
        </w:tc>
        <w:tc>
          <w:tcPr>
            <w:tcW w:w="1080" w:type="dxa"/>
            <w:vAlign w:val="bottom"/>
            <w:shd w:val="clear" w:color="auto" w:fill="C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5"/>
              </w:rPr>
              <w:t>Incentive</w:t>
            </w:r>
          </w:p>
        </w:tc>
        <w:tc>
          <w:tcPr>
            <w:tcW w:w="10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10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4"/>
              </w:rPr>
              <w:t>Plan Awards:</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spacing w:after="0"/>
              <w:rPr>
                <w:sz w:val="11"/>
                <w:szCs w:val="11"/>
                <w:color w:val="auto"/>
              </w:rPr>
            </w:pPr>
          </w:p>
        </w:tc>
        <w:tc>
          <w:tcPr>
            <w:tcW w:w="220" w:type="dxa"/>
            <w:vAlign w:val="bottom"/>
            <w:shd w:val="clear" w:color="auto" w:fill="C00000"/>
          </w:tcPr>
          <w:p>
            <w:pPr>
              <w:spacing w:after="0"/>
              <w:rPr>
                <w:sz w:val="11"/>
                <w:szCs w:val="11"/>
                <w:color w:val="auto"/>
              </w:rPr>
            </w:pPr>
          </w:p>
        </w:tc>
        <w:tc>
          <w:tcPr>
            <w:tcW w:w="940" w:type="dxa"/>
            <w:vAlign w:val="bottom"/>
            <w:vMerge w:val="restart"/>
            <w:shd w:val="clear" w:color="auto" w:fill="C00000"/>
          </w:tcPr>
          <w:p>
            <w:pPr>
              <w:jc w:val="center"/>
              <w:ind w:right="37"/>
              <w:spacing w:after="0"/>
              <w:rPr>
                <w:sz w:val="20"/>
                <w:szCs w:val="20"/>
                <w:color w:val="auto"/>
              </w:rPr>
            </w:pPr>
            <w:r>
              <w:rPr>
                <w:rFonts w:ascii="Arial" w:cs="Arial" w:eastAsia="Arial" w:hAnsi="Arial"/>
                <w:sz w:val="13"/>
                <w:szCs w:val="13"/>
                <w:b w:val="1"/>
                <w:bCs w:val="1"/>
                <w:color w:val="FFFFFF"/>
                <w:w w:val="98"/>
              </w:rPr>
              <w:t>Number of</w:t>
            </w: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Market</w:t>
            </w: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6"/>
              </w:rPr>
              <w:t>Unearned</w:t>
            </w:r>
          </w:p>
        </w:tc>
        <w:tc>
          <w:tcPr>
            <w:tcW w:w="1080" w:type="dxa"/>
            <w:vAlign w:val="bottom"/>
            <w:shd w:val="clear" w:color="auto" w:fill="C00000"/>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30"/>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57"/>
              <w:spacing w:after="0" w:line="130" w:lineRule="exact"/>
              <w:rPr>
                <w:sz w:val="20"/>
                <w:szCs w:val="20"/>
                <w:color w:val="auto"/>
              </w:rPr>
            </w:pPr>
            <w:r>
              <w:rPr>
                <w:rFonts w:ascii="Arial" w:cs="Arial" w:eastAsia="Arial" w:hAnsi="Arial"/>
                <w:sz w:val="13"/>
                <w:szCs w:val="13"/>
                <w:b w:val="1"/>
                <w:bCs w:val="1"/>
                <w:color w:val="FFFFFF"/>
                <w:w w:val="98"/>
              </w:rPr>
              <w:t>Number of</w:t>
            </w:r>
          </w:p>
        </w:tc>
        <w:tc>
          <w:tcPr>
            <w:tcW w:w="220" w:type="dxa"/>
            <w:vAlign w:val="bottom"/>
            <w:shd w:val="clear" w:color="auto" w:fill="C00000"/>
          </w:tcPr>
          <w:p>
            <w:pPr>
              <w:spacing w:after="0"/>
              <w:rPr>
                <w:sz w:val="11"/>
                <w:szCs w:val="11"/>
                <w:color w:val="auto"/>
              </w:rPr>
            </w:pPr>
          </w:p>
        </w:tc>
        <w:tc>
          <w:tcPr>
            <w:tcW w:w="940" w:type="dxa"/>
            <w:vAlign w:val="bottom"/>
            <w:vMerge w:val="continue"/>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00" w:type="dxa"/>
            <w:vAlign w:val="bottom"/>
            <w:shd w:val="clear" w:color="auto" w:fill="C00000"/>
          </w:tcPr>
          <w:p>
            <w:pPr>
              <w:jc w:val="center"/>
              <w:spacing w:after="0" w:line="130" w:lineRule="exact"/>
              <w:rPr>
                <w:sz w:val="20"/>
                <w:szCs w:val="20"/>
                <w:color w:val="auto"/>
              </w:rPr>
            </w:pPr>
            <w:r>
              <w:rPr>
                <w:rFonts w:ascii="Arial" w:cs="Arial" w:eastAsia="Arial" w:hAnsi="Arial"/>
                <w:sz w:val="13"/>
                <w:szCs w:val="13"/>
                <w:b w:val="1"/>
                <w:bCs w:val="1"/>
                <w:color w:val="FFFFFF"/>
                <w:w w:val="94"/>
              </w:rPr>
              <w:t>Value of</w:t>
            </w:r>
          </w:p>
        </w:tc>
        <w:tc>
          <w:tcPr>
            <w:tcW w:w="1120" w:type="dxa"/>
            <w:vAlign w:val="bottom"/>
            <w:shd w:val="clear" w:color="auto" w:fill="C00000"/>
          </w:tcPr>
          <w:p>
            <w:pPr>
              <w:jc w:val="center"/>
              <w:ind w:right="77"/>
              <w:spacing w:after="0" w:line="130" w:lineRule="exact"/>
              <w:rPr>
                <w:sz w:val="20"/>
                <w:szCs w:val="20"/>
                <w:color w:val="auto"/>
              </w:rPr>
            </w:pPr>
            <w:r>
              <w:rPr>
                <w:rFonts w:ascii="Arial" w:cs="Arial" w:eastAsia="Arial" w:hAnsi="Arial"/>
                <w:sz w:val="13"/>
                <w:szCs w:val="13"/>
                <w:b w:val="1"/>
                <w:bCs w:val="1"/>
                <w:color w:val="FFFFFF"/>
                <w:w w:val="97"/>
              </w:rPr>
              <w:t>Shares,</w:t>
            </w:r>
          </w:p>
        </w:tc>
        <w:tc>
          <w:tcPr>
            <w:tcW w:w="1080" w:type="dxa"/>
            <w:vAlign w:val="bottom"/>
            <w:shd w:val="clear" w:color="auto" w:fill="C00000"/>
          </w:tcPr>
          <w:p>
            <w:pPr>
              <w:jc w:val="center"/>
              <w:spacing w:after="0" w:line="130" w:lineRule="exact"/>
              <w:rPr>
                <w:sz w:val="20"/>
                <w:szCs w:val="20"/>
                <w:color w:val="auto"/>
              </w:rPr>
            </w:pPr>
            <w:r>
              <w:rPr>
                <w:rFonts w:ascii="Arial" w:cs="Arial" w:eastAsia="Arial" w:hAnsi="Arial"/>
                <w:sz w:val="13"/>
                <w:szCs w:val="13"/>
                <w:b w:val="1"/>
                <w:bCs w:val="1"/>
                <w:color w:val="FFFFFF"/>
                <w:w w:val="95"/>
              </w:rPr>
              <w:t>Payout Value</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5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3"/>
              </w:rPr>
              <w:t>Units or</w:t>
            </w:r>
          </w:p>
        </w:tc>
        <w:tc>
          <w:tcPr>
            <w:tcW w:w="10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7"/>
              </w:rPr>
              <w:t>of Unearned</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3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jc w:val="center"/>
              <w:ind w:right="57"/>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88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Shares or</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4"/>
              </w:rPr>
              <w:t>Units of</w:t>
            </w: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7"/>
              </w:rPr>
              <w:t>Other</w:t>
            </w:r>
          </w:p>
        </w:tc>
        <w:tc>
          <w:tcPr>
            <w:tcW w:w="1080" w:type="dxa"/>
            <w:vAlign w:val="bottom"/>
            <w:shd w:val="clear" w:color="auto" w:fill="C00000"/>
          </w:tcPr>
          <w:p>
            <w:pPr>
              <w:jc w:val="center"/>
              <w:ind w:left="17"/>
              <w:spacing w:after="0" w:line="135" w:lineRule="exact"/>
              <w:rPr>
                <w:sz w:val="20"/>
                <w:szCs w:val="20"/>
                <w:color w:val="auto"/>
              </w:rPr>
            </w:pPr>
            <w:r>
              <w:rPr>
                <w:rFonts w:ascii="Arial" w:cs="Arial" w:eastAsia="Arial" w:hAnsi="Arial"/>
                <w:sz w:val="13"/>
                <w:szCs w:val="13"/>
                <w:b w:val="1"/>
                <w:bCs w:val="1"/>
                <w:color w:val="FFFFFF"/>
                <w:w w:val="96"/>
              </w:rPr>
              <w:t>Shares, Units</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5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jc w:val="center"/>
              <w:ind w:right="37"/>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8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Units that</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8"/>
              </w:rPr>
              <w:t>Stock that</w:t>
            </w: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3"/>
              </w:rPr>
              <w:t>Rights</w:t>
            </w:r>
          </w:p>
        </w:tc>
        <w:tc>
          <w:tcPr>
            <w:tcW w:w="1080" w:type="dxa"/>
            <w:vAlign w:val="bottom"/>
            <w:shd w:val="clear" w:color="auto" w:fill="C00000"/>
          </w:tcPr>
          <w:p>
            <w:pPr>
              <w:jc w:val="center"/>
              <w:ind w:left="17"/>
              <w:spacing w:after="0" w:line="135" w:lineRule="exact"/>
              <w:rPr>
                <w:sz w:val="20"/>
                <w:szCs w:val="20"/>
                <w:color w:val="auto"/>
              </w:rPr>
            </w:pPr>
            <w:r>
              <w:rPr>
                <w:rFonts w:ascii="Arial" w:cs="Arial" w:eastAsia="Arial" w:hAnsi="Arial"/>
                <w:sz w:val="13"/>
                <w:szCs w:val="13"/>
                <w:b w:val="1"/>
                <w:bCs w:val="1"/>
                <w:color w:val="FFFFFF"/>
                <w:w w:val="96"/>
              </w:rPr>
              <w:t>or Other Rights</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57"/>
              <w:spacing w:after="0" w:line="135" w:lineRule="exact"/>
              <w:rPr>
                <w:sz w:val="20"/>
                <w:szCs w:val="20"/>
                <w:color w:val="auto"/>
              </w:rPr>
            </w:pPr>
            <w:r>
              <w:rPr>
                <w:rFonts w:ascii="Arial" w:cs="Arial" w:eastAsia="Arial" w:hAnsi="Arial"/>
                <w:sz w:val="13"/>
                <w:szCs w:val="13"/>
                <w:b w:val="1"/>
                <w:bCs w:val="1"/>
                <w:color w:val="FFFFFF"/>
                <w:w w:val="97"/>
              </w:rPr>
              <w:t>Options</w:t>
            </w:r>
          </w:p>
        </w:tc>
        <w:tc>
          <w:tcPr>
            <w:tcW w:w="220" w:type="dxa"/>
            <w:vAlign w:val="bottom"/>
            <w:shd w:val="clear" w:color="auto" w:fill="C00000"/>
          </w:tcPr>
          <w:p>
            <w:pPr>
              <w:spacing w:after="0"/>
              <w:rPr>
                <w:sz w:val="11"/>
                <w:szCs w:val="11"/>
                <w:color w:val="auto"/>
              </w:rPr>
            </w:pPr>
          </w:p>
        </w:tc>
        <w:tc>
          <w:tcPr>
            <w:tcW w:w="940" w:type="dxa"/>
            <w:vAlign w:val="bottom"/>
            <w:shd w:val="clear" w:color="auto" w:fill="C00000"/>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Options</w:t>
            </w:r>
          </w:p>
        </w:tc>
        <w:tc>
          <w:tcPr>
            <w:tcW w:w="880" w:type="dxa"/>
            <w:vAlign w:val="bottom"/>
            <w:shd w:val="clear" w:color="auto" w:fill="C00000"/>
          </w:tcPr>
          <w:p>
            <w:pPr>
              <w:ind w:left="200"/>
              <w:spacing w:after="0" w:line="135" w:lineRule="exact"/>
              <w:rPr>
                <w:sz w:val="20"/>
                <w:szCs w:val="20"/>
                <w:color w:val="auto"/>
              </w:rPr>
            </w:pPr>
            <w:r>
              <w:rPr>
                <w:rFonts w:ascii="Arial" w:cs="Arial" w:eastAsia="Arial" w:hAnsi="Arial"/>
                <w:sz w:val="13"/>
                <w:szCs w:val="13"/>
                <w:b w:val="1"/>
                <w:bCs w:val="1"/>
                <w:color w:val="FFFFFF"/>
              </w:rPr>
              <w:t>Exercise</w:t>
            </w:r>
          </w:p>
        </w:tc>
        <w:tc>
          <w:tcPr>
            <w:tcW w:w="840" w:type="dxa"/>
            <w:vAlign w:val="bottom"/>
            <w:shd w:val="clear" w:color="auto" w:fill="C00000"/>
          </w:tcPr>
          <w:p>
            <w:pPr>
              <w:ind w:left="200"/>
              <w:spacing w:after="0" w:line="135" w:lineRule="exact"/>
              <w:rPr>
                <w:sz w:val="20"/>
                <w:szCs w:val="20"/>
                <w:color w:val="auto"/>
              </w:rPr>
            </w:pPr>
            <w:r>
              <w:rPr>
                <w:rFonts w:ascii="Arial" w:cs="Arial" w:eastAsia="Arial" w:hAnsi="Arial"/>
                <w:sz w:val="13"/>
                <w:szCs w:val="13"/>
                <w:b w:val="1"/>
                <w:bCs w:val="1"/>
                <w:color w:val="FFFFFF"/>
              </w:rPr>
              <w:t>Option</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1120" w:type="dxa"/>
            <w:vAlign w:val="bottom"/>
            <w:shd w:val="clear" w:color="auto" w:fill="C00000"/>
          </w:tcPr>
          <w:p>
            <w:pPr>
              <w:jc w:val="center"/>
              <w:ind w:right="57"/>
              <w:spacing w:after="0" w:line="135" w:lineRule="exact"/>
              <w:rPr>
                <w:sz w:val="20"/>
                <w:szCs w:val="20"/>
                <w:color w:val="auto"/>
              </w:rPr>
            </w:pPr>
            <w:r>
              <w:rPr>
                <w:rFonts w:ascii="Arial" w:cs="Arial" w:eastAsia="Arial" w:hAnsi="Arial"/>
                <w:sz w:val="13"/>
                <w:szCs w:val="13"/>
                <w:b w:val="1"/>
                <w:bCs w:val="1"/>
                <w:color w:val="FFFFFF"/>
                <w:w w:val="96"/>
              </w:rPr>
              <w:t>That Have</w:t>
            </w:r>
          </w:p>
        </w:tc>
        <w:tc>
          <w:tcPr>
            <w:tcW w:w="1080" w:type="dxa"/>
            <w:vAlign w:val="bottom"/>
            <w:shd w:val="clear" w:color="auto" w:fill="C00000"/>
          </w:tcPr>
          <w:p>
            <w:pPr>
              <w:jc w:val="center"/>
              <w:ind w:left="17"/>
              <w:spacing w:after="0" w:line="135" w:lineRule="exact"/>
              <w:rPr>
                <w:sz w:val="20"/>
                <w:szCs w:val="20"/>
                <w:color w:val="auto"/>
              </w:rPr>
            </w:pPr>
            <w:r>
              <w:rPr>
                <w:rFonts w:ascii="Arial" w:cs="Arial" w:eastAsia="Arial" w:hAnsi="Arial"/>
                <w:sz w:val="13"/>
                <w:szCs w:val="13"/>
                <w:b w:val="1"/>
                <w:bCs w:val="1"/>
                <w:color w:val="FFFFFF"/>
                <w:w w:val="96"/>
              </w:rPr>
              <w:t>That Have</w:t>
            </w:r>
          </w:p>
        </w:tc>
        <w:tc>
          <w:tcPr>
            <w:tcW w:w="0" w:type="dxa"/>
            <w:vAlign w:val="bottom"/>
          </w:tcPr>
          <w:p>
            <w:pPr>
              <w:spacing w:after="0"/>
              <w:rPr>
                <w:sz w:val="1"/>
                <w:szCs w:val="1"/>
                <w:color w:val="auto"/>
              </w:rPr>
            </w:pPr>
          </w:p>
        </w:tc>
      </w:tr>
      <w:tr>
        <w:trPr>
          <w:trHeight w:val="135"/>
        </w:trPr>
        <w:tc>
          <w:tcPr>
            <w:tcW w:w="2980" w:type="dxa"/>
            <w:vAlign w:val="bottom"/>
            <w:shd w:val="clear" w:color="auto" w:fill="C00000"/>
          </w:tcPr>
          <w:p>
            <w:pPr>
              <w:spacing w:after="0"/>
              <w:rPr>
                <w:sz w:val="11"/>
                <w:szCs w:val="11"/>
                <w:color w:val="auto"/>
              </w:rPr>
            </w:pPr>
          </w:p>
        </w:tc>
        <w:tc>
          <w:tcPr>
            <w:tcW w:w="760" w:type="dxa"/>
            <w:vAlign w:val="bottom"/>
            <w:shd w:val="clear" w:color="auto" w:fill="C00000"/>
          </w:tcPr>
          <w:p>
            <w:pPr>
              <w:spacing w:after="0"/>
              <w:rPr>
                <w:sz w:val="11"/>
                <w:szCs w:val="11"/>
                <w:color w:val="auto"/>
              </w:rPr>
            </w:pPr>
          </w:p>
        </w:tc>
        <w:tc>
          <w:tcPr>
            <w:tcW w:w="960" w:type="dxa"/>
            <w:vAlign w:val="bottom"/>
            <w:shd w:val="clear" w:color="auto" w:fill="C00000"/>
          </w:tcPr>
          <w:p>
            <w:pPr>
              <w:jc w:val="center"/>
              <w:ind w:left="37"/>
              <w:spacing w:after="0" w:line="135" w:lineRule="exact"/>
              <w:rPr>
                <w:sz w:val="20"/>
                <w:szCs w:val="20"/>
                <w:color w:val="auto"/>
              </w:rPr>
            </w:pPr>
            <w:r>
              <w:rPr>
                <w:rFonts w:ascii="Arial" w:cs="Arial" w:eastAsia="Arial" w:hAnsi="Arial"/>
                <w:sz w:val="13"/>
                <w:szCs w:val="13"/>
                <w:b w:val="1"/>
                <w:bCs w:val="1"/>
                <w:color w:val="FFFFFF"/>
                <w:w w:val="96"/>
              </w:rPr>
              <w:t>Exercisable</w:t>
            </w:r>
          </w:p>
        </w:tc>
        <w:tc>
          <w:tcPr>
            <w:tcW w:w="1160" w:type="dxa"/>
            <w:vAlign w:val="bottom"/>
            <w:gridSpan w:val="2"/>
            <w:shd w:val="clear" w:color="auto" w:fill="C00000"/>
          </w:tcPr>
          <w:p>
            <w:pPr>
              <w:jc w:val="center"/>
              <w:ind w:left="37"/>
              <w:spacing w:after="0" w:line="135" w:lineRule="exact"/>
              <w:rPr>
                <w:sz w:val="20"/>
                <w:szCs w:val="20"/>
                <w:color w:val="auto"/>
              </w:rPr>
            </w:pPr>
            <w:r>
              <w:rPr>
                <w:rFonts w:ascii="Arial" w:cs="Arial" w:eastAsia="Arial" w:hAnsi="Arial"/>
                <w:sz w:val="13"/>
                <w:szCs w:val="13"/>
                <w:b w:val="1"/>
                <w:bCs w:val="1"/>
                <w:color w:val="FFFFFF"/>
                <w:w w:val="97"/>
              </w:rPr>
              <w:t>Unexercisable</w:t>
            </w:r>
            <w:r>
              <w:rPr>
                <w:rFonts w:ascii="Arial" w:cs="Arial" w:eastAsia="Arial" w:hAnsi="Arial"/>
                <w:sz w:val="10"/>
                <w:szCs w:val="10"/>
                <w:b w:val="1"/>
                <w:bCs w:val="1"/>
                <w:color w:val="FFFFFF"/>
                <w:w w:val="97"/>
              </w:rPr>
              <w:t>(1)</w:t>
            </w:r>
          </w:p>
        </w:tc>
        <w:tc>
          <w:tcPr>
            <w:tcW w:w="8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rPr>
              <w:t>Price</w:t>
            </w:r>
          </w:p>
        </w:tc>
        <w:tc>
          <w:tcPr>
            <w:tcW w:w="840" w:type="dxa"/>
            <w:vAlign w:val="bottom"/>
            <w:shd w:val="clear" w:color="auto" w:fill="C00000"/>
          </w:tcPr>
          <w:p>
            <w:pPr>
              <w:ind w:left="100"/>
              <w:spacing w:after="0" w:line="135" w:lineRule="exact"/>
              <w:rPr>
                <w:sz w:val="20"/>
                <w:szCs w:val="20"/>
                <w:color w:val="auto"/>
              </w:rPr>
            </w:pPr>
            <w:r>
              <w:rPr>
                <w:rFonts w:ascii="Arial" w:cs="Arial" w:eastAsia="Arial" w:hAnsi="Arial"/>
                <w:sz w:val="13"/>
                <w:szCs w:val="13"/>
                <w:b w:val="1"/>
                <w:bCs w:val="1"/>
                <w:color w:val="FFFFFF"/>
              </w:rPr>
              <w:t>Expiration</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8"/>
              </w:rPr>
              <w:t>Vested</w:t>
            </w:r>
            <w:r>
              <w:rPr>
                <w:rFonts w:ascii="Arial" w:cs="Arial" w:eastAsia="Arial" w:hAnsi="Arial"/>
                <w:sz w:val="10"/>
                <w:szCs w:val="10"/>
                <w:b w:val="1"/>
                <w:bCs w:val="1"/>
                <w:color w:val="FFFFFF"/>
                <w:w w:val="98"/>
              </w:rPr>
              <w:t>(2)</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8"/>
              </w:rPr>
              <w:t>Vested</w:t>
            </w:r>
            <w:r>
              <w:rPr>
                <w:rFonts w:ascii="Arial" w:cs="Arial" w:eastAsia="Arial" w:hAnsi="Arial"/>
                <w:sz w:val="10"/>
                <w:szCs w:val="10"/>
                <w:b w:val="1"/>
                <w:bCs w:val="1"/>
                <w:color w:val="FFFFFF"/>
                <w:w w:val="98"/>
              </w:rPr>
              <w:t>(3)</w:t>
            </w:r>
          </w:p>
        </w:tc>
        <w:tc>
          <w:tcPr>
            <w:tcW w:w="1120" w:type="dxa"/>
            <w:vAlign w:val="bottom"/>
            <w:shd w:val="clear" w:color="auto" w:fill="C00000"/>
          </w:tcPr>
          <w:p>
            <w:pPr>
              <w:jc w:val="center"/>
              <w:ind w:right="77"/>
              <w:spacing w:after="0" w:line="135" w:lineRule="exact"/>
              <w:rPr>
                <w:sz w:val="20"/>
                <w:szCs w:val="20"/>
                <w:color w:val="auto"/>
              </w:rPr>
            </w:pPr>
            <w:r>
              <w:rPr>
                <w:rFonts w:ascii="Arial" w:cs="Arial" w:eastAsia="Arial" w:hAnsi="Arial"/>
                <w:sz w:val="13"/>
                <w:szCs w:val="13"/>
                <w:b w:val="1"/>
                <w:bCs w:val="1"/>
                <w:color w:val="FFFFFF"/>
                <w:w w:val="97"/>
              </w:rPr>
              <w:t>Not Vested</w:t>
            </w:r>
            <w:r>
              <w:rPr>
                <w:rFonts w:ascii="Arial" w:cs="Arial" w:eastAsia="Arial" w:hAnsi="Arial"/>
                <w:sz w:val="10"/>
                <w:szCs w:val="10"/>
                <w:b w:val="1"/>
                <w:bCs w:val="1"/>
                <w:color w:val="FFFFFF"/>
                <w:w w:val="97"/>
              </w:rPr>
              <w:t>(4)</w:t>
            </w:r>
          </w:p>
        </w:tc>
        <w:tc>
          <w:tcPr>
            <w:tcW w:w="108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7"/>
              </w:rPr>
              <w:t>Not Vested</w:t>
            </w:r>
            <w:r>
              <w:rPr>
                <w:rFonts w:ascii="Arial" w:cs="Arial" w:eastAsia="Arial" w:hAnsi="Arial"/>
                <w:sz w:val="10"/>
                <w:szCs w:val="10"/>
                <w:b w:val="1"/>
                <w:bCs w:val="1"/>
                <w:color w:val="FFFFFF"/>
                <w:w w:val="97"/>
              </w:rPr>
              <w:t>(5)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00000"/>
          </w:tcPr>
          <w:p>
            <w:pPr>
              <w:spacing w:after="0"/>
              <w:rPr>
                <w:sz w:val="20"/>
                <w:szCs w:val="20"/>
                <w:color w:val="auto"/>
              </w:rPr>
            </w:pPr>
            <w:r>
              <w:rPr>
                <w:rFonts w:ascii="Arial" w:cs="Arial" w:eastAsia="Arial" w:hAnsi="Arial"/>
                <w:sz w:val="13"/>
                <w:szCs w:val="13"/>
                <w:b w:val="1"/>
                <w:bCs w:val="1"/>
                <w:color w:val="FFFFFF"/>
              </w:rPr>
              <w:t>Name</w:t>
            </w:r>
          </w:p>
        </w:tc>
        <w:tc>
          <w:tcPr>
            <w:tcW w:w="960" w:type="dxa"/>
            <w:vAlign w:val="bottom"/>
            <w:shd w:val="clear" w:color="auto" w:fill="C00000"/>
          </w:tcPr>
          <w:p>
            <w:pPr>
              <w:jc w:val="center"/>
              <w:ind w:left="57"/>
              <w:spacing w:after="0"/>
              <w:rPr>
                <w:sz w:val="20"/>
                <w:szCs w:val="20"/>
                <w:color w:val="auto"/>
              </w:rPr>
            </w:pPr>
            <w:r>
              <w:rPr>
                <w:rFonts w:ascii="Arial" w:cs="Arial" w:eastAsia="Arial" w:hAnsi="Arial"/>
                <w:sz w:val="13"/>
                <w:szCs w:val="13"/>
                <w:b w:val="1"/>
                <w:bCs w:val="1"/>
                <w:color w:val="FFFFFF"/>
              </w:rPr>
              <w:t>(#)</w:t>
            </w:r>
          </w:p>
        </w:tc>
        <w:tc>
          <w:tcPr>
            <w:tcW w:w="1160" w:type="dxa"/>
            <w:vAlign w:val="bottom"/>
            <w:gridSpan w:val="2"/>
            <w:shd w:val="clear" w:color="auto" w:fill="C00000"/>
          </w:tcPr>
          <w:p>
            <w:pPr>
              <w:jc w:val="center"/>
              <w:ind w:left="57"/>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C00000"/>
          </w:tcPr>
          <w:p>
            <w:pPr>
              <w:ind w:left="280"/>
              <w:spacing w:after="0"/>
              <w:rPr>
                <w:sz w:val="20"/>
                <w:szCs w:val="20"/>
                <w:color w:val="auto"/>
              </w:rPr>
            </w:pPr>
            <w:r>
              <w:rPr>
                <w:rFonts w:ascii="Arial" w:cs="Arial" w:eastAsia="Arial" w:hAnsi="Arial"/>
                <w:sz w:val="13"/>
                <w:szCs w:val="13"/>
                <w:b w:val="1"/>
                <w:bCs w:val="1"/>
                <w:color w:val="FFFFFF"/>
              </w:rPr>
              <w:t>Date</w:t>
            </w:r>
          </w:p>
        </w:tc>
        <w:tc>
          <w:tcPr>
            <w:tcW w:w="8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C00000"/>
          </w:tcPr>
          <w:p>
            <w:pPr>
              <w:jc w:val="center"/>
              <w:ind w:right="77"/>
              <w:spacing w:after="0"/>
              <w:rPr>
                <w:sz w:val="20"/>
                <w:szCs w:val="20"/>
                <w:color w:val="auto"/>
              </w:rPr>
            </w:pPr>
            <w:r>
              <w:rPr>
                <w:rFonts w:ascii="Arial" w:cs="Arial" w:eastAsia="Arial" w:hAnsi="Arial"/>
                <w:sz w:val="13"/>
                <w:szCs w:val="13"/>
                <w:b w:val="1"/>
                <w:bCs w:val="1"/>
                <w:color w:val="FFFFFF"/>
                <w:w w:val="87"/>
              </w:rPr>
              <w:t>(#)</w:t>
            </w:r>
          </w:p>
        </w:tc>
        <w:tc>
          <w:tcPr>
            <w:tcW w:w="1080" w:type="dxa"/>
            <w:vAlign w:val="bottom"/>
            <w:shd w:val="clear" w:color="auto" w:fill="C00000"/>
          </w:tcPr>
          <w:p>
            <w:pPr>
              <w:jc w:val="center"/>
              <w:ind w:left="1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9"/>
        </w:trPr>
        <w:tc>
          <w:tcPr>
            <w:tcW w:w="3740" w:type="dxa"/>
            <w:vAlign w:val="bottom"/>
            <w:gridSpan w:val="2"/>
          </w:tcPr>
          <w:p>
            <w:pPr>
              <w:spacing w:after="0" w:line="129" w:lineRule="exact"/>
              <w:rPr>
                <w:sz w:val="20"/>
                <w:szCs w:val="20"/>
                <w:color w:val="auto"/>
              </w:rPr>
            </w:pPr>
            <w:r>
              <w:rPr>
                <w:rFonts w:ascii="Arial" w:cs="Arial" w:eastAsia="Arial" w:hAnsi="Arial"/>
                <w:sz w:val="13"/>
                <w:szCs w:val="13"/>
                <w:color w:val="auto"/>
              </w:rPr>
              <w:t>Richard M. Olson</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7,780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$ 10.1825</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12/01/2019</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13,200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$ 15.8800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12/08/2020</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14,000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$ 14.1125</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12/07/2021</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12,600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$ 21.0300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12/11/2022</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$ 29.7500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12/06/2023</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13,332</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6,668</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$ 31.3750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12/05/2024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14,800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29,600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$ 38.8200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12/04/2025</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gridSpan w:val="2"/>
            <w:vMerge w:val="restart"/>
          </w:tcPr>
          <w:p>
            <w:pPr>
              <w:ind w:left="140"/>
              <w:spacing w:after="0"/>
              <w:rPr>
                <w:sz w:val="20"/>
                <w:szCs w:val="20"/>
                <w:color w:val="auto"/>
              </w:rPr>
            </w:pPr>
            <w:r>
              <w:rPr>
                <w:rFonts w:ascii="Arial" w:cs="Arial" w:eastAsia="Arial" w:hAnsi="Arial"/>
                <w:sz w:val="13"/>
                <w:szCs w:val="13"/>
                <w:color w:val="auto"/>
              </w:rPr>
              <w:t>F’16-F’18 Performance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119,400</w:t>
            </w:r>
          </w:p>
        </w:tc>
        <w:tc>
          <w:tcPr>
            <w:tcW w:w="880" w:type="dxa"/>
            <w:vAlign w:val="bottom"/>
          </w:tcPr>
          <w:p>
            <w:pPr>
              <w:ind w:left="200"/>
              <w:spacing w:after="0"/>
              <w:rPr>
                <w:sz w:val="20"/>
                <w:szCs w:val="20"/>
                <w:color w:val="auto"/>
              </w:rPr>
            </w:pPr>
            <w:r>
              <w:rPr>
                <w:rFonts w:ascii="Arial" w:cs="Arial" w:eastAsia="Arial" w:hAnsi="Arial"/>
                <w:sz w:val="13"/>
                <w:szCs w:val="13"/>
                <w:color w:val="auto"/>
              </w:rPr>
              <w:t>$ 56.5400</w:t>
            </w:r>
          </w:p>
        </w:tc>
        <w:tc>
          <w:tcPr>
            <w:tcW w:w="840" w:type="dxa"/>
            <w:vAlign w:val="bottom"/>
          </w:tcPr>
          <w:p>
            <w:pPr>
              <w:ind w:left="120"/>
              <w:spacing w:after="0"/>
              <w:rPr>
                <w:sz w:val="20"/>
                <w:szCs w:val="20"/>
                <w:color w:val="auto"/>
              </w:rPr>
            </w:pPr>
            <w:r>
              <w:rPr>
                <w:rFonts w:ascii="Arial" w:cs="Arial" w:eastAsia="Arial" w:hAnsi="Arial"/>
                <w:sz w:val="13"/>
                <w:szCs w:val="13"/>
                <w:color w:val="auto"/>
              </w:rPr>
              <w:t>12/09/2026</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jc w:val="right"/>
              <w:ind w:right="157"/>
              <w:spacing w:after="0"/>
              <w:rPr>
                <w:sz w:val="20"/>
                <w:szCs w:val="20"/>
                <w:color w:val="auto"/>
              </w:rPr>
            </w:pPr>
            <w:r>
              <w:rPr>
                <w:rFonts w:ascii="Arial" w:cs="Arial" w:eastAsia="Arial" w:hAnsi="Arial"/>
                <w:sz w:val="13"/>
                <w:szCs w:val="13"/>
                <w:color w:val="auto"/>
              </w:rPr>
              <w:t>14,490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$ 910,697</w:t>
            </w:r>
          </w:p>
        </w:tc>
        <w:tc>
          <w:tcPr>
            <w:tcW w:w="0" w:type="dxa"/>
            <w:vAlign w:val="bottom"/>
          </w:tcPr>
          <w:p>
            <w:pPr>
              <w:spacing w:after="0"/>
              <w:rPr>
                <w:sz w:val="1"/>
                <w:szCs w:val="1"/>
                <w:color w:val="auto"/>
              </w:rPr>
            </w:pPr>
          </w:p>
        </w:tc>
      </w:tr>
      <w:tr>
        <w:trPr>
          <w:trHeight w:val="118"/>
        </w:trPr>
        <w:tc>
          <w:tcPr>
            <w:tcW w:w="37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74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F’17-F’19 Performance Shares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jc w:val="right"/>
              <w:ind w:right="157"/>
              <w:spacing w:after="0" w:line="141" w:lineRule="exact"/>
              <w:rPr>
                <w:sz w:val="20"/>
                <w:szCs w:val="20"/>
                <w:color w:val="auto"/>
              </w:rPr>
            </w:pPr>
            <w:r>
              <w:rPr>
                <w:rFonts w:ascii="Arial" w:cs="Arial" w:eastAsia="Arial" w:hAnsi="Arial"/>
                <w:sz w:val="13"/>
                <w:szCs w:val="13"/>
                <w:color w:val="auto"/>
              </w:rPr>
              <w:t>36,280</w:t>
            </w:r>
          </w:p>
        </w:tc>
        <w:tc>
          <w:tcPr>
            <w:tcW w:w="1080" w:type="dxa"/>
            <w:vAlign w:val="bottom"/>
          </w:tcPr>
          <w:p>
            <w:pPr>
              <w:jc w:val="right"/>
              <w:spacing w:after="0" w:line="141" w:lineRule="exact"/>
              <w:rPr>
                <w:sz w:val="20"/>
                <w:szCs w:val="20"/>
                <w:color w:val="auto"/>
              </w:rPr>
            </w:pPr>
            <w:r>
              <w:rPr>
                <w:rFonts w:ascii="Arial" w:cs="Arial" w:eastAsia="Arial" w:hAnsi="Arial"/>
                <w:sz w:val="13"/>
                <w:szCs w:val="13"/>
                <w:color w:val="auto"/>
              </w:rPr>
              <w:t>$ 2,280,198</w:t>
            </w:r>
          </w:p>
        </w:tc>
        <w:tc>
          <w:tcPr>
            <w:tcW w:w="0" w:type="dxa"/>
            <w:vAlign w:val="bottom"/>
          </w:tcPr>
          <w:p>
            <w:pPr>
              <w:spacing w:after="0"/>
              <w:rPr>
                <w:sz w:val="1"/>
                <w:szCs w:val="1"/>
                <w:color w:val="auto"/>
              </w:rPr>
            </w:pPr>
          </w:p>
        </w:tc>
      </w:tr>
      <w:tr>
        <w:trPr>
          <w:trHeight w:val="129"/>
        </w:trPr>
        <w:tc>
          <w:tcPr>
            <w:tcW w:w="3740" w:type="dxa"/>
            <w:vAlign w:val="bottom"/>
            <w:gridSpan w:val="2"/>
            <w:shd w:val="clear" w:color="auto" w:fill="D9D9D9"/>
          </w:tcPr>
          <w:p>
            <w:pPr>
              <w:spacing w:after="0" w:line="129" w:lineRule="exact"/>
              <w:rPr>
                <w:sz w:val="20"/>
                <w:szCs w:val="20"/>
                <w:color w:val="auto"/>
              </w:rPr>
            </w:pPr>
            <w:r>
              <w:rPr>
                <w:rFonts w:ascii="Arial" w:cs="Arial" w:eastAsia="Arial" w:hAnsi="Arial"/>
                <w:sz w:val="13"/>
                <w:szCs w:val="13"/>
                <w:color w:val="auto"/>
              </w:rPr>
              <w:t>Renee J. Peterson</w:t>
            </w:r>
          </w:p>
        </w:tc>
        <w:tc>
          <w:tcPr>
            <w:tcW w:w="9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shd w:val="clear" w:color="auto" w:fill="D9D9D9"/>
          </w:tcPr>
          <w:p>
            <w:pPr>
              <w:ind w:left="140"/>
              <w:spacing w:after="0" w:line="135" w:lineRule="exact"/>
              <w:rPr>
                <w:sz w:val="20"/>
                <w:szCs w:val="20"/>
                <w:color w:val="auto"/>
              </w:rPr>
            </w:pPr>
            <w:r>
              <w:rPr>
                <w:rFonts w:ascii="Arial" w:cs="Arial" w:eastAsia="Arial" w:hAnsi="Arial"/>
                <w:sz w:val="13"/>
                <w:szCs w:val="13"/>
                <w:color w:val="auto"/>
              </w:rPr>
              <w:t>Stock Options</w:t>
            </w: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26,400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$ 14.1125</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12/07/2021</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51,600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$ 21.0300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12/11/2022</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38,800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$ 29.7500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12/06/2023</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25,332</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12,668</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$ 31.3750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12/05/2024</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13,132</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26,268</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$ 38.8200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12/04/2025</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40" w:type="dxa"/>
            <w:vAlign w:val="bottom"/>
            <w:gridSpan w:val="2"/>
            <w:vMerge w:val="restart"/>
            <w:shd w:val="clear" w:color="auto" w:fill="D9D9D9"/>
          </w:tcPr>
          <w:p>
            <w:pPr>
              <w:ind w:left="140"/>
              <w:spacing w:after="0"/>
              <w:rPr>
                <w:sz w:val="20"/>
                <w:szCs w:val="20"/>
                <w:color w:val="auto"/>
              </w:rPr>
            </w:pPr>
            <w:r>
              <w:rPr>
                <w:rFonts w:ascii="Arial" w:cs="Arial" w:eastAsia="Arial" w:hAnsi="Arial"/>
                <w:sz w:val="13"/>
                <w:szCs w:val="13"/>
                <w:color w:val="auto"/>
              </w:rPr>
              <w:t>F’16-F’18 Performance Shares</w:t>
            </w:r>
          </w:p>
        </w:tc>
        <w:tc>
          <w:tcPr>
            <w:tcW w:w="96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0</w:t>
            </w:r>
          </w:p>
        </w:tc>
        <w:tc>
          <w:tcPr>
            <w:tcW w:w="220" w:type="dxa"/>
            <w:vAlign w:val="bottom"/>
            <w:shd w:val="clear" w:color="auto" w:fill="D9D9D9"/>
          </w:tcPr>
          <w:p>
            <w:pPr>
              <w:spacing w:after="0"/>
              <w:rPr>
                <w:sz w:val="12"/>
                <w:szCs w:val="12"/>
                <w:color w:val="auto"/>
              </w:rPr>
            </w:pPr>
          </w:p>
        </w:tc>
        <w:tc>
          <w:tcPr>
            <w:tcW w:w="9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36,300</w:t>
            </w:r>
          </w:p>
        </w:tc>
        <w:tc>
          <w:tcPr>
            <w:tcW w:w="880" w:type="dxa"/>
            <w:vAlign w:val="bottom"/>
            <w:shd w:val="clear" w:color="auto" w:fill="D9D9D9"/>
          </w:tcPr>
          <w:p>
            <w:pPr>
              <w:ind w:left="200"/>
              <w:spacing w:after="0" w:line="141" w:lineRule="exact"/>
              <w:rPr>
                <w:sz w:val="20"/>
                <w:szCs w:val="20"/>
                <w:color w:val="auto"/>
              </w:rPr>
            </w:pPr>
            <w:r>
              <w:rPr>
                <w:rFonts w:ascii="Arial" w:cs="Arial" w:eastAsia="Arial" w:hAnsi="Arial"/>
                <w:sz w:val="13"/>
                <w:szCs w:val="13"/>
                <w:color w:val="auto"/>
              </w:rPr>
              <w:t>$ 56.5400</w:t>
            </w:r>
          </w:p>
        </w:tc>
        <w:tc>
          <w:tcPr>
            <w:tcW w:w="840" w:type="dxa"/>
            <w:vAlign w:val="bottom"/>
            <w:shd w:val="clear" w:color="auto" w:fill="D9D9D9"/>
          </w:tcPr>
          <w:p>
            <w:pPr>
              <w:ind w:left="120"/>
              <w:spacing w:after="0" w:line="141" w:lineRule="exact"/>
              <w:rPr>
                <w:sz w:val="20"/>
                <w:szCs w:val="20"/>
                <w:color w:val="auto"/>
              </w:rPr>
            </w:pPr>
            <w:r>
              <w:rPr>
                <w:rFonts w:ascii="Arial" w:cs="Arial" w:eastAsia="Arial" w:hAnsi="Arial"/>
                <w:sz w:val="13"/>
                <w:szCs w:val="13"/>
                <w:color w:val="auto"/>
              </w:rPr>
              <w:t>12/09/2026</w:t>
            </w:r>
          </w:p>
        </w:tc>
        <w:tc>
          <w:tcPr>
            <w:tcW w:w="84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1120" w:type="dxa"/>
            <w:vAlign w:val="bottom"/>
            <w:vMerge w:val="restart"/>
            <w:shd w:val="clear" w:color="auto" w:fill="D9D9D9"/>
          </w:tcPr>
          <w:p>
            <w:pPr>
              <w:jc w:val="right"/>
              <w:ind w:right="157"/>
              <w:spacing w:after="0"/>
              <w:rPr>
                <w:sz w:val="20"/>
                <w:szCs w:val="20"/>
                <w:color w:val="auto"/>
              </w:rPr>
            </w:pPr>
            <w:r>
              <w:rPr>
                <w:rFonts w:ascii="Arial" w:cs="Arial" w:eastAsia="Arial" w:hAnsi="Arial"/>
                <w:sz w:val="13"/>
                <w:szCs w:val="13"/>
                <w:color w:val="auto"/>
              </w:rPr>
              <w:t>12,880</w:t>
            </w:r>
          </w:p>
        </w:tc>
        <w:tc>
          <w:tcPr>
            <w:tcW w:w="1080" w:type="dxa"/>
            <w:vAlign w:val="bottom"/>
            <w:vMerge w:val="restart"/>
            <w:shd w:val="clear" w:color="auto" w:fill="D9D9D9"/>
          </w:tcPr>
          <w:p>
            <w:pPr>
              <w:jc w:val="right"/>
              <w:spacing w:after="0"/>
              <w:rPr>
                <w:sz w:val="20"/>
                <w:szCs w:val="20"/>
                <w:color w:val="auto"/>
              </w:rPr>
            </w:pPr>
            <w:r>
              <w:rPr>
                <w:rFonts w:ascii="Arial" w:cs="Arial" w:eastAsia="Arial" w:hAnsi="Arial"/>
                <w:sz w:val="13"/>
                <w:szCs w:val="13"/>
                <w:color w:val="auto"/>
              </w:rPr>
              <w:t>$ 809,508</w:t>
            </w:r>
          </w:p>
        </w:tc>
        <w:tc>
          <w:tcPr>
            <w:tcW w:w="0" w:type="dxa"/>
            <w:vAlign w:val="bottom"/>
          </w:tcPr>
          <w:p>
            <w:pPr>
              <w:spacing w:after="0"/>
              <w:rPr>
                <w:sz w:val="1"/>
                <w:szCs w:val="1"/>
                <w:color w:val="auto"/>
              </w:rPr>
            </w:pPr>
          </w:p>
        </w:tc>
      </w:tr>
      <w:tr>
        <w:trPr>
          <w:trHeight w:val="129"/>
        </w:trPr>
        <w:tc>
          <w:tcPr>
            <w:tcW w:w="3740" w:type="dxa"/>
            <w:vAlign w:val="bottom"/>
            <w:gridSpan w:val="2"/>
            <w:vMerge w:val="continue"/>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vMerge w:val="continue"/>
            <w:shd w:val="clear" w:color="auto" w:fill="D9D9D9"/>
          </w:tcPr>
          <w:p>
            <w:pPr>
              <w:spacing w:after="0"/>
              <w:rPr>
                <w:sz w:val="11"/>
                <w:szCs w:val="11"/>
                <w:color w:val="auto"/>
              </w:rPr>
            </w:pPr>
          </w:p>
        </w:tc>
        <w:tc>
          <w:tcPr>
            <w:tcW w:w="108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40" w:type="dxa"/>
            <w:vAlign w:val="bottom"/>
            <w:gridSpan w:val="2"/>
            <w:shd w:val="clear" w:color="auto" w:fill="D9D9D9"/>
          </w:tcPr>
          <w:p>
            <w:pPr>
              <w:ind w:left="140"/>
              <w:spacing w:after="0" w:line="141" w:lineRule="exact"/>
              <w:rPr>
                <w:sz w:val="20"/>
                <w:szCs w:val="20"/>
                <w:color w:val="auto"/>
              </w:rPr>
            </w:pPr>
            <w:r>
              <w:rPr>
                <w:rFonts w:ascii="Arial" w:cs="Arial" w:eastAsia="Arial" w:hAnsi="Arial"/>
                <w:sz w:val="13"/>
                <w:szCs w:val="13"/>
                <w:color w:val="auto"/>
              </w:rPr>
              <w:t>F’17-F’19 Performance Shares</w:t>
            </w:r>
          </w:p>
        </w:tc>
        <w:tc>
          <w:tcPr>
            <w:tcW w:w="9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94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1120" w:type="dxa"/>
            <w:vAlign w:val="bottom"/>
            <w:shd w:val="clear" w:color="auto" w:fill="D9D9D9"/>
          </w:tcPr>
          <w:p>
            <w:pPr>
              <w:jc w:val="right"/>
              <w:ind w:right="157"/>
              <w:spacing w:after="0" w:line="141" w:lineRule="exact"/>
              <w:rPr>
                <w:sz w:val="20"/>
                <w:szCs w:val="20"/>
                <w:color w:val="auto"/>
              </w:rPr>
            </w:pPr>
            <w:r>
              <w:rPr>
                <w:rFonts w:ascii="Arial" w:cs="Arial" w:eastAsia="Arial" w:hAnsi="Arial"/>
                <w:sz w:val="13"/>
                <w:szCs w:val="13"/>
                <w:color w:val="auto"/>
              </w:rPr>
              <w:t>11,075</w:t>
            </w:r>
          </w:p>
        </w:tc>
        <w:tc>
          <w:tcPr>
            <w:tcW w:w="108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$ 696,064</w:t>
            </w:r>
          </w:p>
        </w:tc>
        <w:tc>
          <w:tcPr>
            <w:tcW w:w="0" w:type="dxa"/>
            <w:vAlign w:val="bottom"/>
          </w:tcPr>
          <w:p>
            <w:pPr>
              <w:spacing w:after="0"/>
              <w:rPr>
                <w:sz w:val="1"/>
                <w:szCs w:val="1"/>
                <w:color w:val="auto"/>
              </w:rPr>
            </w:pPr>
          </w:p>
        </w:tc>
      </w:tr>
      <w:tr>
        <w:trPr>
          <w:trHeight w:val="129"/>
        </w:trPr>
        <w:tc>
          <w:tcPr>
            <w:tcW w:w="3740" w:type="dxa"/>
            <w:vAlign w:val="bottom"/>
            <w:gridSpan w:val="2"/>
          </w:tcPr>
          <w:p>
            <w:pPr>
              <w:spacing w:after="0" w:line="129" w:lineRule="exact"/>
              <w:rPr>
                <w:sz w:val="20"/>
                <w:szCs w:val="20"/>
                <w:color w:val="auto"/>
              </w:rPr>
            </w:pPr>
            <w:r>
              <w:rPr>
                <w:rFonts w:ascii="Arial" w:cs="Arial" w:eastAsia="Arial" w:hAnsi="Arial"/>
                <w:sz w:val="13"/>
                <w:szCs w:val="13"/>
                <w:color w:val="auto"/>
              </w:rPr>
              <w:t>Michael J. Hoffman</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340,000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$ 10.1825</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12/01/2019</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253,200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$ 15.8800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12/08/2020</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265,200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$ 14.1125</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12/07/2021</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193,200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$ 21.0300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12/11/2022</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150,600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$ 29.7500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12/06/2023</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93,866</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46,934</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$ 31.3750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12/05/2024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46,000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92,000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$ 38.8200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12/04/2025</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gridSpan w:val="2"/>
            <w:vMerge w:val="restart"/>
          </w:tcPr>
          <w:p>
            <w:pPr>
              <w:ind w:left="140"/>
              <w:spacing w:after="0"/>
              <w:rPr>
                <w:sz w:val="20"/>
                <w:szCs w:val="20"/>
                <w:color w:val="auto"/>
              </w:rPr>
            </w:pPr>
            <w:r>
              <w:rPr>
                <w:rFonts w:ascii="Arial" w:cs="Arial" w:eastAsia="Arial" w:hAnsi="Arial"/>
                <w:sz w:val="13"/>
                <w:szCs w:val="13"/>
                <w:color w:val="auto"/>
              </w:rPr>
              <w:t>F’16-F’18 Performance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44,200</w:t>
            </w:r>
          </w:p>
        </w:tc>
        <w:tc>
          <w:tcPr>
            <w:tcW w:w="880" w:type="dxa"/>
            <w:vAlign w:val="bottom"/>
          </w:tcPr>
          <w:p>
            <w:pPr>
              <w:ind w:left="200"/>
              <w:spacing w:after="0"/>
              <w:rPr>
                <w:sz w:val="20"/>
                <w:szCs w:val="20"/>
                <w:color w:val="auto"/>
              </w:rPr>
            </w:pPr>
            <w:r>
              <w:rPr>
                <w:rFonts w:ascii="Arial" w:cs="Arial" w:eastAsia="Arial" w:hAnsi="Arial"/>
                <w:sz w:val="13"/>
                <w:szCs w:val="13"/>
                <w:color w:val="auto"/>
              </w:rPr>
              <w:t>$ 56.5400</w:t>
            </w:r>
          </w:p>
        </w:tc>
        <w:tc>
          <w:tcPr>
            <w:tcW w:w="840" w:type="dxa"/>
            <w:vAlign w:val="bottom"/>
          </w:tcPr>
          <w:p>
            <w:pPr>
              <w:ind w:left="120"/>
              <w:spacing w:after="0"/>
              <w:rPr>
                <w:sz w:val="20"/>
                <w:szCs w:val="20"/>
                <w:color w:val="auto"/>
              </w:rPr>
            </w:pPr>
            <w:r>
              <w:rPr>
                <w:rFonts w:ascii="Arial" w:cs="Arial" w:eastAsia="Arial" w:hAnsi="Arial"/>
                <w:sz w:val="13"/>
                <w:szCs w:val="13"/>
                <w:color w:val="auto"/>
              </w:rPr>
              <w:t>12/09/2026</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color w:val="auto"/>
              </w:rPr>
              <w:t>45,080</w:t>
            </w:r>
            <w:r>
              <w:rPr>
                <w:rFonts w:ascii="Arial" w:cs="Arial" w:eastAsia="Arial" w:hAnsi="Arial"/>
                <w:sz w:val="10"/>
                <w:szCs w:val="10"/>
                <w:color w:val="auto"/>
              </w:rPr>
              <w:t>(6)</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$ 2,833,278</w:t>
            </w:r>
          </w:p>
        </w:tc>
        <w:tc>
          <w:tcPr>
            <w:tcW w:w="0" w:type="dxa"/>
            <w:vAlign w:val="bottom"/>
          </w:tcPr>
          <w:p>
            <w:pPr>
              <w:spacing w:after="0"/>
              <w:rPr>
                <w:sz w:val="1"/>
                <w:szCs w:val="1"/>
                <w:color w:val="auto"/>
              </w:rPr>
            </w:pPr>
          </w:p>
        </w:tc>
      </w:tr>
      <w:tr>
        <w:trPr>
          <w:trHeight w:val="124"/>
        </w:trPr>
        <w:tc>
          <w:tcPr>
            <w:tcW w:w="37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740" w:type="dxa"/>
            <w:vAlign w:val="bottom"/>
            <w:gridSpan w:val="2"/>
            <w:shd w:val="clear" w:color="auto" w:fill="D9D9D9"/>
          </w:tcPr>
          <w:p>
            <w:pPr>
              <w:spacing w:after="0" w:line="129" w:lineRule="exact"/>
              <w:rPr>
                <w:sz w:val="20"/>
                <w:szCs w:val="20"/>
                <w:color w:val="auto"/>
              </w:rPr>
            </w:pPr>
            <w:r>
              <w:rPr>
                <w:rFonts w:ascii="Arial" w:cs="Arial" w:eastAsia="Arial" w:hAnsi="Arial"/>
                <w:sz w:val="13"/>
                <w:szCs w:val="13"/>
                <w:color w:val="auto"/>
              </w:rPr>
              <w:t>William E. Brown, Jr.</w:t>
            </w:r>
          </w:p>
        </w:tc>
        <w:tc>
          <w:tcPr>
            <w:tcW w:w="9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shd w:val="clear" w:color="auto" w:fill="D9D9D9"/>
          </w:tcPr>
          <w:p>
            <w:pPr>
              <w:ind w:left="140"/>
              <w:spacing w:after="0" w:line="135" w:lineRule="exact"/>
              <w:rPr>
                <w:sz w:val="20"/>
                <w:szCs w:val="20"/>
                <w:color w:val="auto"/>
              </w:rPr>
            </w:pPr>
            <w:r>
              <w:rPr>
                <w:rFonts w:ascii="Arial" w:cs="Arial" w:eastAsia="Arial" w:hAnsi="Arial"/>
                <w:sz w:val="13"/>
                <w:szCs w:val="13"/>
                <w:color w:val="auto"/>
              </w:rPr>
              <w:t>Stock Options</w:t>
            </w: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24,800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$ 15.8800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12/08/2020</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23,600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$ 14.1125</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12/07/2021</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33,600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$ 21.0300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12/11/2022</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24,000</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$ 29.7500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12/06/2023</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15,066</w:t>
            </w:r>
          </w:p>
        </w:tc>
        <w:tc>
          <w:tcPr>
            <w:tcW w:w="1160" w:type="dxa"/>
            <w:vAlign w:val="bottom"/>
            <w:gridSpan w:val="2"/>
            <w:shd w:val="clear" w:color="auto" w:fill="D9D9D9"/>
          </w:tcPr>
          <w:p>
            <w:pPr>
              <w:jc w:val="right"/>
              <w:spacing w:after="0" w:line="135" w:lineRule="exact"/>
              <w:rPr>
                <w:sz w:val="20"/>
                <w:szCs w:val="20"/>
                <w:color w:val="auto"/>
              </w:rPr>
            </w:pPr>
            <w:r>
              <w:rPr>
                <w:rFonts w:ascii="Arial" w:cs="Arial" w:eastAsia="Arial" w:hAnsi="Arial"/>
                <w:sz w:val="13"/>
                <w:szCs w:val="13"/>
                <w:color w:val="auto"/>
              </w:rPr>
              <w:t>7,534</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$ 31.3750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12/05/2024</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96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8,200</w:t>
            </w: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16,400</w:t>
            </w:r>
          </w:p>
        </w:tc>
        <w:tc>
          <w:tcPr>
            <w:tcW w:w="880" w:type="dxa"/>
            <w:vAlign w:val="bottom"/>
            <w:shd w:val="clear" w:color="auto" w:fill="D9D9D9"/>
          </w:tcPr>
          <w:p>
            <w:pPr>
              <w:ind w:left="200"/>
              <w:spacing w:after="0" w:line="135" w:lineRule="exact"/>
              <w:rPr>
                <w:sz w:val="20"/>
                <w:szCs w:val="20"/>
                <w:color w:val="auto"/>
              </w:rPr>
            </w:pPr>
            <w:r>
              <w:rPr>
                <w:rFonts w:ascii="Arial" w:cs="Arial" w:eastAsia="Arial" w:hAnsi="Arial"/>
                <w:sz w:val="13"/>
                <w:szCs w:val="13"/>
                <w:color w:val="auto"/>
              </w:rPr>
              <w:t>$ 38.8200</w:t>
            </w:r>
          </w:p>
        </w:tc>
        <w:tc>
          <w:tcPr>
            <w:tcW w:w="840" w:type="dxa"/>
            <w:vAlign w:val="bottom"/>
            <w:shd w:val="clear" w:color="auto" w:fill="D9D9D9"/>
          </w:tcPr>
          <w:p>
            <w:pPr>
              <w:ind w:left="120"/>
              <w:spacing w:after="0" w:line="135" w:lineRule="exact"/>
              <w:rPr>
                <w:sz w:val="20"/>
                <w:szCs w:val="20"/>
                <w:color w:val="auto"/>
              </w:rPr>
            </w:pPr>
            <w:r>
              <w:rPr>
                <w:rFonts w:ascii="Arial" w:cs="Arial" w:eastAsia="Arial" w:hAnsi="Arial"/>
                <w:sz w:val="13"/>
                <w:szCs w:val="13"/>
                <w:color w:val="auto"/>
              </w:rPr>
              <w:t>12/04/2025</w:t>
            </w: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40" w:type="dxa"/>
            <w:vAlign w:val="bottom"/>
            <w:gridSpan w:val="2"/>
            <w:vMerge w:val="restart"/>
            <w:shd w:val="clear" w:color="auto" w:fill="D9D9D9"/>
          </w:tcPr>
          <w:p>
            <w:pPr>
              <w:ind w:left="140"/>
              <w:spacing w:after="0"/>
              <w:rPr>
                <w:sz w:val="20"/>
                <w:szCs w:val="20"/>
                <w:color w:val="auto"/>
              </w:rPr>
            </w:pPr>
            <w:r>
              <w:rPr>
                <w:rFonts w:ascii="Arial" w:cs="Arial" w:eastAsia="Arial" w:hAnsi="Arial"/>
                <w:sz w:val="13"/>
                <w:szCs w:val="13"/>
                <w:color w:val="auto"/>
              </w:rPr>
              <w:t>Restricted Stock Units</w:t>
            </w:r>
          </w:p>
        </w:tc>
        <w:tc>
          <w:tcPr>
            <w:tcW w:w="96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0</w:t>
            </w:r>
          </w:p>
        </w:tc>
        <w:tc>
          <w:tcPr>
            <w:tcW w:w="220" w:type="dxa"/>
            <w:vAlign w:val="bottom"/>
            <w:shd w:val="clear" w:color="auto" w:fill="D9D9D9"/>
          </w:tcPr>
          <w:p>
            <w:pPr>
              <w:spacing w:after="0"/>
              <w:rPr>
                <w:sz w:val="12"/>
                <w:szCs w:val="12"/>
                <w:color w:val="auto"/>
              </w:rPr>
            </w:pPr>
          </w:p>
        </w:tc>
        <w:tc>
          <w:tcPr>
            <w:tcW w:w="9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25,400</w:t>
            </w:r>
          </w:p>
        </w:tc>
        <w:tc>
          <w:tcPr>
            <w:tcW w:w="880" w:type="dxa"/>
            <w:vAlign w:val="bottom"/>
            <w:shd w:val="clear" w:color="auto" w:fill="D9D9D9"/>
          </w:tcPr>
          <w:p>
            <w:pPr>
              <w:ind w:left="200"/>
              <w:spacing w:after="0" w:line="141" w:lineRule="exact"/>
              <w:rPr>
                <w:sz w:val="20"/>
                <w:szCs w:val="20"/>
                <w:color w:val="auto"/>
              </w:rPr>
            </w:pPr>
            <w:r>
              <w:rPr>
                <w:rFonts w:ascii="Arial" w:cs="Arial" w:eastAsia="Arial" w:hAnsi="Arial"/>
                <w:sz w:val="13"/>
                <w:szCs w:val="13"/>
                <w:color w:val="auto"/>
              </w:rPr>
              <w:t>$ 56.5400</w:t>
            </w:r>
          </w:p>
        </w:tc>
        <w:tc>
          <w:tcPr>
            <w:tcW w:w="840" w:type="dxa"/>
            <w:vAlign w:val="bottom"/>
            <w:shd w:val="clear" w:color="auto" w:fill="D9D9D9"/>
          </w:tcPr>
          <w:p>
            <w:pPr>
              <w:ind w:left="120"/>
              <w:spacing w:after="0" w:line="141" w:lineRule="exact"/>
              <w:rPr>
                <w:sz w:val="20"/>
                <w:szCs w:val="20"/>
                <w:color w:val="auto"/>
              </w:rPr>
            </w:pPr>
            <w:r>
              <w:rPr>
                <w:rFonts w:ascii="Arial" w:cs="Arial" w:eastAsia="Arial" w:hAnsi="Arial"/>
                <w:sz w:val="13"/>
                <w:szCs w:val="13"/>
                <w:color w:val="auto"/>
              </w:rPr>
              <w:t>12/09/2026</w:t>
            </w:r>
          </w:p>
        </w:tc>
        <w:tc>
          <w:tcPr>
            <w:tcW w:w="840" w:type="dxa"/>
            <w:vAlign w:val="bottom"/>
            <w:vMerge w:val="restart"/>
            <w:shd w:val="clear" w:color="auto" w:fill="D9D9D9"/>
          </w:tcPr>
          <w:p>
            <w:pPr>
              <w:jc w:val="right"/>
              <w:ind w:right="37"/>
              <w:spacing w:after="0"/>
              <w:rPr>
                <w:sz w:val="20"/>
                <w:szCs w:val="20"/>
                <w:color w:val="auto"/>
              </w:rPr>
            </w:pPr>
            <w:r>
              <w:rPr>
                <w:rFonts w:ascii="Arial" w:cs="Arial" w:eastAsia="Arial" w:hAnsi="Arial"/>
                <w:sz w:val="13"/>
                <w:szCs w:val="13"/>
                <w:color w:val="auto"/>
              </w:rPr>
              <w:t>8,233</w:t>
            </w:r>
          </w:p>
        </w:tc>
        <w:tc>
          <w:tcPr>
            <w:tcW w:w="800" w:type="dxa"/>
            <w:vAlign w:val="bottom"/>
            <w:vMerge w:val="restart"/>
            <w:shd w:val="clear" w:color="auto" w:fill="D9D9D9"/>
          </w:tcPr>
          <w:p>
            <w:pPr>
              <w:jc w:val="right"/>
              <w:ind w:right="37"/>
              <w:spacing w:after="0"/>
              <w:rPr>
                <w:sz w:val="20"/>
                <w:szCs w:val="20"/>
                <w:color w:val="auto"/>
              </w:rPr>
            </w:pPr>
            <w:r>
              <w:rPr>
                <w:rFonts w:ascii="Arial" w:cs="Arial" w:eastAsia="Arial" w:hAnsi="Arial"/>
                <w:sz w:val="13"/>
                <w:szCs w:val="13"/>
                <w:color w:val="auto"/>
              </w:rPr>
              <w:t>$ 517,444</w:t>
            </w:r>
          </w:p>
        </w:tc>
        <w:tc>
          <w:tcPr>
            <w:tcW w:w="1120" w:type="dxa"/>
            <w:vAlign w:val="bottom"/>
            <w:shd w:val="clear" w:color="auto" w:fill="D9D9D9"/>
          </w:tcPr>
          <w:p>
            <w:pPr>
              <w:spacing w:after="0"/>
              <w:rPr>
                <w:sz w:val="12"/>
                <w:szCs w:val="12"/>
                <w:color w:val="auto"/>
              </w:rPr>
            </w:pPr>
          </w:p>
        </w:tc>
        <w:tc>
          <w:tcPr>
            <w:tcW w:w="108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40" w:type="dxa"/>
            <w:vAlign w:val="bottom"/>
            <w:gridSpan w:val="2"/>
            <w:vMerge w:val="continue"/>
            <w:shd w:val="clear" w:color="auto" w:fill="D9D9D9"/>
          </w:tcPr>
          <w:p>
            <w:pPr>
              <w:spacing w:after="0"/>
              <w:rPr>
                <w:sz w:val="11"/>
                <w:szCs w:val="11"/>
                <w:color w:val="auto"/>
              </w:rPr>
            </w:pPr>
          </w:p>
        </w:tc>
        <w:tc>
          <w:tcPr>
            <w:tcW w:w="9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40" w:type="dxa"/>
            <w:vAlign w:val="bottom"/>
            <w:vMerge w:val="continue"/>
            <w:shd w:val="clear" w:color="auto" w:fill="D9D9D9"/>
          </w:tcPr>
          <w:p>
            <w:pPr>
              <w:spacing w:after="0"/>
              <w:rPr>
                <w:sz w:val="11"/>
                <w:szCs w:val="11"/>
                <w:color w:val="auto"/>
              </w:rPr>
            </w:pPr>
          </w:p>
        </w:tc>
        <w:tc>
          <w:tcPr>
            <w:tcW w:w="800" w:type="dxa"/>
            <w:vAlign w:val="bottom"/>
            <w:vMerge w:val="continue"/>
            <w:shd w:val="clear" w:color="auto" w:fill="D9D9D9"/>
          </w:tcPr>
          <w:p>
            <w:pPr>
              <w:spacing w:after="0"/>
              <w:rPr>
                <w:sz w:val="11"/>
                <w:szCs w:val="11"/>
                <w:color w:val="auto"/>
              </w:rPr>
            </w:pPr>
          </w:p>
        </w:tc>
        <w:tc>
          <w:tcPr>
            <w:tcW w:w="1120" w:type="dxa"/>
            <w:vAlign w:val="bottom"/>
            <w:shd w:val="clear" w:color="auto" w:fill="D9D9D9"/>
          </w:tcPr>
          <w:p>
            <w:pPr>
              <w:spacing w:after="0"/>
              <w:rPr>
                <w:sz w:val="11"/>
                <w:szCs w:val="11"/>
                <w:color w:val="auto"/>
              </w:rPr>
            </w:pPr>
          </w:p>
        </w:tc>
        <w:tc>
          <w:tcPr>
            <w:tcW w:w="108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shd w:val="clear" w:color="auto" w:fill="D9D9D9"/>
          </w:tcPr>
          <w:p>
            <w:pPr>
              <w:ind w:left="140"/>
              <w:spacing w:after="0" w:line="135" w:lineRule="exact"/>
              <w:rPr>
                <w:sz w:val="20"/>
                <w:szCs w:val="20"/>
                <w:color w:val="auto"/>
              </w:rPr>
            </w:pPr>
            <w:r>
              <w:rPr>
                <w:rFonts w:ascii="Arial" w:cs="Arial" w:eastAsia="Arial" w:hAnsi="Arial"/>
                <w:sz w:val="13"/>
                <w:szCs w:val="13"/>
                <w:color w:val="auto"/>
              </w:rPr>
              <w:t>F’16-F’18 Performance Shares</w:t>
            </w:r>
          </w:p>
        </w:tc>
        <w:tc>
          <w:tcPr>
            <w:tcW w:w="9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940" w:type="dxa"/>
            <w:vAlign w:val="bottom"/>
            <w:shd w:val="clear" w:color="auto" w:fill="D9D9D9"/>
          </w:tcPr>
          <w:p>
            <w:pPr>
              <w:spacing w:after="0"/>
              <w:rPr>
                <w:sz w:val="11"/>
                <w:szCs w:val="11"/>
                <w:color w:val="auto"/>
              </w:rPr>
            </w:pPr>
          </w:p>
        </w:tc>
        <w:tc>
          <w:tcPr>
            <w:tcW w:w="8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800" w:type="dxa"/>
            <w:vAlign w:val="bottom"/>
            <w:shd w:val="clear" w:color="auto" w:fill="D9D9D9"/>
          </w:tcPr>
          <w:p>
            <w:pPr>
              <w:spacing w:after="0"/>
              <w:rPr>
                <w:sz w:val="11"/>
                <w:szCs w:val="11"/>
                <w:color w:val="auto"/>
              </w:rPr>
            </w:pPr>
          </w:p>
        </w:tc>
        <w:tc>
          <w:tcPr>
            <w:tcW w:w="1120" w:type="dxa"/>
            <w:vAlign w:val="bottom"/>
            <w:shd w:val="clear" w:color="auto" w:fill="D9D9D9"/>
          </w:tcPr>
          <w:p>
            <w:pPr>
              <w:jc w:val="right"/>
              <w:ind w:right="157"/>
              <w:spacing w:after="0" w:line="135" w:lineRule="exact"/>
              <w:rPr>
                <w:sz w:val="20"/>
                <w:szCs w:val="20"/>
                <w:color w:val="auto"/>
              </w:rPr>
            </w:pPr>
            <w:r>
              <w:rPr>
                <w:rFonts w:ascii="Arial" w:cs="Arial" w:eastAsia="Arial" w:hAnsi="Arial"/>
                <w:sz w:val="13"/>
                <w:szCs w:val="13"/>
                <w:color w:val="auto"/>
              </w:rPr>
              <w:t>8,050</w:t>
            </w:r>
          </w:p>
        </w:tc>
        <w:tc>
          <w:tcPr>
            <w:tcW w:w="108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$ 505,943</w:t>
            </w:r>
          </w:p>
        </w:tc>
        <w:tc>
          <w:tcPr>
            <w:tcW w:w="0" w:type="dxa"/>
            <w:vAlign w:val="bottom"/>
          </w:tcPr>
          <w:p>
            <w:pPr>
              <w:spacing w:after="0"/>
              <w:rPr>
                <w:sz w:val="1"/>
                <w:szCs w:val="1"/>
                <w:color w:val="auto"/>
              </w:rPr>
            </w:pPr>
          </w:p>
        </w:tc>
      </w:tr>
      <w:tr>
        <w:trPr>
          <w:trHeight w:val="141"/>
        </w:trPr>
        <w:tc>
          <w:tcPr>
            <w:tcW w:w="3740" w:type="dxa"/>
            <w:vAlign w:val="bottom"/>
            <w:gridSpan w:val="2"/>
            <w:shd w:val="clear" w:color="auto" w:fill="D9D9D9"/>
          </w:tcPr>
          <w:p>
            <w:pPr>
              <w:ind w:left="140"/>
              <w:spacing w:after="0" w:line="141" w:lineRule="exact"/>
              <w:rPr>
                <w:sz w:val="20"/>
                <w:szCs w:val="20"/>
                <w:color w:val="auto"/>
              </w:rPr>
            </w:pPr>
            <w:r>
              <w:rPr>
                <w:rFonts w:ascii="Arial" w:cs="Arial" w:eastAsia="Arial" w:hAnsi="Arial"/>
                <w:sz w:val="13"/>
                <w:szCs w:val="13"/>
                <w:color w:val="auto"/>
              </w:rPr>
              <w:t>F’17-F’19 Performance Shares</w:t>
            </w:r>
          </w:p>
        </w:tc>
        <w:tc>
          <w:tcPr>
            <w:tcW w:w="9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94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1120" w:type="dxa"/>
            <w:vAlign w:val="bottom"/>
            <w:shd w:val="clear" w:color="auto" w:fill="D9D9D9"/>
          </w:tcPr>
          <w:p>
            <w:pPr>
              <w:jc w:val="right"/>
              <w:ind w:right="157"/>
              <w:spacing w:after="0" w:line="141" w:lineRule="exact"/>
              <w:rPr>
                <w:sz w:val="20"/>
                <w:szCs w:val="20"/>
                <w:color w:val="auto"/>
              </w:rPr>
            </w:pPr>
            <w:r>
              <w:rPr>
                <w:rFonts w:ascii="Arial" w:cs="Arial" w:eastAsia="Arial" w:hAnsi="Arial"/>
                <w:sz w:val="13"/>
                <w:szCs w:val="13"/>
                <w:color w:val="auto"/>
              </w:rPr>
              <w:t>7,765</w:t>
            </w:r>
          </w:p>
        </w:tc>
        <w:tc>
          <w:tcPr>
            <w:tcW w:w="108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$ 488,030</w:t>
            </w:r>
          </w:p>
        </w:tc>
        <w:tc>
          <w:tcPr>
            <w:tcW w:w="0" w:type="dxa"/>
            <w:vAlign w:val="bottom"/>
          </w:tcPr>
          <w:p>
            <w:pPr>
              <w:spacing w:after="0"/>
              <w:rPr>
                <w:sz w:val="1"/>
                <w:szCs w:val="1"/>
                <w:color w:val="auto"/>
              </w:rPr>
            </w:pPr>
          </w:p>
        </w:tc>
      </w:tr>
      <w:tr>
        <w:trPr>
          <w:trHeight w:val="129"/>
        </w:trPr>
        <w:tc>
          <w:tcPr>
            <w:tcW w:w="3740" w:type="dxa"/>
            <w:vAlign w:val="bottom"/>
            <w:gridSpan w:val="2"/>
          </w:tcPr>
          <w:p>
            <w:pPr>
              <w:spacing w:after="0" w:line="129" w:lineRule="exact"/>
              <w:rPr>
                <w:sz w:val="20"/>
                <w:szCs w:val="20"/>
                <w:color w:val="auto"/>
              </w:rPr>
            </w:pPr>
            <w:r>
              <w:rPr>
                <w:rFonts w:ascii="Arial" w:cs="Arial" w:eastAsia="Arial" w:hAnsi="Arial"/>
                <w:sz w:val="13"/>
                <w:szCs w:val="13"/>
                <w:color w:val="auto"/>
              </w:rPr>
              <w:t>Timothy P. Dordell</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46,000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$ 15.8800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12/08/2020</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44,800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$ 14.1125</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12/07/2021</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31,000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$ 21.0300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12/11/2022</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24,000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$ 29.7500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12/06/2023</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15,866</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7,934</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$ 31.3750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12/05/2024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7,800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15,600</w:t>
            </w:r>
          </w:p>
        </w:tc>
        <w:tc>
          <w:tcPr>
            <w:tcW w:w="880" w:type="dxa"/>
            <w:vAlign w:val="bottom"/>
          </w:tcPr>
          <w:p>
            <w:pPr>
              <w:ind w:left="200"/>
              <w:spacing w:after="0" w:line="135" w:lineRule="exact"/>
              <w:rPr>
                <w:sz w:val="20"/>
                <w:szCs w:val="20"/>
                <w:color w:val="auto"/>
              </w:rPr>
            </w:pPr>
            <w:r>
              <w:rPr>
                <w:rFonts w:ascii="Arial" w:cs="Arial" w:eastAsia="Arial" w:hAnsi="Arial"/>
                <w:sz w:val="13"/>
                <w:szCs w:val="13"/>
                <w:color w:val="auto"/>
              </w:rPr>
              <w:t>$ 38.8200</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12/04/2025</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40" w:type="dxa"/>
            <w:vAlign w:val="bottom"/>
            <w:gridSpan w:val="2"/>
            <w:vMerge w:val="restart"/>
          </w:tcPr>
          <w:p>
            <w:pPr>
              <w:ind w:left="140"/>
              <w:spacing w:after="0"/>
              <w:rPr>
                <w:sz w:val="20"/>
                <w:szCs w:val="20"/>
                <w:color w:val="auto"/>
              </w:rPr>
            </w:pPr>
            <w:r>
              <w:rPr>
                <w:rFonts w:ascii="Arial" w:cs="Arial" w:eastAsia="Arial" w:hAnsi="Arial"/>
                <w:sz w:val="13"/>
                <w:szCs w:val="13"/>
                <w:color w:val="auto"/>
              </w:rPr>
              <w:t>F’16-F’18 Performance Shares</w:t>
            </w:r>
          </w:p>
        </w:tc>
        <w:tc>
          <w:tcPr>
            <w:tcW w:w="960" w:type="dxa"/>
            <w:vAlign w:val="bottom"/>
          </w:tcPr>
          <w:p>
            <w:pPr>
              <w:jc w:val="right"/>
              <w:spacing w:after="0"/>
              <w:rPr>
                <w:sz w:val="20"/>
                <w:szCs w:val="20"/>
                <w:color w:val="auto"/>
              </w:rPr>
            </w:pPr>
            <w:r>
              <w:rPr>
                <w:rFonts w:ascii="Arial" w:cs="Arial" w:eastAsia="Arial" w:hAnsi="Arial"/>
                <w:sz w:val="13"/>
                <w:szCs w:val="13"/>
                <w:color w:val="auto"/>
              </w:rPr>
              <w:t>0</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24,300</w:t>
            </w:r>
          </w:p>
        </w:tc>
        <w:tc>
          <w:tcPr>
            <w:tcW w:w="880" w:type="dxa"/>
            <w:vAlign w:val="bottom"/>
          </w:tcPr>
          <w:p>
            <w:pPr>
              <w:ind w:left="200"/>
              <w:spacing w:after="0"/>
              <w:rPr>
                <w:sz w:val="20"/>
                <w:szCs w:val="20"/>
                <w:color w:val="auto"/>
              </w:rPr>
            </w:pPr>
            <w:r>
              <w:rPr>
                <w:rFonts w:ascii="Arial" w:cs="Arial" w:eastAsia="Arial" w:hAnsi="Arial"/>
                <w:sz w:val="13"/>
                <w:szCs w:val="13"/>
                <w:color w:val="auto"/>
              </w:rPr>
              <w:t>$ 56.5400</w:t>
            </w:r>
          </w:p>
        </w:tc>
        <w:tc>
          <w:tcPr>
            <w:tcW w:w="840" w:type="dxa"/>
            <w:vAlign w:val="bottom"/>
          </w:tcPr>
          <w:p>
            <w:pPr>
              <w:ind w:left="120"/>
              <w:spacing w:after="0"/>
              <w:rPr>
                <w:sz w:val="20"/>
                <w:szCs w:val="20"/>
                <w:color w:val="auto"/>
              </w:rPr>
            </w:pPr>
            <w:r>
              <w:rPr>
                <w:rFonts w:ascii="Arial" w:cs="Arial" w:eastAsia="Arial" w:hAnsi="Arial"/>
                <w:sz w:val="13"/>
                <w:szCs w:val="13"/>
                <w:color w:val="auto"/>
              </w:rPr>
              <w:t>12/09/2026</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vMerge w:val="restart"/>
          </w:tcPr>
          <w:p>
            <w:pPr>
              <w:jc w:val="right"/>
              <w:ind w:right="157"/>
              <w:spacing w:after="0"/>
              <w:rPr>
                <w:sz w:val="20"/>
                <w:szCs w:val="20"/>
                <w:color w:val="auto"/>
              </w:rPr>
            </w:pPr>
            <w:r>
              <w:rPr>
                <w:rFonts w:ascii="Arial" w:cs="Arial" w:eastAsia="Arial" w:hAnsi="Arial"/>
                <w:sz w:val="13"/>
                <w:szCs w:val="13"/>
                <w:color w:val="auto"/>
              </w:rPr>
              <w:t>7,590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$ 477,032</w:t>
            </w:r>
          </w:p>
        </w:tc>
        <w:tc>
          <w:tcPr>
            <w:tcW w:w="0" w:type="dxa"/>
            <w:vAlign w:val="bottom"/>
          </w:tcPr>
          <w:p>
            <w:pPr>
              <w:spacing w:after="0"/>
              <w:rPr>
                <w:sz w:val="1"/>
                <w:szCs w:val="1"/>
                <w:color w:val="auto"/>
              </w:rPr>
            </w:pPr>
          </w:p>
        </w:tc>
      </w:tr>
      <w:tr>
        <w:trPr>
          <w:trHeight w:val="118"/>
        </w:trPr>
        <w:tc>
          <w:tcPr>
            <w:tcW w:w="374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40" w:type="dxa"/>
            <w:vAlign w:val="bottom"/>
            <w:gridSpan w:val="2"/>
          </w:tcPr>
          <w:p>
            <w:pPr>
              <w:ind w:left="140"/>
              <w:spacing w:after="0"/>
              <w:rPr>
                <w:sz w:val="20"/>
                <w:szCs w:val="20"/>
                <w:color w:val="auto"/>
              </w:rPr>
            </w:pPr>
            <w:r>
              <w:rPr>
                <w:rFonts w:ascii="Arial" w:cs="Arial" w:eastAsia="Arial" w:hAnsi="Arial"/>
                <w:sz w:val="13"/>
                <w:szCs w:val="13"/>
                <w:color w:val="auto"/>
              </w:rPr>
              <w:t>F’17-F’19 Performance Shares</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right"/>
              <w:ind w:right="157"/>
              <w:spacing w:after="0"/>
              <w:rPr>
                <w:sz w:val="20"/>
                <w:szCs w:val="20"/>
                <w:color w:val="auto"/>
              </w:rPr>
            </w:pPr>
            <w:r>
              <w:rPr>
                <w:rFonts w:ascii="Arial" w:cs="Arial" w:eastAsia="Arial" w:hAnsi="Arial"/>
                <w:sz w:val="13"/>
                <w:szCs w:val="13"/>
                <w:color w:val="auto"/>
              </w:rPr>
              <w:t>7,383</w:t>
            </w:r>
          </w:p>
        </w:tc>
        <w:tc>
          <w:tcPr>
            <w:tcW w:w="1080" w:type="dxa"/>
            <w:vAlign w:val="bottom"/>
          </w:tcPr>
          <w:p>
            <w:pPr>
              <w:jc w:val="right"/>
              <w:spacing w:after="0"/>
              <w:rPr>
                <w:sz w:val="20"/>
                <w:szCs w:val="20"/>
                <w:color w:val="auto"/>
              </w:rPr>
            </w:pPr>
            <w:r>
              <w:rPr>
                <w:rFonts w:ascii="Arial" w:cs="Arial" w:eastAsia="Arial" w:hAnsi="Arial"/>
                <w:sz w:val="13"/>
                <w:szCs w:val="13"/>
                <w:color w:val="auto"/>
              </w:rPr>
              <w:t>$ 464,022</w:t>
            </w:r>
          </w:p>
        </w:tc>
        <w:tc>
          <w:tcPr>
            <w:tcW w:w="0" w:type="dxa"/>
            <w:vAlign w:val="bottom"/>
          </w:tcPr>
          <w:p>
            <w:pPr>
              <w:spacing w:after="0"/>
              <w:rPr>
                <w:sz w:val="1"/>
                <w:szCs w:val="1"/>
                <w:color w:val="auto"/>
              </w:rPr>
            </w:pPr>
          </w:p>
        </w:tc>
      </w:tr>
      <w:tr>
        <w:trPr>
          <w:trHeight w:val="138"/>
        </w:trPr>
        <w:tc>
          <w:tcPr>
            <w:tcW w:w="2980" w:type="dxa"/>
            <w:vAlign w:val="bottom"/>
            <w:tcBorders>
              <w:bottom w:val="single" w:sz="8" w:color="C00000"/>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-5513705</wp:posOffset>
            </wp:positionV>
            <wp:extent cx="47510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4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Stock options have a ten-year term and vest ratably in three equal installments on each of the first, second and third year anniversaries of the date of grant. The vesting schedule for options unexercisable as of October 31, 2017 is as follows:</w:t>
      </w:r>
    </w:p>
    <w:p>
      <w:pPr>
        <w:spacing w:after="0" w:line="3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280" w:type="dxa"/>
            <w:vAlign w:val="bottom"/>
            <w:shd w:val="clear" w:color="auto" w:fill="C00000"/>
          </w:tcPr>
          <w:p>
            <w:pPr>
              <w:spacing w:after="0"/>
              <w:rPr>
                <w:sz w:val="14"/>
                <w:szCs w:val="14"/>
                <w:color w:val="auto"/>
              </w:rPr>
            </w:pPr>
          </w:p>
        </w:tc>
        <w:tc>
          <w:tcPr>
            <w:tcW w:w="920" w:type="dxa"/>
            <w:vAlign w:val="bottom"/>
            <w:shd w:val="clear" w:color="auto" w:fill="C00000"/>
          </w:tcPr>
          <w:p>
            <w:pPr>
              <w:spacing w:after="0"/>
              <w:rPr>
                <w:sz w:val="14"/>
                <w:szCs w:val="14"/>
                <w:color w:val="auto"/>
              </w:rPr>
            </w:pPr>
          </w:p>
        </w:tc>
        <w:tc>
          <w:tcPr>
            <w:tcW w:w="1620" w:type="dxa"/>
            <w:vAlign w:val="bottom"/>
            <w:shd w:val="clear" w:color="auto" w:fill="C00000"/>
          </w:tcPr>
          <w:p>
            <w:pPr>
              <w:spacing w:after="0"/>
              <w:rPr>
                <w:sz w:val="14"/>
                <w:szCs w:val="14"/>
                <w:color w:val="auto"/>
              </w:rPr>
            </w:pPr>
          </w:p>
        </w:tc>
        <w:tc>
          <w:tcPr>
            <w:tcW w:w="1620" w:type="dxa"/>
            <w:vAlign w:val="bottom"/>
            <w:shd w:val="clear" w:color="auto" w:fill="C00000"/>
          </w:tcPr>
          <w:p>
            <w:pPr>
              <w:spacing w:after="0"/>
              <w:rPr>
                <w:sz w:val="14"/>
                <w:szCs w:val="14"/>
                <w:color w:val="auto"/>
              </w:rPr>
            </w:pPr>
          </w:p>
        </w:tc>
        <w:tc>
          <w:tcPr>
            <w:tcW w:w="800" w:type="dxa"/>
            <w:vAlign w:val="bottom"/>
            <w:shd w:val="clear" w:color="auto" w:fill="C00000"/>
          </w:tcPr>
          <w:p>
            <w:pPr>
              <w:spacing w:after="0"/>
              <w:rPr>
                <w:sz w:val="14"/>
                <w:szCs w:val="14"/>
                <w:color w:val="auto"/>
              </w:rPr>
            </w:pPr>
          </w:p>
        </w:tc>
        <w:tc>
          <w:tcPr>
            <w:tcW w:w="840" w:type="dxa"/>
            <w:vAlign w:val="bottom"/>
            <w:shd w:val="clear" w:color="auto" w:fill="C00000"/>
          </w:tcPr>
          <w:p>
            <w:pPr>
              <w:spacing w:after="0"/>
              <w:rPr>
                <w:sz w:val="14"/>
                <w:szCs w:val="14"/>
                <w:color w:val="auto"/>
              </w:rPr>
            </w:pPr>
          </w:p>
        </w:tc>
        <w:tc>
          <w:tcPr>
            <w:tcW w:w="840" w:type="dxa"/>
            <w:vAlign w:val="bottom"/>
            <w:shd w:val="clear" w:color="auto" w:fill="C00000"/>
          </w:tcPr>
          <w:p>
            <w:pPr>
              <w:ind w:left="200"/>
              <w:spacing w:after="0"/>
              <w:rPr>
                <w:sz w:val="20"/>
                <w:szCs w:val="20"/>
                <w:color w:val="auto"/>
              </w:rPr>
            </w:pPr>
            <w:r>
              <w:rPr>
                <w:rFonts w:ascii="Arial" w:cs="Arial" w:eastAsia="Arial" w:hAnsi="Arial"/>
                <w:sz w:val="14"/>
                <w:szCs w:val="14"/>
                <w:b w:val="1"/>
                <w:bCs w:val="1"/>
                <w:color w:val="FFFFFF"/>
              </w:rPr>
              <w:t>Option</w:t>
            </w:r>
          </w:p>
        </w:tc>
      </w:tr>
      <w:tr>
        <w:trPr>
          <w:trHeight w:val="149"/>
        </w:trPr>
        <w:tc>
          <w:tcPr>
            <w:tcW w:w="4280" w:type="dxa"/>
            <w:vAlign w:val="bottom"/>
            <w:shd w:val="clear" w:color="auto" w:fill="C00000"/>
          </w:tcPr>
          <w:p>
            <w:pPr>
              <w:spacing w:after="0"/>
              <w:rPr>
                <w:sz w:val="12"/>
                <w:szCs w:val="12"/>
                <w:color w:val="auto"/>
              </w:rPr>
            </w:pPr>
          </w:p>
        </w:tc>
        <w:tc>
          <w:tcPr>
            <w:tcW w:w="920" w:type="dxa"/>
            <w:vAlign w:val="bottom"/>
            <w:shd w:val="clear" w:color="auto" w:fill="C00000"/>
          </w:tcPr>
          <w:p>
            <w:pPr>
              <w:spacing w:after="0"/>
              <w:rPr>
                <w:sz w:val="12"/>
                <w:szCs w:val="12"/>
                <w:color w:val="auto"/>
              </w:rPr>
            </w:pPr>
          </w:p>
        </w:tc>
        <w:tc>
          <w:tcPr>
            <w:tcW w:w="1620" w:type="dxa"/>
            <w:vAlign w:val="bottom"/>
            <w:shd w:val="clear" w:color="auto" w:fill="C00000"/>
          </w:tcPr>
          <w:p>
            <w:pPr>
              <w:spacing w:after="0"/>
              <w:rPr>
                <w:sz w:val="12"/>
                <w:szCs w:val="12"/>
                <w:color w:val="auto"/>
              </w:rPr>
            </w:pPr>
          </w:p>
        </w:tc>
        <w:tc>
          <w:tcPr>
            <w:tcW w:w="1620" w:type="dxa"/>
            <w:vAlign w:val="bottom"/>
            <w:shd w:val="clear" w:color="auto" w:fill="C00000"/>
          </w:tcPr>
          <w:p>
            <w:pPr>
              <w:spacing w:after="0"/>
              <w:rPr>
                <w:sz w:val="12"/>
                <w:szCs w:val="12"/>
                <w:color w:val="auto"/>
              </w:rPr>
            </w:pPr>
          </w:p>
        </w:tc>
        <w:tc>
          <w:tcPr>
            <w:tcW w:w="800" w:type="dxa"/>
            <w:vAlign w:val="bottom"/>
            <w:shd w:val="clear" w:color="auto" w:fill="C00000"/>
          </w:tcPr>
          <w:p>
            <w:pPr>
              <w:spacing w:after="0"/>
              <w:rPr>
                <w:sz w:val="12"/>
                <w:szCs w:val="12"/>
                <w:color w:val="auto"/>
              </w:rPr>
            </w:pPr>
          </w:p>
        </w:tc>
        <w:tc>
          <w:tcPr>
            <w:tcW w:w="840" w:type="dxa"/>
            <w:vAlign w:val="bottom"/>
            <w:shd w:val="clear" w:color="auto" w:fill="C00000"/>
          </w:tcPr>
          <w:p>
            <w:pPr>
              <w:spacing w:after="0"/>
              <w:rPr>
                <w:sz w:val="12"/>
                <w:szCs w:val="12"/>
                <w:color w:val="auto"/>
              </w:rPr>
            </w:pPr>
          </w:p>
        </w:tc>
        <w:tc>
          <w:tcPr>
            <w:tcW w:w="840" w:type="dxa"/>
            <w:vAlign w:val="bottom"/>
            <w:shd w:val="clear" w:color="auto" w:fill="C00000"/>
          </w:tcPr>
          <w:p>
            <w:pPr>
              <w:ind w:left="80"/>
              <w:spacing w:after="0" w:line="149" w:lineRule="exact"/>
              <w:rPr>
                <w:sz w:val="20"/>
                <w:szCs w:val="20"/>
                <w:color w:val="auto"/>
              </w:rPr>
            </w:pPr>
            <w:r>
              <w:rPr>
                <w:rFonts w:ascii="Arial" w:cs="Arial" w:eastAsia="Arial" w:hAnsi="Arial"/>
                <w:sz w:val="14"/>
                <w:szCs w:val="14"/>
                <w:b w:val="1"/>
                <w:bCs w:val="1"/>
                <w:color w:val="FFFFFF"/>
              </w:rPr>
              <w:t>Expiration</w:t>
            </w:r>
          </w:p>
        </w:tc>
      </w:tr>
      <w:tr>
        <w:trPr>
          <w:trHeight w:val="179"/>
        </w:trPr>
        <w:tc>
          <w:tcPr>
            <w:tcW w:w="4280" w:type="dxa"/>
            <w:vAlign w:val="bottom"/>
            <w:shd w:val="clear" w:color="auto" w:fill="C00000"/>
          </w:tcPr>
          <w:p>
            <w:pPr>
              <w:ind w:left="80"/>
              <w:spacing w:after="0"/>
              <w:rPr>
                <w:sz w:val="20"/>
                <w:szCs w:val="20"/>
                <w:color w:val="auto"/>
              </w:rPr>
            </w:pPr>
            <w:r>
              <w:rPr>
                <w:rFonts w:ascii="Arial" w:cs="Arial" w:eastAsia="Arial" w:hAnsi="Arial"/>
                <w:sz w:val="14"/>
                <w:szCs w:val="14"/>
                <w:b w:val="1"/>
                <w:bCs w:val="1"/>
                <w:color w:val="FFFFFF"/>
              </w:rPr>
              <w:t>Name</w:t>
            </w:r>
          </w:p>
        </w:tc>
        <w:tc>
          <w:tcPr>
            <w:tcW w:w="920" w:type="dxa"/>
            <w:vAlign w:val="bottom"/>
            <w:shd w:val="clear" w:color="auto" w:fill="C00000"/>
          </w:tcPr>
          <w:p>
            <w:pPr>
              <w:ind w:left="120"/>
              <w:spacing w:after="0"/>
              <w:rPr>
                <w:sz w:val="20"/>
                <w:szCs w:val="20"/>
                <w:color w:val="auto"/>
              </w:rPr>
            </w:pPr>
            <w:r>
              <w:rPr>
                <w:rFonts w:ascii="Arial" w:cs="Arial" w:eastAsia="Arial" w:hAnsi="Arial"/>
                <w:sz w:val="14"/>
                <w:szCs w:val="14"/>
                <w:b w:val="1"/>
                <w:bCs w:val="1"/>
                <w:color w:val="FFFFFF"/>
              </w:rPr>
              <w:t>Grant Date</w:t>
            </w:r>
          </w:p>
        </w:tc>
        <w:tc>
          <w:tcPr>
            <w:tcW w:w="1620" w:type="dxa"/>
            <w:vAlign w:val="bottom"/>
            <w:shd w:val="clear" w:color="auto" w:fill="C00000"/>
          </w:tcPr>
          <w:p>
            <w:pPr>
              <w:jc w:val="right"/>
              <w:ind w:right="8"/>
              <w:spacing w:after="0"/>
              <w:rPr>
                <w:sz w:val="20"/>
                <w:szCs w:val="20"/>
                <w:color w:val="auto"/>
              </w:rPr>
            </w:pPr>
            <w:r>
              <w:rPr>
                <w:rFonts w:ascii="Arial" w:cs="Arial" w:eastAsia="Arial" w:hAnsi="Arial"/>
                <w:sz w:val="14"/>
                <w:szCs w:val="14"/>
                <w:b w:val="1"/>
                <w:bCs w:val="1"/>
                <w:color w:val="FFFFFF"/>
              </w:rPr>
              <w:t>12/04/2017  12/05/2017</w:t>
            </w:r>
          </w:p>
        </w:tc>
        <w:tc>
          <w:tcPr>
            <w:tcW w:w="1620" w:type="dxa"/>
            <w:vAlign w:val="bottom"/>
            <w:shd w:val="clear" w:color="auto" w:fill="C00000"/>
          </w:tcPr>
          <w:p>
            <w:pPr>
              <w:jc w:val="right"/>
              <w:ind w:right="8"/>
              <w:spacing w:after="0"/>
              <w:rPr>
                <w:sz w:val="20"/>
                <w:szCs w:val="20"/>
                <w:color w:val="auto"/>
              </w:rPr>
            </w:pPr>
            <w:r>
              <w:rPr>
                <w:rFonts w:ascii="Arial" w:cs="Arial" w:eastAsia="Arial" w:hAnsi="Arial"/>
                <w:sz w:val="14"/>
                <w:szCs w:val="14"/>
                <w:b w:val="1"/>
                <w:bCs w:val="1"/>
                <w:color w:val="FFFFFF"/>
              </w:rPr>
              <w:t>12/09/2017  12/04/2018</w:t>
            </w:r>
          </w:p>
        </w:tc>
        <w:tc>
          <w:tcPr>
            <w:tcW w:w="800" w:type="dxa"/>
            <w:vAlign w:val="bottom"/>
            <w:shd w:val="clear" w:color="auto" w:fill="C00000"/>
          </w:tcPr>
          <w:p>
            <w:pPr>
              <w:jc w:val="right"/>
              <w:spacing w:after="0"/>
              <w:rPr>
                <w:sz w:val="20"/>
                <w:szCs w:val="20"/>
                <w:color w:val="auto"/>
              </w:rPr>
            </w:pPr>
            <w:r>
              <w:rPr>
                <w:rFonts w:ascii="Arial" w:cs="Arial" w:eastAsia="Arial" w:hAnsi="Arial"/>
                <w:sz w:val="14"/>
                <w:szCs w:val="14"/>
                <w:b w:val="1"/>
                <w:bCs w:val="1"/>
                <w:color w:val="FFFFFF"/>
              </w:rPr>
              <w:t>12/09/2018</w:t>
            </w:r>
          </w:p>
        </w:tc>
        <w:tc>
          <w:tcPr>
            <w:tcW w:w="840" w:type="dxa"/>
            <w:vAlign w:val="bottom"/>
            <w:shd w:val="clear" w:color="auto" w:fill="C00000"/>
          </w:tcPr>
          <w:p>
            <w:pPr>
              <w:jc w:val="right"/>
              <w:ind w:right="29"/>
              <w:spacing w:after="0"/>
              <w:rPr>
                <w:sz w:val="20"/>
                <w:szCs w:val="20"/>
                <w:color w:val="auto"/>
              </w:rPr>
            </w:pPr>
            <w:r>
              <w:rPr>
                <w:rFonts w:ascii="Arial" w:cs="Arial" w:eastAsia="Arial" w:hAnsi="Arial"/>
                <w:sz w:val="14"/>
                <w:szCs w:val="14"/>
                <w:b w:val="1"/>
                <w:bCs w:val="1"/>
                <w:color w:val="FFFFFF"/>
              </w:rPr>
              <w:t>12/09/2019</w:t>
            </w:r>
          </w:p>
        </w:tc>
        <w:tc>
          <w:tcPr>
            <w:tcW w:w="840" w:type="dxa"/>
            <w:vAlign w:val="bottom"/>
            <w:shd w:val="clear" w:color="auto" w:fill="C00000"/>
          </w:tcPr>
          <w:p>
            <w:pPr>
              <w:ind w:left="260"/>
              <w:spacing w:after="0"/>
              <w:rPr>
                <w:sz w:val="20"/>
                <w:szCs w:val="20"/>
                <w:color w:val="auto"/>
              </w:rPr>
            </w:pPr>
            <w:r>
              <w:rPr>
                <w:rFonts w:ascii="Arial" w:cs="Arial" w:eastAsia="Arial" w:hAnsi="Arial"/>
                <w:sz w:val="14"/>
                <w:szCs w:val="14"/>
                <w:b w:val="1"/>
                <w:bCs w:val="1"/>
                <w:color w:val="FFFFFF"/>
              </w:rPr>
              <w:t>Date</w:t>
            </w:r>
          </w:p>
        </w:tc>
      </w:tr>
      <w:tr>
        <w:trPr>
          <w:trHeight w:val="167"/>
        </w:trPr>
        <w:tc>
          <w:tcPr>
            <w:tcW w:w="4280" w:type="dxa"/>
            <w:vAlign w:val="bottom"/>
          </w:tcPr>
          <w:p>
            <w:pPr>
              <w:ind w:left="80"/>
              <w:spacing w:after="0"/>
              <w:rPr>
                <w:sz w:val="20"/>
                <w:szCs w:val="20"/>
                <w:color w:val="auto"/>
              </w:rPr>
            </w:pPr>
            <w:r>
              <w:rPr>
                <w:rFonts w:ascii="Arial" w:cs="Arial" w:eastAsia="Arial" w:hAnsi="Arial"/>
                <w:sz w:val="14"/>
                <w:szCs w:val="14"/>
                <w:color w:val="auto"/>
              </w:rPr>
              <w:t>Mr. Olson</w:t>
            </w:r>
          </w:p>
        </w:tc>
        <w:tc>
          <w:tcPr>
            <w:tcW w:w="920" w:type="dxa"/>
            <w:vAlign w:val="bottom"/>
          </w:tcPr>
          <w:p>
            <w:pPr>
              <w:ind w:left="120"/>
              <w:spacing w:after="0"/>
              <w:rPr>
                <w:sz w:val="20"/>
                <w:szCs w:val="20"/>
                <w:color w:val="auto"/>
              </w:rPr>
            </w:pPr>
            <w:r>
              <w:rPr>
                <w:rFonts w:ascii="Arial" w:cs="Arial" w:eastAsia="Arial" w:hAnsi="Arial"/>
                <w:sz w:val="14"/>
                <w:szCs w:val="14"/>
                <w:color w:val="auto"/>
              </w:rPr>
              <w:t>12/05/2014</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6,668</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12/05/2024</w:t>
            </w:r>
          </w:p>
        </w:tc>
      </w:tr>
      <w:tr>
        <w:trPr>
          <w:trHeight w:val="162"/>
        </w:trPr>
        <w:tc>
          <w:tcPr>
            <w:tcW w:w="4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12/04/2015</w:t>
            </w:r>
          </w:p>
        </w:tc>
        <w:tc>
          <w:tcPr>
            <w:tcW w:w="1620" w:type="dxa"/>
            <w:vAlign w:val="bottom"/>
          </w:tcPr>
          <w:p>
            <w:pPr>
              <w:jc w:val="right"/>
              <w:ind w:right="808"/>
              <w:spacing w:after="0"/>
              <w:rPr>
                <w:sz w:val="20"/>
                <w:szCs w:val="20"/>
                <w:color w:val="auto"/>
              </w:rPr>
            </w:pPr>
            <w:r>
              <w:rPr>
                <w:rFonts w:ascii="Arial" w:cs="Arial" w:eastAsia="Arial" w:hAnsi="Arial"/>
                <w:sz w:val="14"/>
                <w:szCs w:val="14"/>
                <w:color w:val="auto"/>
              </w:rPr>
              <w:t>14,800</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14,800</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12/04/2025</w:t>
            </w:r>
          </w:p>
        </w:tc>
      </w:tr>
      <w:tr>
        <w:trPr>
          <w:trHeight w:val="157"/>
        </w:trPr>
        <w:tc>
          <w:tcPr>
            <w:tcW w:w="4280" w:type="dxa"/>
            <w:vAlign w:val="bottom"/>
          </w:tcPr>
          <w:p>
            <w:pPr>
              <w:spacing w:after="0"/>
              <w:rPr>
                <w:sz w:val="13"/>
                <w:szCs w:val="13"/>
                <w:color w:val="auto"/>
              </w:rPr>
            </w:pPr>
          </w:p>
        </w:tc>
        <w:tc>
          <w:tcPr>
            <w:tcW w:w="920" w:type="dxa"/>
            <w:vAlign w:val="bottom"/>
          </w:tcPr>
          <w:p>
            <w:pPr>
              <w:ind w:left="120"/>
              <w:spacing w:after="0" w:line="157" w:lineRule="exact"/>
              <w:rPr>
                <w:sz w:val="20"/>
                <w:szCs w:val="20"/>
                <w:color w:val="auto"/>
              </w:rPr>
            </w:pPr>
            <w:r>
              <w:rPr>
                <w:rFonts w:ascii="Arial" w:cs="Arial" w:eastAsia="Arial" w:hAnsi="Arial"/>
                <w:sz w:val="14"/>
                <w:szCs w:val="14"/>
                <w:color w:val="auto"/>
              </w:rPr>
              <w:t>12/09/2016</w:t>
            </w:r>
          </w:p>
        </w:tc>
        <w:tc>
          <w:tcPr>
            <w:tcW w:w="1620" w:type="dxa"/>
            <w:vAlign w:val="bottom"/>
          </w:tcPr>
          <w:p>
            <w:pPr>
              <w:spacing w:after="0"/>
              <w:rPr>
                <w:sz w:val="13"/>
                <w:szCs w:val="13"/>
                <w:color w:val="auto"/>
              </w:rPr>
            </w:pPr>
          </w:p>
        </w:tc>
        <w:tc>
          <w:tcPr>
            <w:tcW w:w="1620" w:type="dxa"/>
            <w:vAlign w:val="bottom"/>
          </w:tcPr>
          <w:p>
            <w:pPr>
              <w:jc w:val="right"/>
              <w:ind w:right="808"/>
              <w:spacing w:after="0" w:line="157" w:lineRule="exact"/>
              <w:rPr>
                <w:sz w:val="20"/>
                <w:szCs w:val="20"/>
                <w:color w:val="auto"/>
              </w:rPr>
            </w:pPr>
            <w:r>
              <w:rPr>
                <w:rFonts w:ascii="Arial" w:cs="Arial" w:eastAsia="Arial" w:hAnsi="Arial"/>
                <w:sz w:val="14"/>
                <w:szCs w:val="14"/>
                <w:color w:val="auto"/>
              </w:rPr>
              <w:t>39,800</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39,800</w:t>
            </w:r>
          </w:p>
        </w:tc>
        <w:tc>
          <w:tcPr>
            <w:tcW w:w="8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39,800</w:t>
            </w:r>
          </w:p>
        </w:tc>
        <w:tc>
          <w:tcPr>
            <w:tcW w:w="840" w:type="dxa"/>
            <w:vAlign w:val="bottom"/>
          </w:tcPr>
          <w:p>
            <w:pPr>
              <w:ind w:left="80"/>
              <w:spacing w:after="0" w:line="157" w:lineRule="exact"/>
              <w:rPr>
                <w:sz w:val="20"/>
                <w:szCs w:val="20"/>
                <w:color w:val="auto"/>
              </w:rPr>
            </w:pPr>
            <w:r>
              <w:rPr>
                <w:rFonts w:ascii="Arial" w:cs="Arial" w:eastAsia="Arial" w:hAnsi="Arial"/>
                <w:sz w:val="14"/>
                <w:szCs w:val="14"/>
                <w:color w:val="auto"/>
              </w:rPr>
              <w:t>12/09/2026</w:t>
            </w:r>
          </w:p>
        </w:tc>
      </w:tr>
      <w:tr>
        <w:trPr>
          <w:trHeight w:val="162"/>
        </w:trPr>
        <w:tc>
          <w:tcPr>
            <w:tcW w:w="4280" w:type="dxa"/>
            <w:vAlign w:val="bottom"/>
            <w:shd w:val="clear" w:color="auto" w:fill="D9D9D9"/>
          </w:tcPr>
          <w:p>
            <w:pPr>
              <w:ind w:left="80"/>
              <w:spacing w:after="0"/>
              <w:rPr>
                <w:sz w:val="20"/>
                <w:szCs w:val="20"/>
                <w:color w:val="auto"/>
              </w:rPr>
            </w:pPr>
            <w:r>
              <w:rPr>
                <w:rFonts w:ascii="Arial" w:cs="Arial" w:eastAsia="Arial" w:hAnsi="Arial"/>
                <w:sz w:val="14"/>
                <w:szCs w:val="14"/>
                <w:color w:val="auto"/>
              </w:rPr>
              <w:t>Ms. Peterson</w:t>
            </w: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12/05/2014</w:t>
            </w:r>
          </w:p>
        </w:tc>
        <w:tc>
          <w:tcPr>
            <w:tcW w:w="1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12,668</w:t>
            </w:r>
          </w:p>
        </w:tc>
        <w:tc>
          <w:tcPr>
            <w:tcW w:w="162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12/05/2024</w:t>
            </w:r>
          </w:p>
        </w:tc>
      </w:tr>
      <w:tr>
        <w:trPr>
          <w:trHeight w:val="162"/>
        </w:trPr>
        <w:tc>
          <w:tcPr>
            <w:tcW w:w="4280" w:type="dxa"/>
            <w:vAlign w:val="bottom"/>
            <w:shd w:val="clear" w:color="auto" w:fill="D9D9D9"/>
          </w:tcPr>
          <w:p>
            <w:pPr>
              <w:spacing w:after="0"/>
              <w:rPr>
                <w:sz w:val="14"/>
                <w:szCs w:val="14"/>
                <w:color w:val="auto"/>
              </w:rPr>
            </w:pP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12/04/2015</w:t>
            </w:r>
          </w:p>
        </w:tc>
        <w:tc>
          <w:tcPr>
            <w:tcW w:w="1620" w:type="dxa"/>
            <w:vAlign w:val="bottom"/>
            <w:shd w:val="clear" w:color="auto" w:fill="D9D9D9"/>
          </w:tcPr>
          <w:p>
            <w:pPr>
              <w:jc w:val="right"/>
              <w:ind w:right="808"/>
              <w:spacing w:after="0"/>
              <w:rPr>
                <w:sz w:val="20"/>
                <w:szCs w:val="20"/>
                <w:color w:val="auto"/>
              </w:rPr>
            </w:pPr>
            <w:r>
              <w:rPr>
                <w:rFonts w:ascii="Arial" w:cs="Arial" w:eastAsia="Arial" w:hAnsi="Arial"/>
                <w:sz w:val="14"/>
                <w:szCs w:val="14"/>
                <w:color w:val="auto"/>
              </w:rPr>
              <w:t>13,134</w:t>
            </w:r>
          </w:p>
        </w:tc>
        <w:tc>
          <w:tcPr>
            <w:tcW w:w="1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13,134</w:t>
            </w:r>
          </w:p>
        </w:tc>
        <w:tc>
          <w:tcPr>
            <w:tcW w:w="80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12/04/2025</w:t>
            </w:r>
          </w:p>
        </w:tc>
      </w:tr>
      <w:tr>
        <w:trPr>
          <w:trHeight w:val="162"/>
        </w:trPr>
        <w:tc>
          <w:tcPr>
            <w:tcW w:w="4280" w:type="dxa"/>
            <w:vAlign w:val="bottom"/>
            <w:shd w:val="clear" w:color="auto" w:fill="D9D9D9"/>
          </w:tcPr>
          <w:p>
            <w:pPr>
              <w:spacing w:after="0"/>
              <w:rPr>
                <w:sz w:val="14"/>
                <w:szCs w:val="14"/>
                <w:color w:val="auto"/>
              </w:rPr>
            </w:pP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12/09/2016</w:t>
            </w:r>
          </w:p>
        </w:tc>
        <w:tc>
          <w:tcPr>
            <w:tcW w:w="1620" w:type="dxa"/>
            <w:vAlign w:val="bottom"/>
            <w:shd w:val="clear" w:color="auto" w:fill="D9D9D9"/>
          </w:tcPr>
          <w:p>
            <w:pPr>
              <w:spacing w:after="0"/>
              <w:rPr>
                <w:sz w:val="14"/>
                <w:szCs w:val="14"/>
                <w:color w:val="auto"/>
              </w:rPr>
            </w:pPr>
          </w:p>
        </w:tc>
        <w:tc>
          <w:tcPr>
            <w:tcW w:w="1620" w:type="dxa"/>
            <w:vAlign w:val="bottom"/>
            <w:shd w:val="clear" w:color="auto" w:fill="D9D9D9"/>
          </w:tcPr>
          <w:p>
            <w:pPr>
              <w:jc w:val="right"/>
              <w:ind w:right="808"/>
              <w:spacing w:after="0"/>
              <w:rPr>
                <w:sz w:val="20"/>
                <w:szCs w:val="20"/>
                <w:color w:val="auto"/>
              </w:rPr>
            </w:pPr>
            <w:r>
              <w:rPr>
                <w:rFonts w:ascii="Arial" w:cs="Arial" w:eastAsia="Arial" w:hAnsi="Arial"/>
                <w:sz w:val="14"/>
                <w:szCs w:val="14"/>
                <w:color w:val="auto"/>
              </w:rPr>
              <w:t>12,100</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12,100</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12,100</w:t>
            </w: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12/09/2026</w:t>
            </w:r>
          </w:p>
        </w:tc>
      </w:tr>
      <w:tr>
        <w:trPr>
          <w:trHeight w:val="167"/>
        </w:trPr>
        <w:tc>
          <w:tcPr>
            <w:tcW w:w="4280" w:type="dxa"/>
            <w:vAlign w:val="bottom"/>
          </w:tcPr>
          <w:p>
            <w:pPr>
              <w:ind w:left="80"/>
              <w:spacing w:after="0"/>
              <w:rPr>
                <w:sz w:val="20"/>
                <w:szCs w:val="20"/>
                <w:color w:val="auto"/>
              </w:rPr>
            </w:pPr>
            <w:r>
              <w:rPr>
                <w:rFonts w:ascii="Arial" w:cs="Arial" w:eastAsia="Arial" w:hAnsi="Arial"/>
                <w:sz w:val="14"/>
                <w:szCs w:val="14"/>
                <w:color w:val="auto"/>
              </w:rPr>
              <w:t>Mr. Hoffman</w:t>
            </w:r>
          </w:p>
        </w:tc>
        <w:tc>
          <w:tcPr>
            <w:tcW w:w="920" w:type="dxa"/>
            <w:vAlign w:val="bottom"/>
          </w:tcPr>
          <w:p>
            <w:pPr>
              <w:ind w:left="120"/>
              <w:spacing w:after="0"/>
              <w:rPr>
                <w:sz w:val="20"/>
                <w:szCs w:val="20"/>
                <w:color w:val="auto"/>
              </w:rPr>
            </w:pPr>
            <w:r>
              <w:rPr>
                <w:rFonts w:ascii="Arial" w:cs="Arial" w:eastAsia="Arial" w:hAnsi="Arial"/>
                <w:sz w:val="14"/>
                <w:szCs w:val="14"/>
                <w:color w:val="auto"/>
              </w:rPr>
              <w:t>12/05/2014</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46,934</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12/05/2024</w:t>
            </w:r>
          </w:p>
        </w:tc>
      </w:tr>
      <w:tr>
        <w:trPr>
          <w:trHeight w:val="162"/>
        </w:trPr>
        <w:tc>
          <w:tcPr>
            <w:tcW w:w="4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12/04/2015</w:t>
            </w:r>
          </w:p>
        </w:tc>
        <w:tc>
          <w:tcPr>
            <w:tcW w:w="1620" w:type="dxa"/>
            <w:vAlign w:val="bottom"/>
          </w:tcPr>
          <w:p>
            <w:pPr>
              <w:jc w:val="right"/>
              <w:ind w:right="808"/>
              <w:spacing w:after="0"/>
              <w:rPr>
                <w:sz w:val="20"/>
                <w:szCs w:val="20"/>
                <w:color w:val="auto"/>
              </w:rPr>
            </w:pPr>
            <w:r>
              <w:rPr>
                <w:rFonts w:ascii="Arial" w:cs="Arial" w:eastAsia="Arial" w:hAnsi="Arial"/>
                <w:sz w:val="14"/>
                <w:szCs w:val="14"/>
                <w:color w:val="auto"/>
              </w:rPr>
              <w:t>46,000</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46,000</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12/04/2025</w:t>
            </w:r>
          </w:p>
        </w:tc>
      </w:tr>
      <w:tr>
        <w:trPr>
          <w:trHeight w:val="157"/>
        </w:trPr>
        <w:tc>
          <w:tcPr>
            <w:tcW w:w="4280" w:type="dxa"/>
            <w:vAlign w:val="bottom"/>
          </w:tcPr>
          <w:p>
            <w:pPr>
              <w:spacing w:after="0"/>
              <w:rPr>
                <w:sz w:val="13"/>
                <w:szCs w:val="13"/>
                <w:color w:val="auto"/>
              </w:rPr>
            </w:pPr>
          </w:p>
        </w:tc>
        <w:tc>
          <w:tcPr>
            <w:tcW w:w="920" w:type="dxa"/>
            <w:vAlign w:val="bottom"/>
          </w:tcPr>
          <w:p>
            <w:pPr>
              <w:ind w:left="120"/>
              <w:spacing w:after="0" w:line="157" w:lineRule="exact"/>
              <w:rPr>
                <w:sz w:val="20"/>
                <w:szCs w:val="20"/>
                <w:color w:val="auto"/>
              </w:rPr>
            </w:pPr>
            <w:r>
              <w:rPr>
                <w:rFonts w:ascii="Arial" w:cs="Arial" w:eastAsia="Arial" w:hAnsi="Arial"/>
                <w:sz w:val="14"/>
                <w:szCs w:val="14"/>
                <w:color w:val="auto"/>
              </w:rPr>
              <w:t>12/09/2016</w:t>
            </w:r>
          </w:p>
        </w:tc>
        <w:tc>
          <w:tcPr>
            <w:tcW w:w="1620" w:type="dxa"/>
            <w:vAlign w:val="bottom"/>
          </w:tcPr>
          <w:p>
            <w:pPr>
              <w:spacing w:after="0"/>
              <w:rPr>
                <w:sz w:val="13"/>
                <w:szCs w:val="13"/>
                <w:color w:val="auto"/>
              </w:rPr>
            </w:pPr>
          </w:p>
        </w:tc>
        <w:tc>
          <w:tcPr>
            <w:tcW w:w="1620" w:type="dxa"/>
            <w:vAlign w:val="bottom"/>
          </w:tcPr>
          <w:p>
            <w:pPr>
              <w:jc w:val="right"/>
              <w:ind w:right="808"/>
              <w:spacing w:after="0" w:line="157" w:lineRule="exact"/>
              <w:rPr>
                <w:sz w:val="20"/>
                <w:szCs w:val="20"/>
                <w:color w:val="auto"/>
              </w:rPr>
            </w:pPr>
            <w:r>
              <w:rPr>
                <w:rFonts w:ascii="Arial" w:cs="Arial" w:eastAsia="Arial" w:hAnsi="Arial"/>
                <w:sz w:val="14"/>
                <w:szCs w:val="14"/>
                <w:color w:val="auto"/>
              </w:rPr>
              <w:t>14,733</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14,733</w:t>
            </w:r>
          </w:p>
        </w:tc>
        <w:tc>
          <w:tcPr>
            <w:tcW w:w="8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14,734</w:t>
            </w:r>
          </w:p>
        </w:tc>
        <w:tc>
          <w:tcPr>
            <w:tcW w:w="840" w:type="dxa"/>
            <w:vAlign w:val="bottom"/>
          </w:tcPr>
          <w:p>
            <w:pPr>
              <w:ind w:left="80"/>
              <w:spacing w:after="0" w:line="157" w:lineRule="exact"/>
              <w:rPr>
                <w:sz w:val="20"/>
                <w:szCs w:val="20"/>
                <w:color w:val="auto"/>
              </w:rPr>
            </w:pPr>
            <w:r>
              <w:rPr>
                <w:rFonts w:ascii="Arial" w:cs="Arial" w:eastAsia="Arial" w:hAnsi="Arial"/>
                <w:sz w:val="14"/>
                <w:szCs w:val="14"/>
                <w:color w:val="auto"/>
              </w:rPr>
              <w:t>12/09/2026</w:t>
            </w:r>
          </w:p>
        </w:tc>
      </w:tr>
      <w:tr>
        <w:trPr>
          <w:trHeight w:val="162"/>
        </w:trPr>
        <w:tc>
          <w:tcPr>
            <w:tcW w:w="4280" w:type="dxa"/>
            <w:vAlign w:val="bottom"/>
            <w:shd w:val="clear" w:color="auto" w:fill="D9D9D9"/>
          </w:tcPr>
          <w:p>
            <w:pPr>
              <w:ind w:left="80"/>
              <w:spacing w:after="0"/>
              <w:rPr>
                <w:sz w:val="20"/>
                <w:szCs w:val="20"/>
                <w:color w:val="auto"/>
              </w:rPr>
            </w:pPr>
            <w:r>
              <w:rPr>
                <w:rFonts w:ascii="Arial" w:cs="Arial" w:eastAsia="Arial" w:hAnsi="Arial"/>
                <w:sz w:val="14"/>
                <w:szCs w:val="14"/>
                <w:color w:val="auto"/>
              </w:rPr>
              <w:t>Mr. Brown</w:t>
            </w: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12/05/2014</w:t>
            </w:r>
          </w:p>
        </w:tc>
        <w:tc>
          <w:tcPr>
            <w:tcW w:w="1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7,534</w:t>
            </w:r>
          </w:p>
        </w:tc>
        <w:tc>
          <w:tcPr>
            <w:tcW w:w="162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12/05/2024</w:t>
            </w:r>
          </w:p>
        </w:tc>
      </w:tr>
      <w:tr>
        <w:trPr>
          <w:trHeight w:val="162"/>
        </w:trPr>
        <w:tc>
          <w:tcPr>
            <w:tcW w:w="4280" w:type="dxa"/>
            <w:vAlign w:val="bottom"/>
            <w:shd w:val="clear" w:color="auto" w:fill="D9D9D9"/>
          </w:tcPr>
          <w:p>
            <w:pPr>
              <w:spacing w:after="0"/>
              <w:rPr>
                <w:sz w:val="14"/>
                <w:szCs w:val="14"/>
                <w:color w:val="auto"/>
              </w:rPr>
            </w:pP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12/04/2015</w:t>
            </w:r>
          </w:p>
        </w:tc>
        <w:tc>
          <w:tcPr>
            <w:tcW w:w="1620" w:type="dxa"/>
            <w:vAlign w:val="bottom"/>
            <w:shd w:val="clear" w:color="auto" w:fill="D9D9D9"/>
          </w:tcPr>
          <w:p>
            <w:pPr>
              <w:jc w:val="right"/>
              <w:ind w:right="808"/>
              <w:spacing w:after="0"/>
              <w:rPr>
                <w:sz w:val="20"/>
                <w:szCs w:val="20"/>
                <w:color w:val="auto"/>
              </w:rPr>
            </w:pPr>
            <w:r>
              <w:rPr>
                <w:rFonts w:ascii="Arial" w:cs="Arial" w:eastAsia="Arial" w:hAnsi="Arial"/>
                <w:sz w:val="14"/>
                <w:szCs w:val="14"/>
                <w:color w:val="auto"/>
              </w:rPr>
              <w:t>8,200</w:t>
            </w:r>
          </w:p>
        </w:tc>
        <w:tc>
          <w:tcPr>
            <w:tcW w:w="16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8,200</w:t>
            </w:r>
          </w:p>
        </w:tc>
        <w:tc>
          <w:tcPr>
            <w:tcW w:w="80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12/04/2025</w:t>
            </w:r>
          </w:p>
        </w:tc>
      </w:tr>
      <w:tr>
        <w:trPr>
          <w:trHeight w:val="162"/>
        </w:trPr>
        <w:tc>
          <w:tcPr>
            <w:tcW w:w="4280" w:type="dxa"/>
            <w:vAlign w:val="bottom"/>
            <w:shd w:val="clear" w:color="auto" w:fill="D9D9D9"/>
          </w:tcPr>
          <w:p>
            <w:pPr>
              <w:spacing w:after="0"/>
              <w:rPr>
                <w:sz w:val="14"/>
                <w:szCs w:val="14"/>
                <w:color w:val="auto"/>
              </w:rPr>
            </w:pPr>
          </w:p>
        </w:tc>
        <w:tc>
          <w:tcPr>
            <w:tcW w:w="920" w:type="dxa"/>
            <w:vAlign w:val="bottom"/>
            <w:shd w:val="clear" w:color="auto" w:fill="D9D9D9"/>
          </w:tcPr>
          <w:p>
            <w:pPr>
              <w:ind w:left="120"/>
              <w:spacing w:after="0"/>
              <w:rPr>
                <w:sz w:val="20"/>
                <w:szCs w:val="20"/>
                <w:color w:val="auto"/>
              </w:rPr>
            </w:pPr>
            <w:r>
              <w:rPr>
                <w:rFonts w:ascii="Arial" w:cs="Arial" w:eastAsia="Arial" w:hAnsi="Arial"/>
                <w:sz w:val="14"/>
                <w:szCs w:val="14"/>
                <w:color w:val="auto"/>
              </w:rPr>
              <w:t>12/09/2016</w:t>
            </w:r>
          </w:p>
        </w:tc>
        <w:tc>
          <w:tcPr>
            <w:tcW w:w="1620" w:type="dxa"/>
            <w:vAlign w:val="bottom"/>
            <w:shd w:val="clear" w:color="auto" w:fill="D9D9D9"/>
          </w:tcPr>
          <w:p>
            <w:pPr>
              <w:spacing w:after="0"/>
              <w:rPr>
                <w:sz w:val="14"/>
                <w:szCs w:val="14"/>
                <w:color w:val="auto"/>
              </w:rPr>
            </w:pPr>
          </w:p>
        </w:tc>
        <w:tc>
          <w:tcPr>
            <w:tcW w:w="1620" w:type="dxa"/>
            <w:vAlign w:val="bottom"/>
            <w:shd w:val="clear" w:color="auto" w:fill="D9D9D9"/>
          </w:tcPr>
          <w:p>
            <w:pPr>
              <w:jc w:val="right"/>
              <w:ind w:right="808"/>
              <w:spacing w:after="0"/>
              <w:rPr>
                <w:sz w:val="20"/>
                <w:szCs w:val="20"/>
                <w:color w:val="auto"/>
              </w:rPr>
            </w:pPr>
            <w:r>
              <w:rPr>
                <w:rFonts w:ascii="Arial" w:cs="Arial" w:eastAsia="Arial" w:hAnsi="Arial"/>
                <w:sz w:val="14"/>
                <w:szCs w:val="14"/>
                <w:color w:val="auto"/>
              </w:rPr>
              <w:t>8,466</w:t>
            </w: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8,467</w:t>
            </w:r>
          </w:p>
        </w:tc>
        <w:tc>
          <w:tcPr>
            <w:tcW w:w="840" w:type="dxa"/>
            <w:vAlign w:val="bottom"/>
            <w:shd w:val="clear" w:color="auto" w:fill="D9D9D9"/>
          </w:tcPr>
          <w:p>
            <w:pPr>
              <w:jc w:val="right"/>
              <w:ind w:right="29"/>
              <w:spacing w:after="0"/>
              <w:rPr>
                <w:sz w:val="20"/>
                <w:szCs w:val="20"/>
                <w:color w:val="auto"/>
              </w:rPr>
            </w:pPr>
            <w:r>
              <w:rPr>
                <w:rFonts w:ascii="Arial" w:cs="Arial" w:eastAsia="Arial" w:hAnsi="Arial"/>
                <w:sz w:val="14"/>
                <w:szCs w:val="14"/>
                <w:color w:val="auto"/>
              </w:rPr>
              <w:t>8,467</w:t>
            </w:r>
          </w:p>
        </w:tc>
        <w:tc>
          <w:tcPr>
            <w:tcW w:w="840" w:type="dxa"/>
            <w:vAlign w:val="bottom"/>
            <w:shd w:val="clear" w:color="auto" w:fill="D9D9D9"/>
          </w:tcPr>
          <w:p>
            <w:pPr>
              <w:ind w:left="80"/>
              <w:spacing w:after="0"/>
              <w:rPr>
                <w:sz w:val="20"/>
                <w:szCs w:val="20"/>
                <w:color w:val="auto"/>
              </w:rPr>
            </w:pPr>
            <w:r>
              <w:rPr>
                <w:rFonts w:ascii="Arial" w:cs="Arial" w:eastAsia="Arial" w:hAnsi="Arial"/>
                <w:sz w:val="14"/>
                <w:szCs w:val="14"/>
                <w:color w:val="auto"/>
              </w:rPr>
              <w:t>12/09/2026</w:t>
            </w:r>
          </w:p>
        </w:tc>
      </w:tr>
      <w:tr>
        <w:trPr>
          <w:trHeight w:val="167"/>
        </w:trPr>
        <w:tc>
          <w:tcPr>
            <w:tcW w:w="4280" w:type="dxa"/>
            <w:vAlign w:val="bottom"/>
          </w:tcPr>
          <w:p>
            <w:pPr>
              <w:ind w:left="80"/>
              <w:spacing w:after="0"/>
              <w:rPr>
                <w:sz w:val="20"/>
                <w:szCs w:val="20"/>
                <w:color w:val="auto"/>
              </w:rPr>
            </w:pPr>
            <w:r>
              <w:rPr>
                <w:rFonts w:ascii="Arial" w:cs="Arial" w:eastAsia="Arial" w:hAnsi="Arial"/>
                <w:sz w:val="14"/>
                <w:szCs w:val="14"/>
                <w:color w:val="auto"/>
              </w:rPr>
              <w:t>Mr. Dordell</w:t>
            </w:r>
          </w:p>
        </w:tc>
        <w:tc>
          <w:tcPr>
            <w:tcW w:w="920" w:type="dxa"/>
            <w:vAlign w:val="bottom"/>
          </w:tcPr>
          <w:p>
            <w:pPr>
              <w:ind w:left="120"/>
              <w:spacing w:after="0"/>
              <w:rPr>
                <w:sz w:val="20"/>
                <w:szCs w:val="20"/>
                <w:color w:val="auto"/>
              </w:rPr>
            </w:pPr>
            <w:r>
              <w:rPr>
                <w:rFonts w:ascii="Arial" w:cs="Arial" w:eastAsia="Arial" w:hAnsi="Arial"/>
                <w:sz w:val="14"/>
                <w:szCs w:val="14"/>
                <w:color w:val="auto"/>
              </w:rPr>
              <w:t>12/05/2014</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7,934</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12/05/2024</w:t>
            </w:r>
          </w:p>
        </w:tc>
      </w:tr>
      <w:tr>
        <w:trPr>
          <w:trHeight w:val="162"/>
        </w:trPr>
        <w:tc>
          <w:tcPr>
            <w:tcW w:w="4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12/04/2015</w:t>
            </w:r>
          </w:p>
        </w:tc>
        <w:tc>
          <w:tcPr>
            <w:tcW w:w="1620" w:type="dxa"/>
            <w:vAlign w:val="bottom"/>
          </w:tcPr>
          <w:p>
            <w:pPr>
              <w:jc w:val="right"/>
              <w:ind w:right="808"/>
              <w:spacing w:after="0"/>
              <w:rPr>
                <w:sz w:val="20"/>
                <w:szCs w:val="20"/>
                <w:color w:val="auto"/>
              </w:rPr>
            </w:pPr>
            <w:r>
              <w:rPr>
                <w:rFonts w:ascii="Arial" w:cs="Arial" w:eastAsia="Arial" w:hAnsi="Arial"/>
                <w:sz w:val="14"/>
                <w:szCs w:val="14"/>
                <w:color w:val="auto"/>
              </w:rPr>
              <w:t>7,800</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7,800</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12/04/2025</w:t>
            </w:r>
          </w:p>
        </w:tc>
      </w:tr>
      <w:tr>
        <w:trPr>
          <w:trHeight w:val="172"/>
        </w:trPr>
        <w:tc>
          <w:tcPr>
            <w:tcW w:w="4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12/09/2016</w:t>
            </w:r>
          </w:p>
        </w:tc>
        <w:tc>
          <w:tcPr>
            <w:tcW w:w="1620" w:type="dxa"/>
            <w:vAlign w:val="bottom"/>
          </w:tcPr>
          <w:p>
            <w:pPr>
              <w:spacing w:after="0"/>
              <w:rPr>
                <w:sz w:val="14"/>
                <w:szCs w:val="14"/>
                <w:color w:val="auto"/>
              </w:rPr>
            </w:pPr>
          </w:p>
        </w:tc>
        <w:tc>
          <w:tcPr>
            <w:tcW w:w="1620" w:type="dxa"/>
            <w:vAlign w:val="bottom"/>
          </w:tcPr>
          <w:p>
            <w:pPr>
              <w:jc w:val="right"/>
              <w:ind w:right="808"/>
              <w:spacing w:after="0"/>
              <w:rPr>
                <w:sz w:val="20"/>
                <w:szCs w:val="20"/>
                <w:color w:val="auto"/>
              </w:rPr>
            </w:pPr>
            <w:r>
              <w:rPr>
                <w:rFonts w:ascii="Arial" w:cs="Arial" w:eastAsia="Arial" w:hAnsi="Arial"/>
                <w:sz w:val="14"/>
                <w:szCs w:val="14"/>
                <w:color w:val="auto"/>
              </w:rPr>
              <w:t>8,100</w:t>
            </w:r>
          </w:p>
        </w:tc>
        <w:tc>
          <w:tcPr>
            <w:tcW w:w="800" w:type="dxa"/>
            <w:vAlign w:val="bottom"/>
          </w:tcPr>
          <w:p>
            <w:pPr>
              <w:jc w:val="right"/>
              <w:spacing w:after="0"/>
              <w:rPr>
                <w:sz w:val="20"/>
                <w:szCs w:val="20"/>
                <w:color w:val="auto"/>
              </w:rPr>
            </w:pPr>
            <w:r>
              <w:rPr>
                <w:rFonts w:ascii="Arial" w:cs="Arial" w:eastAsia="Arial" w:hAnsi="Arial"/>
                <w:sz w:val="14"/>
                <w:szCs w:val="14"/>
                <w:color w:val="auto"/>
              </w:rPr>
              <w:t>8,100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8,100</w:t>
            </w:r>
          </w:p>
        </w:tc>
        <w:tc>
          <w:tcPr>
            <w:tcW w:w="840" w:type="dxa"/>
            <w:vAlign w:val="bottom"/>
          </w:tcPr>
          <w:p>
            <w:pPr>
              <w:ind w:left="80"/>
              <w:spacing w:after="0"/>
              <w:rPr>
                <w:sz w:val="20"/>
                <w:szCs w:val="20"/>
                <w:color w:val="auto"/>
              </w:rPr>
            </w:pPr>
            <w:r>
              <w:rPr>
                <w:rFonts w:ascii="Arial" w:cs="Arial" w:eastAsia="Arial" w:hAnsi="Arial"/>
                <w:sz w:val="14"/>
                <w:szCs w:val="14"/>
                <w:color w:val="auto"/>
              </w:rPr>
              <w:t>12/09/2026</w:t>
            </w:r>
          </w:p>
        </w:tc>
      </w:tr>
    </w:tbl>
    <w:p>
      <w:pPr>
        <w:spacing w:after="0" w:line="106" w:lineRule="exact"/>
        <w:rPr>
          <w:sz w:val="20"/>
          <w:szCs w:val="20"/>
          <w:color w:val="auto"/>
        </w:rPr>
      </w:pPr>
    </w:p>
    <w:p>
      <w:pPr>
        <w:ind w:left="460" w:right="300" w:hanging="452"/>
        <w:spacing w:after="0" w:line="23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(plus accrued but unvested share dividend equivalents). Restricted stock units were awarded to Mr. Brown for retention purposes on September 15, 2015 in connection with the promotion of Mr. Olson to the position of President and COO. These restricted stock units vest in full and the underlying shares become issuable on the three-year anniversary of the date of grant, September 15, 2018.</w:t>
      </w:r>
    </w:p>
    <w:p>
      <w:pPr>
        <w:spacing w:after="0" w:line="66"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2017, the last business day of fiscal 2017, of $62.85 per share.</w:t>
      </w:r>
    </w:p>
    <w:p>
      <w:pPr>
        <w:spacing w:after="0" w:line="61" w:lineRule="exact"/>
        <w:rPr>
          <w:rFonts w:ascii="Arial" w:cs="Arial" w:eastAsia="Arial" w:hAnsi="Arial"/>
          <w:sz w:val="18"/>
          <w:szCs w:val="18"/>
          <w:color w:val="auto"/>
        </w:rPr>
      </w:pPr>
    </w:p>
    <w:p>
      <w:pPr>
        <w:ind w:left="460" w:right="160" w:hanging="452"/>
        <w:spacing w:after="0" w:line="23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2017 and financial plan levels of performance for fiscal 2018 and fiscal 2019. The fiscal 2016 to fiscal 2018 performance share awards will vest solely based on the accomplishment of the performance goals established for the three-year performance period, which will end on October 31, 2018. The fiscal 2017 to fiscal 2019 performance share awards will vest solely based on the accomplishment of the performance goals established for the three-year performance period, which will end on October 31, 2019.</w:t>
      </w:r>
    </w:p>
    <w:p>
      <w:pPr>
        <w:spacing w:after="0" w:line="67" w:lineRule="exact"/>
        <w:rPr>
          <w:rFonts w:ascii="Arial" w:cs="Arial" w:eastAsia="Arial" w:hAnsi="Arial"/>
          <w:sz w:val="18"/>
          <w:szCs w:val="18"/>
          <w:color w:val="auto"/>
        </w:rPr>
      </w:pPr>
    </w:p>
    <w:p>
      <w:pPr>
        <w:ind w:left="460" w:right="44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2017, the last day of fiscal 2017, of $62.85 per share.</w:t>
      </w:r>
    </w:p>
    <w:p>
      <w:pPr>
        <w:spacing w:after="0" w:line="61" w:lineRule="exact"/>
        <w:rPr>
          <w:rFonts w:ascii="Arial" w:cs="Arial" w:eastAsia="Arial" w:hAnsi="Arial"/>
          <w:sz w:val="18"/>
          <w:szCs w:val="18"/>
          <w:color w:val="auto"/>
        </w:rPr>
      </w:pPr>
    </w:p>
    <w:p>
      <w:pPr>
        <w:ind w:left="460" w:right="240" w:hanging="452"/>
        <w:spacing w:after="0" w:line="24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connection with Mr. Hoffman’s retirement, the Compensation &amp; Human Resources Committee approved the pro-ration of his performance share award for the fiscal 2016 to fiscal 2018 performance period. As a result, provided the attainment of the performance measures for the fiscal 2016 to fiscal 2018 performance period is certified by the Committee upon the completion of fiscal 2018,</w:t>
      </w:r>
    </w:p>
    <w:p>
      <w:pPr>
        <w:spacing w:after="0" w:line="1" w:lineRule="exact"/>
        <w:rPr>
          <w:rFonts w:ascii="Arial" w:cs="Arial" w:eastAsia="Arial" w:hAnsi="Arial"/>
          <w:sz w:val="17"/>
          <w:szCs w:val="17"/>
          <w:color w:val="auto"/>
        </w:rPr>
      </w:pPr>
    </w:p>
    <w:p>
      <w:pPr>
        <w:ind w:left="460" w:right="700"/>
        <w:spacing w:after="0" w:line="246" w:lineRule="auto"/>
        <w:rPr>
          <w:rFonts w:ascii="Arial" w:cs="Arial" w:eastAsia="Arial" w:hAnsi="Arial"/>
          <w:sz w:val="17"/>
          <w:szCs w:val="17"/>
          <w:color w:val="auto"/>
        </w:rPr>
      </w:pPr>
      <w:r>
        <w:rPr>
          <w:rFonts w:ascii="Arial" w:cs="Arial" w:eastAsia="Arial" w:hAnsi="Arial"/>
          <w:sz w:val="18"/>
          <w:szCs w:val="18"/>
          <w:color w:val="auto"/>
        </w:rPr>
        <w:t>Mr. Hoffman will receive a payout of the fiscal 2016 to fiscal 2018 performance share awards that corresponds to the time he was employed during the fiscal 2016 to fiscal 2018 performance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Option Exercises and Stock Vested for Fiscal 2017</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all of the stock options exercised during fiscal 2017, restricted stock unit awards that vested during fiscal</w:t>
      </w:r>
    </w:p>
    <w:p>
      <w:pPr>
        <w:ind w:right="880"/>
        <w:spacing w:after="0" w:line="246" w:lineRule="auto"/>
        <w:rPr>
          <w:sz w:val="20"/>
          <w:szCs w:val="20"/>
          <w:color w:val="auto"/>
        </w:rPr>
      </w:pPr>
      <w:r>
        <w:rPr>
          <w:rFonts w:ascii="Arial" w:cs="Arial" w:eastAsia="Arial" w:hAnsi="Arial"/>
          <w:sz w:val="18"/>
          <w:szCs w:val="18"/>
          <w:color w:val="auto"/>
        </w:rPr>
        <w:t>2017 and performance share awards that were paid out or deferred by our named executive officers for the fiscal 2015 to fiscal 2017 performance period.</w:t>
      </w:r>
    </w:p>
    <w:tbl>
      <w:tblPr>
        <w:tblLayout w:type="fixed"/>
        <w:tblInd w:w="0" w:type="dxa"/>
        <w:tblCellMar>
          <w:top w:w="0" w:type="dxa"/>
          <w:left w:w="0" w:type="dxa"/>
          <w:bottom w:w="0" w:type="dxa"/>
          <w:right w:w="0" w:type="dxa"/>
        </w:tblCellMar>
      </w:tblPr>
      <w:tr>
        <w:trPr>
          <w:trHeight w:val="265"/>
        </w:trPr>
        <w:tc>
          <w:tcPr>
            <w:tcW w:w="6940" w:type="dxa"/>
            <w:vAlign w:val="bottom"/>
            <w:shd w:val="clear" w:color="auto" w:fill="C00000"/>
          </w:tcPr>
          <w:p>
            <w:pPr>
              <w:spacing w:after="0"/>
              <w:rPr>
                <w:sz w:val="23"/>
                <w:szCs w:val="23"/>
                <w:color w:val="auto"/>
              </w:rPr>
            </w:pPr>
          </w:p>
        </w:tc>
        <w:tc>
          <w:tcPr>
            <w:tcW w:w="2420" w:type="dxa"/>
            <w:vAlign w:val="bottom"/>
            <w:gridSpan w:val="2"/>
            <w:shd w:val="clear" w:color="auto" w:fill="C00000"/>
          </w:tcPr>
          <w:p>
            <w:pPr>
              <w:jc w:val="right"/>
              <w:ind w:right="503"/>
              <w:spacing w:after="0" w:line="265" w:lineRule="exact"/>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2060" w:type="dxa"/>
            <w:vAlign w:val="bottom"/>
            <w:gridSpan w:val="2"/>
            <w:shd w:val="clear" w:color="auto" w:fill="C00000"/>
          </w:tcPr>
          <w:p>
            <w:pPr>
              <w:jc w:val="right"/>
              <w:ind w:right="363"/>
              <w:spacing w:after="0" w:line="265" w:lineRule="exact"/>
              <w:rPr>
                <w:sz w:val="20"/>
                <w:szCs w:val="20"/>
                <w:color w:val="auto"/>
              </w:rPr>
            </w:pPr>
            <w:r>
              <w:rPr>
                <w:rFonts w:ascii="Arial" w:cs="Arial" w:eastAsia="Arial" w:hAnsi="Arial"/>
                <w:sz w:val="14"/>
                <w:szCs w:val="14"/>
                <w:b w:val="1"/>
                <w:bCs w:val="1"/>
                <w:color w:val="FFFFFF"/>
              </w:rPr>
              <w:t>Stock Awards</w:t>
            </w:r>
            <w:r>
              <w:rPr>
                <w:rFonts w:ascii="Arial" w:cs="Arial" w:eastAsia="Arial" w:hAnsi="Arial"/>
                <w:sz w:val="24"/>
                <w:szCs w:val="24"/>
                <w:b w:val="1"/>
                <w:bCs w:val="1"/>
                <w:color w:val="FFFFFF"/>
                <w:vertAlign w:val="superscript"/>
              </w:rPr>
              <w:t>(2)</w:t>
            </w:r>
          </w:p>
        </w:tc>
      </w:tr>
      <w:tr>
        <w:trPr>
          <w:trHeight w:val="162"/>
        </w:trPr>
        <w:tc>
          <w:tcPr>
            <w:tcW w:w="6940" w:type="dxa"/>
            <w:vAlign w:val="bottom"/>
            <w:shd w:val="clear" w:color="auto" w:fill="C00000"/>
          </w:tcPr>
          <w:p>
            <w:pPr>
              <w:spacing w:after="0"/>
              <w:rPr>
                <w:sz w:val="14"/>
                <w:szCs w:val="14"/>
                <w:color w:val="auto"/>
              </w:rPr>
            </w:pP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200" w:type="dxa"/>
            <w:vAlign w:val="bottom"/>
            <w:shd w:val="clear" w:color="auto" w:fill="C00000"/>
          </w:tcPr>
          <w:p>
            <w:pPr>
              <w:spacing w:after="0"/>
              <w:rPr>
                <w:sz w:val="14"/>
                <w:szCs w:val="14"/>
                <w:color w:val="auto"/>
              </w:rPr>
            </w:pP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C00000"/>
          </w:tcPr>
          <w:p>
            <w:pPr>
              <w:spacing w:after="0"/>
              <w:rPr>
                <w:sz w:val="14"/>
                <w:szCs w:val="14"/>
                <w:color w:val="auto"/>
              </w:rPr>
            </w:pPr>
          </w:p>
        </w:tc>
      </w:tr>
      <w:tr>
        <w:trPr>
          <w:trHeight w:val="162"/>
        </w:trPr>
        <w:tc>
          <w:tcPr>
            <w:tcW w:w="6940" w:type="dxa"/>
            <w:vAlign w:val="bottom"/>
            <w:shd w:val="clear" w:color="auto" w:fill="C00000"/>
          </w:tcPr>
          <w:p>
            <w:pPr>
              <w:spacing w:after="0"/>
              <w:rPr>
                <w:sz w:val="14"/>
                <w:szCs w:val="14"/>
                <w:color w:val="auto"/>
              </w:rPr>
            </w:pP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6"/>
              </w:rPr>
              <w:t>Value</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Shares</w:t>
            </w: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162"/>
        </w:trPr>
        <w:tc>
          <w:tcPr>
            <w:tcW w:w="6940" w:type="dxa"/>
            <w:vAlign w:val="bottom"/>
            <w:shd w:val="clear" w:color="auto" w:fill="C00000"/>
          </w:tcPr>
          <w:p>
            <w:pPr>
              <w:spacing w:after="0"/>
              <w:rPr>
                <w:sz w:val="14"/>
                <w:szCs w:val="14"/>
                <w:color w:val="auto"/>
              </w:rPr>
            </w:pP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Acquired</w:t>
            </w: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Realized on</w:t>
            </w:r>
          </w:p>
        </w:tc>
      </w:tr>
      <w:tr>
        <w:trPr>
          <w:trHeight w:val="162"/>
        </w:trPr>
        <w:tc>
          <w:tcPr>
            <w:tcW w:w="6940" w:type="dxa"/>
            <w:vAlign w:val="bottom"/>
            <w:shd w:val="clear" w:color="auto" w:fill="C00000"/>
          </w:tcPr>
          <w:p>
            <w:pPr>
              <w:spacing w:after="0"/>
              <w:rPr>
                <w:sz w:val="14"/>
                <w:szCs w:val="14"/>
                <w:color w:val="auto"/>
              </w:rPr>
            </w:pP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Exercise</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on Vesting</w:t>
            </w: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8"/>
              </w:rPr>
              <w:t>Vesting</w:t>
            </w:r>
          </w:p>
        </w:tc>
      </w:tr>
      <w:tr>
        <w:trPr>
          <w:trHeight w:val="189"/>
        </w:trPr>
        <w:tc>
          <w:tcPr>
            <w:tcW w:w="694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t>
            </w:r>
          </w:p>
        </w:tc>
      </w:tr>
      <w:tr>
        <w:trPr>
          <w:trHeight w:val="191"/>
        </w:trPr>
        <w:tc>
          <w:tcPr>
            <w:tcW w:w="6940" w:type="dxa"/>
            <w:vAlign w:val="bottom"/>
          </w:tcPr>
          <w:p>
            <w:pPr>
              <w:spacing w:after="0"/>
              <w:rPr>
                <w:sz w:val="20"/>
                <w:szCs w:val="20"/>
                <w:color w:val="auto"/>
              </w:rPr>
            </w:pPr>
            <w:r>
              <w:rPr>
                <w:rFonts w:ascii="Arial" w:cs="Arial" w:eastAsia="Arial" w:hAnsi="Arial"/>
                <w:sz w:val="16"/>
                <w:szCs w:val="16"/>
                <w:color w:val="auto"/>
              </w:rPr>
              <w:t>Richard M. Olson</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940" w:type="dxa"/>
            <w:vAlign w:val="bottom"/>
          </w:tcPr>
          <w:p>
            <w:pPr>
              <w:ind w:left="180"/>
              <w:spacing w:after="0"/>
              <w:rPr>
                <w:sz w:val="20"/>
                <w:szCs w:val="20"/>
                <w:color w:val="auto"/>
              </w:rPr>
            </w:pPr>
            <w:r>
              <w:rPr>
                <w:rFonts w:ascii="Arial" w:cs="Arial" w:eastAsia="Arial" w:hAnsi="Arial"/>
                <w:sz w:val="16"/>
                <w:szCs w:val="16"/>
                <w:color w:val="auto"/>
              </w:rPr>
              <w:t>Restricted Stock Unit Award</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5,004</w:t>
            </w:r>
          </w:p>
        </w:tc>
        <w:tc>
          <w:tcPr>
            <w:tcW w:w="1040" w:type="dxa"/>
            <w:vAlign w:val="bottom"/>
          </w:tcPr>
          <w:p>
            <w:pPr>
              <w:jc w:val="right"/>
              <w:spacing w:after="0"/>
              <w:rPr>
                <w:sz w:val="20"/>
                <w:szCs w:val="20"/>
                <w:color w:val="auto"/>
              </w:rPr>
            </w:pPr>
            <w:r>
              <w:rPr>
                <w:rFonts w:ascii="Arial" w:cs="Arial" w:eastAsia="Arial" w:hAnsi="Arial"/>
                <w:sz w:val="16"/>
                <w:szCs w:val="16"/>
                <w:color w:val="auto"/>
              </w:rPr>
              <w:t>$362,240</w:t>
            </w:r>
          </w:p>
        </w:tc>
      </w:tr>
      <w:tr>
        <w:trPr>
          <w:trHeight w:val="187"/>
        </w:trPr>
        <w:tc>
          <w:tcPr>
            <w:tcW w:w="6940" w:type="dxa"/>
            <w:vAlign w:val="bottom"/>
          </w:tcPr>
          <w:p>
            <w:pPr>
              <w:ind w:left="180"/>
              <w:spacing w:after="0"/>
              <w:rPr>
                <w:sz w:val="20"/>
                <w:szCs w:val="20"/>
                <w:color w:val="auto"/>
              </w:rPr>
            </w:pPr>
            <w:r>
              <w:rPr>
                <w:rFonts w:ascii="Arial" w:cs="Arial" w:eastAsia="Arial" w:hAnsi="Arial"/>
                <w:sz w:val="16"/>
                <w:szCs w:val="16"/>
                <w:color w:val="auto"/>
              </w:rPr>
              <w:t>F’15-F’17 Performance Share Award Payout</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8,063</w:t>
            </w:r>
          </w:p>
        </w:tc>
        <w:tc>
          <w:tcPr>
            <w:tcW w:w="1040" w:type="dxa"/>
            <w:vAlign w:val="bottom"/>
          </w:tcPr>
          <w:p>
            <w:pPr>
              <w:jc w:val="right"/>
              <w:spacing w:after="0"/>
              <w:rPr>
                <w:sz w:val="20"/>
                <w:szCs w:val="20"/>
                <w:color w:val="auto"/>
              </w:rPr>
            </w:pPr>
            <w:r>
              <w:rPr>
                <w:rFonts w:ascii="Arial" w:cs="Arial" w:eastAsia="Arial" w:hAnsi="Arial"/>
                <w:sz w:val="16"/>
                <w:szCs w:val="16"/>
                <w:color w:val="auto"/>
              </w:rPr>
              <w:t>$528,127</w:t>
            </w:r>
          </w:p>
        </w:tc>
      </w:tr>
      <w:tr>
        <w:trPr>
          <w:trHeight w:val="189"/>
        </w:trPr>
        <w:tc>
          <w:tcPr>
            <w:tcW w:w="6940" w:type="dxa"/>
            <w:vAlign w:val="bottom"/>
            <w:shd w:val="clear" w:color="auto" w:fill="D9D9D9"/>
          </w:tcPr>
          <w:p>
            <w:pPr>
              <w:spacing w:after="0"/>
              <w:rPr>
                <w:sz w:val="20"/>
                <w:szCs w:val="20"/>
                <w:color w:val="auto"/>
              </w:rPr>
            </w:pPr>
            <w:r>
              <w:rPr>
                <w:rFonts w:ascii="Arial" w:cs="Arial" w:eastAsia="Arial" w:hAnsi="Arial"/>
                <w:sz w:val="16"/>
                <w:szCs w:val="16"/>
                <w:color w:val="auto"/>
              </w:rPr>
              <w:t>Renee J. Peterson</w:t>
            </w:r>
          </w:p>
        </w:tc>
        <w:tc>
          <w:tcPr>
            <w:tcW w:w="122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1040" w:type="dxa"/>
            <w:vAlign w:val="bottom"/>
            <w:shd w:val="clear" w:color="auto" w:fill="D9D9D9"/>
          </w:tcPr>
          <w:p>
            <w:pPr>
              <w:spacing w:after="0"/>
              <w:rPr>
                <w:sz w:val="16"/>
                <w:szCs w:val="16"/>
                <w:color w:val="auto"/>
              </w:rPr>
            </w:pPr>
          </w:p>
        </w:tc>
      </w:tr>
      <w:tr>
        <w:trPr>
          <w:trHeight w:val="189"/>
        </w:trPr>
        <w:tc>
          <w:tcPr>
            <w:tcW w:w="6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Stock Option Exercises</w:t>
            </w:r>
          </w:p>
        </w:tc>
        <w:tc>
          <w:tcPr>
            <w:tcW w:w="122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20,000</w:t>
            </w:r>
          </w:p>
        </w:tc>
        <w:tc>
          <w:tcPr>
            <w:tcW w:w="120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$860,368</w:t>
            </w:r>
          </w:p>
        </w:tc>
        <w:tc>
          <w:tcPr>
            <w:tcW w:w="1020" w:type="dxa"/>
            <w:vAlign w:val="bottom"/>
            <w:shd w:val="clear" w:color="auto" w:fill="D9D9D9"/>
          </w:tcPr>
          <w:p>
            <w:pPr>
              <w:spacing w:after="0"/>
              <w:rPr>
                <w:sz w:val="16"/>
                <w:szCs w:val="16"/>
                <w:color w:val="auto"/>
              </w:rPr>
            </w:pPr>
          </w:p>
        </w:tc>
        <w:tc>
          <w:tcPr>
            <w:tcW w:w="1040" w:type="dxa"/>
            <w:vAlign w:val="bottom"/>
            <w:shd w:val="clear" w:color="auto" w:fill="D9D9D9"/>
          </w:tcPr>
          <w:p>
            <w:pPr>
              <w:spacing w:after="0"/>
              <w:rPr>
                <w:sz w:val="16"/>
                <w:szCs w:val="16"/>
                <w:color w:val="auto"/>
              </w:rPr>
            </w:pPr>
          </w:p>
        </w:tc>
      </w:tr>
      <w:tr>
        <w:trPr>
          <w:trHeight w:val="189"/>
        </w:trPr>
        <w:tc>
          <w:tcPr>
            <w:tcW w:w="6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F’15-F’17 Performance Share Award Payout</w:t>
            </w:r>
          </w:p>
        </w:tc>
        <w:tc>
          <w:tcPr>
            <w:tcW w:w="122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2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15,606</w:t>
            </w:r>
          </w:p>
        </w:tc>
        <w:tc>
          <w:tcPr>
            <w:tcW w:w="10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$1,022,193</w:t>
            </w:r>
          </w:p>
        </w:tc>
      </w:tr>
      <w:tr>
        <w:trPr>
          <w:trHeight w:val="191"/>
        </w:trPr>
        <w:tc>
          <w:tcPr>
            <w:tcW w:w="6940" w:type="dxa"/>
            <w:vAlign w:val="bottom"/>
          </w:tcPr>
          <w:p>
            <w:pPr>
              <w:spacing w:after="0"/>
              <w:rPr>
                <w:sz w:val="20"/>
                <w:szCs w:val="20"/>
                <w:color w:val="auto"/>
              </w:rPr>
            </w:pPr>
            <w:r>
              <w:rPr>
                <w:rFonts w:ascii="Arial" w:cs="Arial" w:eastAsia="Arial" w:hAnsi="Arial"/>
                <w:sz w:val="16"/>
                <w:szCs w:val="16"/>
                <w:color w:val="auto"/>
              </w:rPr>
              <w:t>Michael J. Hoffman</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940" w:type="dxa"/>
            <w:vAlign w:val="bottom"/>
          </w:tcPr>
          <w:p>
            <w:pPr>
              <w:ind w:left="180"/>
              <w:spacing w:after="0"/>
              <w:rPr>
                <w:sz w:val="20"/>
                <w:szCs w:val="20"/>
                <w:color w:val="auto"/>
              </w:rPr>
            </w:pPr>
            <w:r>
              <w:rPr>
                <w:rFonts w:ascii="Arial" w:cs="Arial" w:eastAsia="Arial" w:hAnsi="Arial"/>
                <w:sz w:val="16"/>
                <w:szCs w:val="16"/>
                <w:color w:val="auto"/>
              </w:rPr>
              <w:t>Stock Option Exercises</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368,800</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$20,092,448</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7"/>
        </w:trPr>
        <w:tc>
          <w:tcPr>
            <w:tcW w:w="6940" w:type="dxa"/>
            <w:vAlign w:val="bottom"/>
          </w:tcPr>
          <w:p>
            <w:pPr>
              <w:ind w:left="180"/>
              <w:spacing w:after="0"/>
              <w:rPr>
                <w:sz w:val="20"/>
                <w:szCs w:val="20"/>
                <w:color w:val="auto"/>
              </w:rPr>
            </w:pPr>
            <w:r>
              <w:rPr>
                <w:rFonts w:ascii="Arial" w:cs="Arial" w:eastAsia="Arial" w:hAnsi="Arial"/>
                <w:sz w:val="16"/>
                <w:szCs w:val="16"/>
                <w:color w:val="auto"/>
              </w:rPr>
              <w:t>F’15-F’17 Performance Share Award Payout</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57,482</w:t>
            </w:r>
          </w:p>
        </w:tc>
        <w:tc>
          <w:tcPr>
            <w:tcW w:w="1040" w:type="dxa"/>
            <w:vAlign w:val="bottom"/>
          </w:tcPr>
          <w:p>
            <w:pPr>
              <w:jc w:val="right"/>
              <w:spacing w:after="0"/>
              <w:rPr>
                <w:sz w:val="20"/>
                <w:szCs w:val="20"/>
                <w:color w:val="auto"/>
              </w:rPr>
            </w:pPr>
            <w:r>
              <w:rPr>
                <w:rFonts w:ascii="Arial" w:cs="Arial" w:eastAsia="Arial" w:hAnsi="Arial"/>
                <w:sz w:val="16"/>
                <w:szCs w:val="16"/>
                <w:color w:val="auto"/>
              </w:rPr>
              <w:t>$3,765,071</w:t>
            </w:r>
          </w:p>
        </w:tc>
      </w:tr>
      <w:tr>
        <w:trPr>
          <w:trHeight w:val="189"/>
        </w:trPr>
        <w:tc>
          <w:tcPr>
            <w:tcW w:w="6940" w:type="dxa"/>
            <w:vAlign w:val="bottom"/>
            <w:shd w:val="clear" w:color="auto" w:fill="D9D9D9"/>
          </w:tcPr>
          <w:p>
            <w:pPr>
              <w:spacing w:after="0"/>
              <w:rPr>
                <w:sz w:val="20"/>
                <w:szCs w:val="20"/>
                <w:color w:val="auto"/>
              </w:rPr>
            </w:pPr>
            <w:r>
              <w:rPr>
                <w:rFonts w:ascii="Arial" w:cs="Arial" w:eastAsia="Arial" w:hAnsi="Arial"/>
                <w:sz w:val="16"/>
                <w:szCs w:val="16"/>
                <w:color w:val="auto"/>
              </w:rPr>
              <w:t>William E. Brown, Jr.</w:t>
            </w:r>
          </w:p>
        </w:tc>
        <w:tc>
          <w:tcPr>
            <w:tcW w:w="122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1040" w:type="dxa"/>
            <w:vAlign w:val="bottom"/>
            <w:shd w:val="clear" w:color="auto" w:fill="D9D9D9"/>
          </w:tcPr>
          <w:p>
            <w:pPr>
              <w:spacing w:after="0"/>
              <w:rPr>
                <w:sz w:val="16"/>
                <w:szCs w:val="16"/>
                <w:color w:val="auto"/>
              </w:rPr>
            </w:pPr>
          </w:p>
        </w:tc>
      </w:tr>
      <w:tr>
        <w:trPr>
          <w:trHeight w:val="189"/>
        </w:trPr>
        <w:tc>
          <w:tcPr>
            <w:tcW w:w="6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Stock Option Exercises</w:t>
            </w:r>
          </w:p>
        </w:tc>
        <w:tc>
          <w:tcPr>
            <w:tcW w:w="1220" w:type="dxa"/>
            <w:vAlign w:val="bottom"/>
            <w:shd w:val="clear" w:color="auto" w:fill="D9D9D9"/>
          </w:tcPr>
          <w:p>
            <w:pPr>
              <w:jc w:val="right"/>
              <w:ind w:right="104"/>
              <w:spacing w:after="0"/>
              <w:rPr>
                <w:sz w:val="20"/>
                <w:szCs w:val="20"/>
                <w:color w:val="auto"/>
              </w:rPr>
            </w:pPr>
            <w:r>
              <w:rPr>
                <w:rFonts w:ascii="Arial" w:cs="Arial" w:eastAsia="Arial" w:hAnsi="Arial"/>
                <w:sz w:val="16"/>
                <w:szCs w:val="16"/>
                <w:color w:val="auto"/>
              </w:rPr>
              <w:t>48,136</w:t>
            </w:r>
          </w:p>
        </w:tc>
        <w:tc>
          <w:tcPr>
            <w:tcW w:w="1200" w:type="dxa"/>
            <w:vAlign w:val="bottom"/>
            <w:shd w:val="clear" w:color="auto" w:fill="D9D9D9"/>
          </w:tcPr>
          <w:p>
            <w:pPr>
              <w:jc w:val="right"/>
              <w:ind w:right="63"/>
              <w:spacing w:after="0"/>
              <w:rPr>
                <w:sz w:val="20"/>
                <w:szCs w:val="20"/>
                <w:color w:val="auto"/>
              </w:rPr>
            </w:pPr>
            <w:r>
              <w:rPr>
                <w:rFonts w:ascii="Arial" w:cs="Arial" w:eastAsia="Arial" w:hAnsi="Arial"/>
                <w:sz w:val="16"/>
                <w:szCs w:val="16"/>
                <w:color w:val="auto"/>
              </w:rPr>
              <w:t>$2,620,703</w:t>
            </w:r>
          </w:p>
        </w:tc>
        <w:tc>
          <w:tcPr>
            <w:tcW w:w="1020" w:type="dxa"/>
            <w:vAlign w:val="bottom"/>
            <w:shd w:val="clear" w:color="auto" w:fill="D9D9D9"/>
          </w:tcPr>
          <w:p>
            <w:pPr>
              <w:spacing w:after="0"/>
              <w:rPr>
                <w:sz w:val="16"/>
                <w:szCs w:val="16"/>
                <w:color w:val="auto"/>
              </w:rPr>
            </w:pPr>
          </w:p>
        </w:tc>
        <w:tc>
          <w:tcPr>
            <w:tcW w:w="1040" w:type="dxa"/>
            <w:vAlign w:val="bottom"/>
            <w:shd w:val="clear" w:color="auto" w:fill="D9D9D9"/>
          </w:tcPr>
          <w:p>
            <w:pPr>
              <w:spacing w:after="0"/>
              <w:rPr>
                <w:sz w:val="16"/>
                <w:szCs w:val="16"/>
                <w:color w:val="auto"/>
              </w:rPr>
            </w:pPr>
          </w:p>
        </w:tc>
      </w:tr>
      <w:tr>
        <w:trPr>
          <w:trHeight w:val="189"/>
        </w:trPr>
        <w:tc>
          <w:tcPr>
            <w:tcW w:w="6940" w:type="dxa"/>
            <w:vAlign w:val="bottom"/>
            <w:shd w:val="clear" w:color="auto" w:fill="D9D9D9"/>
          </w:tcPr>
          <w:p>
            <w:pPr>
              <w:ind w:left="180"/>
              <w:spacing w:after="0"/>
              <w:rPr>
                <w:sz w:val="20"/>
                <w:szCs w:val="20"/>
                <w:color w:val="auto"/>
              </w:rPr>
            </w:pPr>
            <w:r>
              <w:rPr>
                <w:rFonts w:ascii="Arial" w:cs="Arial" w:eastAsia="Arial" w:hAnsi="Arial"/>
                <w:sz w:val="16"/>
                <w:szCs w:val="16"/>
                <w:color w:val="auto"/>
              </w:rPr>
              <w:t>F’15-F’17 Performance Share Award Payout</w:t>
            </w:r>
          </w:p>
        </w:tc>
        <w:tc>
          <w:tcPr>
            <w:tcW w:w="122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20" w:type="dxa"/>
            <w:vAlign w:val="bottom"/>
            <w:shd w:val="clear" w:color="auto" w:fill="D9D9D9"/>
          </w:tcPr>
          <w:p>
            <w:pPr>
              <w:jc w:val="right"/>
              <w:ind w:right="83"/>
              <w:spacing w:after="0"/>
              <w:rPr>
                <w:sz w:val="20"/>
                <w:szCs w:val="20"/>
                <w:color w:val="auto"/>
              </w:rPr>
            </w:pPr>
            <w:r>
              <w:rPr>
                <w:rFonts w:ascii="Arial" w:cs="Arial" w:eastAsia="Arial" w:hAnsi="Arial"/>
                <w:sz w:val="16"/>
                <w:szCs w:val="16"/>
                <w:color w:val="auto"/>
              </w:rPr>
              <w:t>9,103</w:t>
            </w:r>
          </w:p>
        </w:tc>
        <w:tc>
          <w:tcPr>
            <w:tcW w:w="104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$596,247</w:t>
            </w:r>
          </w:p>
        </w:tc>
      </w:tr>
      <w:tr>
        <w:trPr>
          <w:trHeight w:val="191"/>
        </w:trPr>
        <w:tc>
          <w:tcPr>
            <w:tcW w:w="6940" w:type="dxa"/>
            <w:vAlign w:val="bottom"/>
          </w:tcPr>
          <w:p>
            <w:pPr>
              <w:spacing w:after="0"/>
              <w:rPr>
                <w:sz w:val="20"/>
                <w:szCs w:val="20"/>
                <w:color w:val="auto"/>
              </w:rPr>
            </w:pPr>
            <w:r>
              <w:rPr>
                <w:rFonts w:ascii="Arial" w:cs="Arial" w:eastAsia="Arial" w:hAnsi="Arial"/>
                <w:sz w:val="16"/>
                <w:szCs w:val="16"/>
                <w:color w:val="auto"/>
              </w:rPr>
              <w:t>Timothy P. Dordell</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6940" w:type="dxa"/>
            <w:vAlign w:val="bottom"/>
          </w:tcPr>
          <w:p>
            <w:pPr>
              <w:ind w:left="180"/>
              <w:spacing w:after="0"/>
              <w:rPr>
                <w:sz w:val="20"/>
                <w:szCs w:val="20"/>
                <w:color w:val="auto"/>
              </w:rPr>
            </w:pPr>
            <w:r>
              <w:rPr>
                <w:rFonts w:ascii="Arial" w:cs="Arial" w:eastAsia="Arial" w:hAnsi="Arial"/>
                <w:sz w:val="16"/>
                <w:szCs w:val="16"/>
                <w:color w:val="auto"/>
              </w:rPr>
              <w:t>Stock Option Exercises</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64,000</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$3,213,318</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6940" w:type="dxa"/>
            <w:vAlign w:val="bottom"/>
          </w:tcPr>
          <w:p>
            <w:pPr>
              <w:ind w:left="180"/>
              <w:spacing w:after="0"/>
              <w:rPr>
                <w:sz w:val="20"/>
                <w:szCs w:val="20"/>
                <w:color w:val="auto"/>
              </w:rPr>
            </w:pPr>
            <w:r>
              <w:rPr>
                <w:rFonts w:ascii="Arial" w:cs="Arial" w:eastAsia="Arial" w:hAnsi="Arial"/>
                <w:sz w:val="16"/>
                <w:szCs w:val="16"/>
                <w:color w:val="auto"/>
              </w:rPr>
              <w:t>F’15-F’17 Performance Share Award Payout</w:t>
            </w: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9,883</w:t>
            </w:r>
          </w:p>
        </w:tc>
        <w:tc>
          <w:tcPr>
            <w:tcW w:w="1040" w:type="dxa"/>
            <w:vAlign w:val="bottom"/>
          </w:tcPr>
          <w:p>
            <w:pPr>
              <w:jc w:val="right"/>
              <w:spacing w:after="0"/>
              <w:rPr>
                <w:sz w:val="20"/>
                <w:szCs w:val="20"/>
                <w:color w:val="auto"/>
              </w:rPr>
            </w:pPr>
            <w:r>
              <w:rPr>
                <w:rFonts w:ascii="Arial" w:cs="Arial" w:eastAsia="Arial" w:hAnsi="Arial"/>
                <w:sz w:val="16"/>
                <w:szCs w:val="16"/>
                <w:color w:val="auto"/>
              </w:rPr>
              <w:t>$647,337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-2336800</wp:posOffset>
            </wp:positionV>
            <wp:extent cx="2675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18865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1" w:lineRule="exact"/>
        <w:rPr>
          <w:sz w:val="20"/>
          <w:szCs w:val="20"/>
          <w:color w:val="auto"/>
        </w:rPr>
      </w:pPr>
    </w:p>
    <w:p>
      <w:pPr>
        <w:jc w:val="both"/>
        <w:ind w:left="460" w:right="100" w:hanging="452"/>
        <w:spacing w:after="0" w:line="23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66" w:lineRule="exact"/>
        <w:rPr>
          <w:rFonts w:ascii="Arial" w:cs="Arial" w:eastAsia="Arial" w:hAnsi="Arial"/>
          <w:sz w:val="18"/>
          <w:szCs w:val="18"/>
          <w:color w:val="auto"/>
        </w:rPr>
      </w:pPr>
    </w:p>
    <w:p>
      <w:pPr>
        <w:ind w:left="460" w:hanging="452"/>
        <w:spacing w:after="0" w:line="23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any netting of shares surrendered to satisfy tax withholding requirements. The value realized on vesting for performance share awards represents the gross number of shares acquired multiplied by the closing price of our common stock, as reported on the NYSE, on December 7, 2017 (the payout date for the fiscal 2015 to fiscal 2017 performance share awards) of $65.50 per share. Amounts are not reduced to reflect any elections by our named executive officers to defer receipt of performance share award payouts. Under the Deferred Plan for Officers, Messrs. Olson, Brown, and Dordell and Ms. Peterson deferred receipt of 100% of their fiscal 2015 to fiscal 2017 performance share award payout. The material terms of the Deferred Plan for Officers are described under “Nonqualified Deferred Compensation for Fiscal 2017” set forth below. The value realized on vesting of the restricted stock unit award for Mr. Olson represents the gross number of shares acquired, including share dividend equivalents, multiplied by the closing price of our common stock, as reported on the NYSE, on June 16, 2017 of $72.39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Nonqualified Deferred Compensation for Fiscal 2017</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82" w:lineRule="exact"/>
        <w:rPr>
          <w:sz w:val="20"/>
          <w:szCs w:val="20"/>
          <w:color w:val="auto"/>
        </w:rPr>
      </w:pPr>
    </w:p>
    <w:p>
      <w:pPr>
        <w:ind w:firstLine="456"/>
        <w:spacing w:after="0" w:line="242"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a select group of management or highly compensated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including our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of the new fiscal year. Participants must elect a distribution date that is at least two years later than the date the compensation otherwise would have been received. Participants elect the frequency of payments and the number of payments to receive at the time of distribution. Participants are always 100% vested in their accounts.</w:t>
      </w:r>
    </w:p>
    <w:p>
      <w:pPr>
        <w:spacing w:after="0" w:line="73" w:lineRule="exact"/>
        <w:rPr>
          <w:sz w:val="20"/>
          <w:szCs w:val="20"/>
          <w:color w:val="auto"/>
        </w:rPr>
      </w:pPr>
    </w:p>
    <w:p>
      <w:pPr>
        <w:ind w:right="40" w:firstLine="456"/>
        <w:spacing w:after="0" w:line="242"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including our executive officers, an opportunity to defer receipt of shares of our common stock paid out under such awards to a date in the future. Participants can defer up to 100% of the common stock payout. Each year, before the third fiscal year of the three-year performance period begins, participants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Participants are always 100% vested in their accounts.</w:t>
      </w:r>
    </w:p>
    <w:p>
      <w:pPr>
        <w:spacing w:after="0" w:line="71" w:lineRule="exact"/>
        <w:rPr>
          <w:sz w:val="20"/>
          <w:szCs w:val="20"/>
          <w:color w:val="auto"/>
        </w:rPr>
      </w:pPr>
    </w:p>
    <w:p>
      <w:pPr>
        <w:ind w:right="160" w:firstLine="456"/>
        <w:spacing w:after="0"/>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executive officers, benefits in excess of the limitations on benefits and contributions imposed by Code Sections 401(a)(17) and 415. Our contributions to this plan are made on a calendar year basis, usually in the first calendar quarter following the end of the prior calendar year. For earnings above the compensation limit, we contribute the investment savings calculation and the ESOP fund calculation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73" w:lineRule="exact"/>
        <w:rPr>
          <w:sz w:val="20"/>
          <w:szCs w:val="20"/>
          <w:color w:val="auto"/>
        </w:rPr>
      </w:pPr>
    </w:p>
    <w:p>
      <w:pPr>
        <w:ind w:right="240" w:firstLine="456"/>
        <w:spacing w:after="0" w:line="271" w:lineRule="auto"/>
        <w:rPr>
          <w:sz w:val="20"/>
          <w:szCs w:val="20"/>
          <w:color w:val="auto"/>
        </w:rPr>
      </w:pPr>
      <w:r>
        <w:rPr>
          <w:rFonts w:ascii="Arial" w:cs="Arial" w:eastAsia="Arial" w:hAnsi="Arial"/>
          <w:sz w:val="18"/>
          <w:szCs w:val="18"/>
          <w:b w:val="1"/>
          <w:bCs w:val="1"/>
          <w:color w:val="auto"/>
        </w:rPr>
        <w:t xml:space="preserve">Nonqualified Deferred Compensation for Fiscal 2017 Table. </w:t>
      </w:r>
      <w:r>
        <w:rPr>
          <w:rFonts w:ascii="Arial" w:cs="Arial" w:eastAsia="Arial" w:hAnsi="Arial"/>
          <w:sz w:val="18"/>
          <w:szCs w:val="18"/>
          <w:color w:val="auto"/>
        </w:rPr>
        <w:t>The following table reflects any named executive officer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Company contributions for fiscal 2017 to our nonqualified deferred compensation plans.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shd w:val="clear" w:color="auto" w:fill="C00000"/>
          </w:tcPr>
          <w:p>
            <w:pPr>
              <w:spacing w:after="0"/>
              <w:rPr>
                <w:sz w:val="14"/>
                <w:szCs w:val="14"/>
                <w:color w:val="auto"/>
              </w:rPr>
            </w:pPr>
          </w:p>
        </w:tc>
        <w:tc>
          <w:tcPr>
            <w:tcW w:w="140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Executive</w:t>
            </w:r>
          </w:p>
        </w:tc>
        <w:tc>
          <w:tcPr>
            <w:tcW w:w="1300" w:type="dxa"/>
            <w:vAlign w:val="bottom"/>
            <w:gridSpan w:val="2"/>
            <w:shd w:val="clear" w:color="auto" w:fill="C00000"/>
          </w:tcPr>
          <w:p>
            <w:pPr>
              <w:jc w:val="center"/>
              <w:ind w:right="8"/>
              <w:spacing w:after="0"/>
              <w:rPr>
                <w:sz w:val="20"/>
                <w:szCs w:val="20"/>
                <w:color w:val="auto"/>
              </w:rPr>
            </w:pPr>
            <w:r>
              <w:rPr>
                <w:rFonts w:ascii="Arial" w:cs="Arial" w:eastAsia="Arial" w:hAnsi="Arial"/>
                <w:sz w:val="14"/>
                <w:szCs w:val="14"/>
                <w:b w:val="1"/>
                <w:bCs w:val="1"/>
                <w:color w:val="FFFFFF"/>
              </w:rPr>
              <w:t>Registrant</w:t>
            </w:r>
          </w:p>
        </w:tc>
        <w:tc>
          <w:tcPr>
            <w:tcW w:w="1140" w:type="dxa"/>
            <w:vAlign w:val="bottom"/>
            <w:gridSpan w:val="2"/>
            <w:shd w:val="clear" w:color="auto" w:fill="C00000"/>
          </w:tcPr>
          <w:p>
            <w:pPr>
              <w:jc w:val="center"/>
              <w:ind w:right="28"/>
              <w:spacing w:after="0"/>
              <w:rPr>
                <w:sz w:val="20"/>
                <w:szCs w:val="20"/>
                <w:color w:val="auto"/>
              </w:rPr>
            </w:pPr>
            <w:r>
              <w:rPr>
                <w:rFonts w:ascii="Arial" w:cs="Arial" w:eastAsia="Arial" w:hAnsi="Arial"/>
                <w:sz w:val="14"/>
                <w:szCs w:val="14"/>
                <w:b w:val="1"/>
                <w:bCs w:val="1"/>
                <w:color w:val="FFFFFF"/>
              </w:rPr>
              <w:t>Aggregate</w:t>
            </w:r>
          </w:p>
        </w:tc>
        <w:tc>
          <w:tcPr>
            <w:tcW w:w="1020" w:type="dxa"/>
            <w:vAlign w:val="bottom"/>
            <w:shd w:val="clear" w:color="auto" w:fill="C00000"/>
          </w:tcPr>
          <w:p>
            <w:pPr>
              <w:jc w:val="center"/>
              <w:ind w:left="48"/>
              <w:spacing w:after="0"/>
              <w:rPr>
                <w:sz w:val="20"/>
                <w:szCs w:val="20"/>
                <w:color w:val="auto"/>
              </w:rPr>
            </w:pPr>
            <w:r>
              <w:rPr>
                <w:rFonts w:ascii="Arial" w:cs="Arial" w:eastAsia="Arial" w:hAnsi="Arial"/>
                <w:sz w:val="14"/>
                <w:szCs w:val="14"/>
                <w:b w:val="1"/>
                <w:bCs w:val="1"/>
                <w:color w:val="FFFFFF"/>
              </w:rPr>
              <w:t>Aggregate</w:t>
            </w:r>
          </w:p>
        </w:tc>
        <w:tc>
          <w:tcPr>
            <w:tcW w:w="220" w:type="dxa"/>
            <w:vAlign w:val="bottom"/>
            <w:shd w:val="clear" w:color="auto" w:fill="C00000"/>
          </w:tcPr>
          <w:p>
            <w:pPr>
              <w:spacing w:after="0"/>
              <w:rPr>
                <w:sz w:val="14"/>
                <w:szCs w:val="14"/>
                <w:color w:val="auto"/>
              </w:rPr>
            </w:pPr>
          </w:p>
        </w:tc>
        <w:tc>
          <w:tcPr>
            <w:tcW w:w="1060" w:type="dxa"/>
            <w:vAlign w:val="bottom"/>
            <w:gridSpan w:val="2"/>
            <w:shd w:val="clear" w:color="auto" w:fill="C00000"/>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59"/>
        </w:trPr>
        <w:tc>
          <w:tcPr>
            <w:tcW w:w="5280" w:type="dxa"/>
            <w:vAlign w:val="bottom"/>
            <w:shd w:val="clear" w:color="auto" w:fill="C00000"/>
          </w:tcPr>
          <w:p>
            <w:pPr>
              <w:spacing w:after="0"/>
              <w:rPr>
                <w:sz w:val="13"/>
                <w:szCs w:val="13"/>
                <w:color w:val="auto"/>
              </w:rPr>
            </w:pPr>
          </w:p>
        </w:tc>
        <w:tc>
          <w:tcPr>
            <w:tcW w:w="140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Contributions</w:t>
            </w:r>
          </w:p>
        </w:tc>
        <w:tc>
          <w:tcPr>
            <w:tcW w:w="1300" w:type="dxa"/>
            <w:vAlign w:val="bottom"/>
            <w:gridSpan w:val="2"/>
            <w:shd w:val="clear" w:color="auto" w:fill="C00000"/>
          </w:tcPr>
          <w:p>
            <w:pPr>
              <w:jc w:val="center"/>
              <w:ind w:right="8"/>
              <w:spacing w:after="0" w:line="159" w:lineRule="exact"/>
              <w:rPr>
                <w:sz w:val="20"/>
                <w:szCs w:val="20"/>
                <w:color w:val="auto"/>
              </w:rPr>
            </w:pPr>
            <w:r>
              <w:rPr>
                <w:rFonts w:ascii="Arial" w:cs="Arial" w:eastAsia="Arial" w:hAnsi="Arial"/>
                <w:sz w:val="14"/>
                <w:szCs w:val="14"/>
                <w:b w:val="1"/>
                <w:bCs w:val="1"/>
                <w:color w:val="FFFFFF"/>
              </w:rPr>
              <w:t>Contributions</w:t>
            </w:r>
          </w:p>
        </w:tc>
        <w:tc>
          <w:tcPr>
            <w:tcW w:w="1140" w:type="dxa"/>
            <w:vAlign w:val="bottom"/>
            <w:gridSpan w:val="2"/>
            <w:shd w:val="clear" w:color="auto" w:fill="C00000"/>
          </w:tcPr>
          <w:p>
            <w:pPr>
              <w:jc w:val="center"/>
              <w:ind w:right="8"/>
              <w:spacing w:after="0" w:line="159" w:lineRule="exact"/>
              <w:rPr>
                <w:sz w:val="20"/>
                <w:szCs w:val="20"/>
                <w:color w:val="auto"/>
              </w:rPr>
            </w:pPr>
            <w:r>
              <w:rPr>
                <w:rFonts w:ascii="Arial" w:cs="Arial" w:eastAsia="Arial" w:hAnsi="Arial"/>
                <w:sz w:val="14"/>
                <w:szCs w:val="14"/>
                <w:b w:val="1"/>
                <w:bCs w:val="1"/>
                <w:color w:val="FFFFFF"/>
              </w:rPr>
              <w:t>Earnings in</w:t>
            </w:r>
          </w:p>
        </w:tc>
        <w:tc>
          <w:tcPr>
            <w:tcW w:w="1020" w:type="dxa"/>
            <w:vAlign w:val="bottom"/>
            <w:shd w:val="clear" w:color="auto" w:fill="C00000"/>
          </w:tcPr>
          <w:p>
            <w:pPr>
              <w:jc w:val="center"/>
              <w:ind w:left="48"/>
              <w:spacing w:after="0" w:line="159" w:lineRule="exact"/>
              <w:rPr>
                <w:sz w:val="20"/>
                <w:szCs w:val="20"/>
                <w:color w:val="auto"/>
              </w:rPr>
            </w:pPr>
            <w:r>
              <w:rPr>
                <w:rFonts w:ascii="Arial" w:cs="Arial" w:eastAsia="Arial" w:hAnsi="Arial"/>
                <w:sz w:val="14"/>
                <w:szCs w:val="14"/>
                <w:b w:val="1"/>
                <w:bCs w:val="1"/>
                <w:color w:val="FFFFFF"/>
              </w:rPr>
              <w:t>Withdrawals/</w:t>
            </w:r>
          </w:p>
        </w:tc>
        <w:tc>
          <w:tcPr>
            <w:tcW w:w="220" w:type="dxa"/>
            <w:vAlign w:val="bottom"/>
            <w:shd w:val="clear" w:color="auto" w:fill="C00000"/>
          </w:tcPr>
          <w:p>
            <w:pPr>
              <w:spacing w:after="0"/>
              <w:rPr>
                <w:sz w:val="13"/>
                <w:szCs w:val="13"/>
                <w:color w:val="auto"/>
              </w:rPr>
            </w:pPr>
          </w:p>
        </w:tc>
        <w:tc>
          <w:tcPr>
            <w:tcW w:w="1060" w:type="dxa"/>
            <w:vAlign w:val="bottom"/>
            <w:gridSpan w:val="2"/>
            <w:shd w:val="clear" w:color="auto" w:fill="C00000"/>
          </w:tcPr>
          <w:p>
            <w:pPr>
              <w:jc w:val="center"/>
              <w:spacing w:after="0" w:line="159" w:lineRule="exact"/>
              <w:rPr>
                <w:sz w:val="20"/>
                <w:szCs w:val="20"/>
                <w:color w:val="auto"/>
              </w:rPr>
            </w:pPr>
            <w:r>
              <w:rPr>
                <w:rFonts w:ascii="Arial" w:cs="Arial" w:eastAsia="Arial" w:hAnsi="Arial"/>
                <w:sz w:val="14"/>
                <w:szCs w:val="14"/>
                <w:b w:val="1"/>
                <w:bCs w:val="1"/>
                <w:color w:val="FFFFFF"/>
              </w:rPr>
              <w:t>Balance at</w:t>
            </w:r>
          </w:p>
        </w:tc>
      </w:tr>
      <w:tr>
        <w:trPr>
          <w:trHeight w:val="166"/>
        </w:trPr>
        <w:tc>
          <w:tcPr>
            <w:tcW w:w="5280" w:type="dxa"/>
            <w:vAlign w:val="bottom"/>
            <w:shd w:val="clear" w:color="auto" w:fill="C00000"/>
          </w:tcPr>
          <w:p>
            <w:pPr>
              <w:spacing w:after="0"/>
              <w:rPr>
                <w:sz w:val="14"/>
                <w:szCs w:val="14"/>
                <w:color w:val="auto"/>
              </w:rPr>
            </w:pPr>
          </w:p>
        </w:tc>
        <w:tc>
          <w:tcPr>
            <w:tcW w:w="140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(1)</w:t>
            </w:r>
          </w:p>
        </w:tc>
        <w:tc>
          <w:tcPr>
            <w:tcW w:w="1300" w:type="dxa"/>
            <w:vAlign w:val="bottom"/>
            <w:gridSpan w:val="2"/>
            <w:shd w:val="clear" w:color="auto" w:fill="C00000"/>
          </w:tcPr>
          <w:p>
            <w:pPr>
              <w:jc w:val="center"/>
              <w:ind w:right="28"/>
              <w:spacing w:after="0" w:line="165" w:lineRule="exact"/>
              <w:rPr>
                <w:sz w:val="20"/>
                <w:szCs w:val="20"/>
                <w:color w:val="auto"/>
              </w:rPr>
            </w:pPr>
            <w:r>
              <w:rPr>
                <w:rFonts w:ascii="Arial" w:cs="Arial" w:eastAsia="Arial" w:hAnsi="Arial"/>
                <w:sz w:val="12"/>
                <w:szCs w:val="12"/>
                <w:b w:val="1"/>
                <w:bCs w:val="1"/>
                <w:color w:val="FFFFFF"/>
              </w:rPr>
              <w:t>in Last FY</w:t>
            </w:r>
            <w:r>
              <w:rPr>
                <w:rFonts w:ascii="Arial" w:cs="Arial" w:eastAsia="Arial" w:hAnsi="Arial"/>
                <w:sz w:val="19"/>
                <w:szCs w:val="19"/>
                <w:b w:val="1"/>
                <w:bCs w:val="1"/>
                <w:color w:val="FFFFFF"/>
                <w:vertAlign w:val="superscript"/>
              </w:rPr>
              <w:t>(2)</w:t>
            </w:r>
          </w:p>
        </w:tc>
        <w:tc>
          <w:tcPr>
            <w:tcW w:w="1140" w:type="dxa"/>
            <w:vAlign w:val="bottom"/>
            <w:gridSpan w:val="2"/>
            <w:shd w:val="clear" w:color="auto" w:fill="C00000"/>
          </w:tcPr>
          <w:p>
            <w:pPr>
              <w:ind w:left="180"/>
              <w:spacing w:after="0" w:line="165" w:lineRule="exact"/>
              <w:rPr>
                <w:sz w:val="20"/>
                <w:szCs w:val="20"/>
                <w:color w:val="auto"/>
              </w:rPr>
            </w:pPr>
            <w:r>
              <w:rPr>
                <w:rFonts w:ascii="Arial" w:cs="Arial" w:eastAsia="Arial" w:hAnsi="Arial"/>
                <w:sz w:val="12"/>
                <w:szCs w:val="12"/>
                <w:b w:val="1"/>
                <w:bCs w:val="1"/>
                <w:color w:val="FFFFFF"/>
              </w:rPr>
              <w:t>Last FY</w:t>
            </w:r>
            <w:r>
              <w:rPr>
                <w:rFonts w:ascii="Arial" w:cs="Arial" w:eastAsia="Arial" w:hAnsi="Arial"/>
                <w:sz w:val="19"/>
                <w:szCs w:val="19"/>
                <w:b w:val="1"/>
                <w:bCs w:val="1"/>
                <w:color w:val="FFFFFF"/>
                <w:vertAlign w:val="superscript"/>
              </w:rPr>
              <w:t>(3)</w:t>
            </w:r>
          </w:p>
        </w:tc>
        <w:tc>
          <w:tcPr>
            <w:tcW w:w="1020" w:type="dxa"/>
            <w:vAlign w:val="bottom"/>
            <w:shd w:val="clear" w:color="auto" w:fill="C00000"/>
          </w:tcPr>
          <w:p>
            <w:pPr>
              <w:jc w:val="center"/>
              <w:ind w:left="48"/>
              <w:spacing w:after="0"/>
              <w:rPr>
                <w:sz w:val="20"/>
                <w:szCs w:val="20"/>
                <w:color w:val="auto"/>
              </w:rPr>
            </w:pPr>
            <w:r>
              <w:rPr>
                <w:rFonts w:ascii="Arial" w:cs="Arial" w:eastAsia="Arial" w:hAnsi="Arial"/>
                <w:sz w:val="14"/>
                <w:szCs w:val="14"/>
                <w:b w:val="1"/>
                <w:bCs w:val="1"/>
                <w:color w:val="FFFFFF"/>
              </w:rPr>
              <w:t>Distributions</w:t>
            </w:r>
          </w:p>
        </w:tc>
        <w:tc>
          <w:tcPr>
            <w:tcW w:w="220" w:type="dxa"/>
            <w:vAlign w:val="bottom"/>
            <w:shd w:val="clear" w:color="auto" w:fill="C00000"/>
          </w:tcPr>
          <w:p>
            <w:pPr>
              <w:spacing w:after="0"/>
              <w:rPr>
                <w:sz w:val="14"/>
                <w:szCs w:val="14"/>
                <w:color w:val="auto"/>
              </w:rPr>
            </w:pPr>
          </w:p>
        </w:tc>
        <w:tc>
          <w:tcPr>
            <w:tcW w:w="1060" w:type="dxa"/>
            <w:vAlign w:val="bottom"/>
            <w:gridSpan w:val="2"/>
            <w:shd w:val="clear" w:color="auto" w:fill="C00000"/>
          </w:tcPr>
          <w:p>
            <w:pPr>
              <w:jc w:val="center"/>
              <w:spacing w:after="0" w:line="165" w:lineRule="exact"/>
              <w:rPr>
                <w:sz w:val="20"/>
                <w:szCs w:val="20"/>
                <w:color w:val="auto"/>
              </w:rPr>
            </w:pPr>
            <w:r>
              <w:rPr>
                <w:rFonts w:ascii="Arial" w:cs="Arial" w:eastAsia="Arial" w:hAnsi="Arial"/>
                <w:sz w:val="12"/>
                <w:szCs w:val="12"/>
                <w:b w:val="1"/>
                <w:bCs w:val="1"/>
                <w:color w:val="FFFFFF"/>
              </w:rPr>
              <w:t>Last FYE</w:t>
            </w:r>
            <w:r>
              <w:rPr>
                <w:rFonts w:ascii="Arial" w:cs="Arial" w:eastAsia="Arial" w:hAnsi="Arial"/>
                <w:sz w:val="19"/>
                <w:szCs w:val="19"/>
                <w:b w:val="1"/>
                <w:bCs w:val="1"/>
                <w:color w:val="FFFFFF"/>
                <w:vertAlign w:val="superscript"/>
              </w:rPr>
              <w:t>(4)</w:t>
            </w:r>
          </w:p>
        </w:tc>
      </w:tr>
      <w:tr>
        <w:trPr>
          <w:trHeight w:val="189"/>
        </w:trPr>
        <w:tc>
          <w:tcPr>
            <w:tcW w:w="528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Name</w:t>
            </w:r>
          </w:p>
        </w:tc>
        <w:tc>
          <w:tcPr>
            <w:tcW w:w="600" w:type="dxa"/>
            <w:vAlign w:val="bottom"/>
            <w:shd w:val="clear" w:color="auto" w:fill="C00000"/>
          </w:tcPr>
          <w:p>
            <w:pPr>
              <w:spacing w:after="0"/>
              <w:rPr>
                <w:sz w:val="16"/>
                <w:szCs w:val="16"/>
                <w:color w:val="auto"/>
              </w:rPr>
            </w:pPr>
          </w:p>
        </w:tc>
        <w:tc>
          <w:tcPr>
            <w:tcW w:w="800" w:type="dxa"/>
            <w:vAlign w:val="bottom"/>
            <w:shd w:val="clear" w:color="auto" w:fill="C00000"/>
          </w:tcPr>
          <w:p>
            <w:pPr>
              <w:jc w:val="center"/>
              <w:ind w:right="508"/>
              <w:spacing w:after="0"/>
              <w:rPr>
                <w:sz w:val="20"/>
                <w:szCs w:val="20"/>
                <w:color w:val="auto"/>
              </w:rPr>
            </w:pPr>
            <w:r>
              <w:rPr>
                <w:rFonts w:ascii="Arial" w:cs="Arial" w:eastAsia="Arial" w:hAnsi="Arial"/>
                <w:sz w:val="14"/>
                <w:szCs w:val="14"/>
                <w:b w:val="1"/>
                <w:bCs w:val="1"/>
                <w:color w:val="FFFFFF"/>
              </w:rPr>
              <w:t>($)</w:t>
            </w:r>
          </w:p>
        </w:tc>
        <w:tc>
          <w:tcPr>
            <w:tcW w:w="700" w:type="dxa"/>
            <w:vAlign w:val="bottom"/>
            <w:shd w:val="clear" w:color="auto" w:fill="C00000"/>
          </w:tcPr>
          <w:p>
            <w:pPr>
              <w:jc w:val="center"/>
              <w:ind w:left="449"/>
              <w:spacing w:after="0"/>
              <w:rPr>
                <w:sz w:val="20"/>
                <w:szCs w:val="20"/>
                <w:color w:val="auto"/>
              </w:rPr>
            </w:pPr>
            <w:r>
              <w:rPr>
                <w:rFonts w:ascii="Arial" w:cs="Arial" w:eastAsia="Arial" w:hAnsi="Arial"/>
                <w:sz w:val="14"/>
                <w:szCs w:val="14"/>
                <w:b w:val="1"/>
                <w:bCs w:val="1"/>
                <w:color w:val="FFFFFF"/>
              </w:rPr>
              <w:t>($)</w:t>
            </w:r>
          </w:p>
        </w:tc>
        <w:tc>
          <w:tcPr>
            <w:tcW w:w="600" w:type="dxa"/>
            <w:vAlign w:val="bottom"/>
            <w:shd w:val="clear" w:color="auto" w:fill="C00000"/>
          </w:tcPr>
          <w:p>
            <w:pPr>
              <w:spacing w:after="0"/>
              <w:rPr>
                <w:sz w:val="16"/>
                <w:szCs w:val="16"/>
                <w:color w:val="auto"/>
              </w:rPr>
            </w:pPr>
          </w:p>
        </w:tc>
        <w:tc>
          <w:tcPr>
            <w:tcW w:w="320" w:type="dxa"/>
            <w:vAlign w:val="bottom"/>
            <w:shd w:val="clear" w:color="auto" w:fill="C00000"/>
          </w:tcPr>
          <w:p>
            <w:pPr>
              <w:spacing w:after="0"/>
              <w:rPr>
                <w:sz w:val="16"/>
                <w:szCs w:val="16"/>
                <w:color w:val="auto"/>
              </w:rPr>
            </w:pPr>
          </w:p>
        </w:tc>
        <w:tc>
          <w:tcPr>
            <w:tcW w:w="820" w:type="dxa"/>
            <w:vAlign w:val="bottom"/>
            <w:shd w:val="clear" w:color="auto" w:fill="C00000"/>
          </w:tcPr>
          <w:p>
            <w:pPr>
              <w:jc w:val="center"/>
              <w:ind w:right="32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00000"/>
          </w:tcPr>
          <w:p>
            <w:pPr>
              <w:jc w:val="center"/>
              <w:ind w:left="48"/>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C00000"/>
          </w:tcPr>
          <w:p>
            <w:pPr>
              <w:spacing w:after="0"/>
              <w:rPr>
                <w:sz w:val="16"/>
                <w:szCs w:val="16"/>
                <w:color w:val="auto"/>
              </w:rPr>
            </w:pPr>
          </w:p>
        </w:tc>
        <w:tc>
          <w:tcPr>
            <w:tcW w:w="340" w:type="dxa"/>
            <w:vAlign w:val="bottom"/>
            <w:shd w:val="clear" w:color="auto" w:fill="C00000"/>
          </w:tcPr>
          <w:p>
            <w:pPr>
              <w:spacing w:after="0"/>
              <w:rPr>
                <w:sz w:val="16"/>
                <w:szCs w:val="16"/>
                <w:color w:val="auto"/>
              </w:rPr>
            </w:pPr>
          </w:p>
        </w:tc>
        <w:tc>
          <w:tcPr>
            <w:tcW w:w="720" w:type="dxa"/>
            <w:vAlign w:val="bottom"/>
            <w:shd w:val="clear" w:color="auto" w:fill="C00000"/>
          </w:tcPr>
          <w:p>
            <w:pPr>
              <w:jc w:val="center"/>
              <w:ind w:right="268"/>
              <w:spacing w:after="0"/>
              <w:rPr>
                <w:sz w:val="20"/>
                <w:szCs w:val="20"/>
                <w:color w:val="auto"/>
              </w:rPr>
            </w:pPr>
            <w:r>
              <w:rPr>
                <w:rFonts w:ascii="Arial" w:cs="Arial" w:eastAsia="Arial" w:hAnsi="Arial"/>
                <w:sz w:val="14"/>
                <w:szCs w:val="14"/>
                <w:b w:val="1"/>
                <w:bCs w:val="1"/>
                <w:color w:val="FFFFFF"/>
              </w:rPr>
              <w:t>($)</w:t>
            </w: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Richard M. Olson</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198,307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29,273</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379,985</w:t>
            </w: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 for Officers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528,127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319,393</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1,973,584</w:t>
            </w:r>
          </w:p>
        </w:tc>
      </w:tr>
      <w:tr>
        <w:trPr>
          <w:trHeight w:val="157"/>
        </w:trPr>
        <w:tc>
          <w:tcPr>
            <w:tcW w:w="5280" w:type="dxa"/>
            <w:vAlign w:val="bottom"/>
          </w:tcPr>
          <w:p>
            <w:pPr>
              <w:ind w:left="160"/>
              <w:spacing w:after="0" w:line="157" w:lineRule="exact"/>
              <w:rPr>
                <w:sz w:val="20"/>
                <w:szCs w:val="20"/>
                <w:color w:val="auto"/>
              </w:rPr>
            </w:pPr>
            <w:r>
              <w:rPr>
                <w:rFonts w:ascii="Arial" w:cs="Arial" w:eastAsia="Arial" w:hAnsi="Arial"/>
                <w:sz w:val="14"/>
                <w:szCs w:val="14"/>
                <w:color w:val="auto"/>
              </w:rPr>
              <w:t>Supplemental Benefit Plan</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$ 115,393</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28,249</w:t>
            </w:r>
          </w:p>
        </w:tc>
        <w:tc>
          <w:tcPr>
            <w:tcW w:w="10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57" w:lineRule="exact"/>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306,239</w:t>
            </w:r>
          </w:p>
        </w:tc>
      </w:tr>
      <w:tr>
        <w:trPr>
          <w:trHeight w:val="162"/>
        </w:trPr>
        <w:tc>
          <w:tcPr>
            <w:tcW w:w="5280" w:type="dxa"/>
            <w:vAlign w:val="bottom"/>
            <w:shd w:val="clear" w:color="auto" w:fill="D9D9D9"/>
          </w:tcPr>
          <w:p>
            <w:pPr>
              <w:spacing w:after="0"/>
              <w:rPr>
                <w:sz w:val="20"/>
                <w:szCs w:val="20"/>
                <w:color w:val="auto"/>
              </w:rPr>
            </w:pPr>
            <w:r>
              <w:rPr>
                <w:rFonts w:ascii="Arial" w:cs="Arial" w:eastAsia="Arial" w:hAnsi="Arial"/>
                <w:sz w:val="14"/>
                <w:szCs w:val="14"/>
                <w:color w:val="auto"/>
              </w:rPr>
              <w:t>Renee J. Peterson</w:t>
            </w:r>
          </w:p>
        </w:tc>
        <w:tc>
          <w:tcPr>
            <w:tcW w:w="6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720" w:type="dxa"/>
            <w:vAlign w:val="bottom"/>
            <w:shd w:val="clear" w:color="auto" w:fill="D9D9D9"/>
          </w:tcPr>
          <w:p>
            <w:pPr>
              <w:spacing w:after="0"/>
              <w:rPr>
                <w:sz w:val="14"/>
                <w:szCs w:val="14"/>
                <w:color w:val="auto"/>
              </w:rPr>
            </w:pP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Deferred Plan</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351,702</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191,778</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$ 1,741,265</w:t>
            </w: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Deferred Plan for Officers</w:t>
            </w:r>
          </w:p>
        </w:tc>
        <w:tc>
          <w:tcPr>
            <w:tcW w:w="1400" w:type="dxa"/>
            <w:vAlign w:val="bottom"/>
            <w:gridSpan w:val="2"/>
            <w:shd w:val="clear" w:color="auto" w:fill="D9D9D9"/>
          </w:tcPr>
          <w:p>
            <w:pPr>
              <w:jc w:val="right"/>
              <w:ind w:right="68"/>
              <w:spacing w:after="0"/>
              <w:rPr>
                <w:sz w:val="20"/>
                <w:szCs w:val="20"/>
                <w:color w:val="auto"/>
              </w:rPr>
            </w:pPr>
            <w:r>
              <w:rPr>
                <w:rFonts w:ascii="Arial" w:cs="Arial" w:eastAsia="Arial" w:hAnsi="Arial"/>
                <w:sz w:val="14"/>
                <w:szCs w:val="14"/>
                <w:color w:val="auto"/>
              </w:rPr>
              <w:t>$ 1,022,193</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886,513</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5,173,142</w:t>
            </w: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Supplemental Benefit Plan</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58,275</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38,110</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338,382</w:t>
            </w: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Michael J. Hoffman</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750,682</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$ 5,281,688</w:t>
            </w: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 for Officers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57"/>
        </w:trPr>
        <w:tc>
          <w:tcPr>
            <w:tcW w:w="5280" w:type="dxa"/>
            <w:vAlign w:val="bottom"/>
          </w:tcPr>
          <w:p>
            <w:pPr>
              <w:ind w:left="160"/>
              <w:spacing w:after="0" w:line="157" w:lineRule="exact"/>
              <w:rPr>
                <w:sz w:val="20"/>
                <w:szCs w:val="20"/>
                <w:color w:val="auto"/>
              </w:rPr>
            </w:pPr>
            <w:r>
              <w:rPr>
                <w:rFonts w:ascii="Arial" w:cs="Arial" w:eastAsia="Arial" w:hAnsi="Arial"/>
                <w:sz w:val="14"/>
                <w:szCs w:val="14"/>
                <w:color w:val="auto"/>
              </w:rPr>
              <w:t>Supplemental Benefit Plan</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$ 122,229</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534,131</w:t>
            </w:r>
          </w:p>
        </w:tc>
        <w:tc>
          <w:tcPr>
            <w:tcW w:w="10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line="157" w:lineRule="exact"/>
              <w:rPr>
                <w:sz w:val="20"/>
                <w:szCs w:val="20"/>
                <w:color w:val="auto"/>
              </w:rPr>
            </w:pPr>
            <w:r>
              <w:rPr>
                <w:rFonts w:ascii="Arial" w:cs="Arial" w:eastAsia="Arial" w:hAnsi="Arial"/>
                <w:sz w:val="14"/>
                <w:szCs w:val="14"/>
                <w:color w:val="auto"/>
                <w:w w:val="76"/>
              </w:rPr>
              <w:t>0</w:t>
            </w:r>
          </w:p>
        </w:tc>
        <w:tc>
          <w:tcPr>
            <w:tcW w:w="10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$ 3,964,525</w:t>
            </w:r>
          </w:p>
        </w:tc>
      </w:tr>
      <w:tr>
        <w:trPr>
          <w:trHeight w:val="162"/>
        </w:trPr>
        <w:tc>
          <w:tcPr>
            <w:tcW w:w="5280" w:type="dxa"/>
            <w:vAlign w:val="bottom"/>
            <w:shd w:val="clear" w:color="auto" w:fill="D9D9D9"/>
          </w:tcPr>
          <w:p>
            <w:pPr>
              <w:spacing w:after="0"/>
              <w:rPr>
                <w:sz w:val="20"/>
                <w:szCs w:val="20"/>
                <w:color w:val="auto"/>
              </w:rPr>
            </w:pPr>
            <w:r>
              <w:rPr>
                <w:rFonts w:ascii="Arial" w:cs="Arial" w:eastAsia="Arial" w:hAnsi="Arial"/>
                <w:sz w:val="14"/>
                <w:szCs w:val="14"/>
                <w:color w:val="auto"/>
              </w:rPr>
              <w:t>William E. Brown, Jr.</w:t>
            </w:r>
          </w:p>
        </w:tc>
        <w:tc>
          <w:tcPr>
            <w:tcW w:w="6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700" w:type="dxa"/>
            <w:vAlign w:val="bottom"/>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720" w:type="dxa"/>
            <w:vAlign w:val="bottom"/>
            <w:shd w:val="clear" w:color="auto" w:fill="D9D9D9"/>
          </w:tcPr>
          <w:p>
            <w:pPr>
              <w:spacing w:after="0"/>
              <w:rPr>
                <w:sz w:val="14"/>
                <w:szCs w:val="14"/>
                <w:color w:val="auto"/>
              </w:rPr>
            </w:pP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Deferred Plan</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575,256</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5,154</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429,210</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$ 3,039,434</w:t>
            </w: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Deferred Plan for Officers</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596,247</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596,247</w:t>
            </w: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Supplemental Benefit Plan</w:t>
            </w:r>
          </w:p>
        </w:tc>
        <w:tc>
          <w:tcPr>
            <w:tcW w:w="6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0</w:t>
            </w:r>
          </w:p>
        </w:tc>
        <w:tc>
          <w:tcPr>
            <w:tcW w:w="700" w:type="dxa"/>
            <w:vAlign w:val="bottom"/>
            <w:shd w:val="clear" w:color="auto" w:fill="D9D9D9"/>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42,284</w:t>
            </w:r>
          </w:p>
        </w:tc>
        <w:tc>
          <w:tcPr>
            <w:tcW w:w="320" w:type="dxa"/>
            <w:vAlign w:val="bottom"/>
            <w:shd w:val="clear" w:color="auto" w:fill="D9D9D9"/>
          </w:tcPr>
          <w:p>
            <w:pPr>
              <w:ind w:lef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137,427</w:t>
            </w:r>
          </w:p>
        </w:tc>
        <w:tc>
          <w:tcPr>
            <w:tcW w:w="102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723,724</w:t>
            </w:r>
          </w:p>
        </w:tc>
      </w:tr>
      <w:tr>
        <w:trPr>
          <w:trHeight w:val="167"/>
        </w:trPr>
        <w:tc>
          <w:tcPr>
            <w:tcW w:w="5280" w:type="dxa"/>
            <w:vAlign w:val="bottom"/>
          </w:tcPr>
          <w:p>
            <w:pPr>
              <w:spacing w:after="0"/>
              <w:rPr>
                <w:sz w:val="20"/>
                <w:szCs w:val="20"/>
                <w:color w:val="auto"/>
              </w:rPr>
            </w:pPr>
            <w:r>
              <w:rPr>
                <w:rFonts w:ascii="Arial" w:cs="Arial" w:eastAsia="Arial" w:hAnsi="Arial"/>
                <w:sz w:val="14"/>
                <w:szCs w:val="14"/>
                <w:color w:val="auto"/>
              </w:rPr>
              <w:t>Timothy P. Dordell</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496,247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1,218</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330,296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$ 3,274,582</w:t>
            </w: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Deferred Plan for Officers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647,337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1,385,206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6,263,989</w:t>
            </w:r>
          </w:p>
        </w:tc>
      </w:tr>
      <w:tr>
        <w:trPr>
          <w:trHeight w:val="172"/>
        </w:trPr>
        <w:tc>
          <w:tcPr>
            <w:tcW w:w="5280" w:type="dxa"/>
            <w:vAlign w:val="bottom"/>
          </w:tcPr>
          <w:p>
            <w:pPr>
              <w:ind w:left="160"/>
              <w:spacing w:after="0"/>
              <w:rPr>
                <w:sz w:val="20"/>
                <w:szCs w:val="20"/>
                <w:color w:val="auto"/>
              </w:rPr>
            </w:pPr>
            <w:r>
              <w:rPr>
                <w:rFonts w:ascii="Arial" w:cs="Arial" w:eastAsia="Arial" w:hAnsi="Arial"/>
                <w:sz w:val="14"/>
                <w:szCs w:val="14"/>
                <w:color w:val="auto"/>
              </w:rPr>
              <w:t>Supplemental Benefit Plan</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38,723</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36,386</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352,990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3" w:lineRule="exact"/>
        <w:rPr>
          <w:sz w:val="20"/>
          <w:szCs w:val="20"/>
          <w:color w:val="auto"/>
        </w:rPr>
      </w:pPr>
    </w:p>
    <w:p>
      <w:pPr>
        <w:ind w:left="460" w:right="40" w:hanging="452"/>
        <w:spacing w:after="0" w:line="23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beginning on page 46. Executive contributions of the fiscal 2015 to fiscal 2017 performance share award payouts are included in the “Value Realized on Vesting” column of the “Option Exercises and Stock Vested for Fiscal 2017” table on page 52, but are not included 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the “Summary Compensation Table” as that table reflects the grant of the fiscal 2017 to fiscal 2019 performance share awards at target value. Our named executive officers deferred the following components of compensation during fiscal 2017:</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850" w:type="dxa"/>
            <w:vAlign w:val="bottom"/>
            <w:shd w:val="clear" w:color="auto" w:fill="C00000"/>
          </w:tcPr>
          <w:p>
            <w:pPr>
              <w:ind w:left="40"/>
              <w:spacing w:after="0"/>
              <w:rPr>
                <w:sz w:val="20"/>
                <w:szCs w:val="20"/>
                <w:color w:val="auto"/>
              </w:rPr>
            </w:pPr>
            <w:r>
              <w:rPr>
                <w:rFonts w:ascii="Arial" w:cs="Arial" w:eastAsia="Arial" w:hAnsi="Arial"/>
                <w:sz w:val="14"/>
                <w:szCs w:val="14"/>
                <w:b w:val="1"/>
                <w:bCs w:val="1"/>
                <w:color w:val="FFFFFF"/>
              </w:rPr>
              <w:t>Name</w:t>
            </w:r>
          </w:p>
        </w:tc>
        <w:tc>
          <w:tcPr>
            <w:tcW w:w="7930" w:type="dxa"/>
            <w:vAlign w:val="bottom"/>
            <w:shd w:val="clear" w:color="auto" w:fill="C00000"/>
          </w:tcPr>
          <w:p>
            <w:pPr>
              <w:ind w:left="110"/>
              <w:spacing w:after="0"/>
              <w:rPr>
                <w:sz w:val="20"/>
                <w:szCs w:val="20"/>
                <w:color w:val="auto"/>
              </w:rPr>
            </w:pPr>
            <w:r>
              <w:rPr>
                <w:rFonts w:ascii="Arial" w:cs="Arial" w:eastAsia="Arial" w:hAnsi="Arial"/>
                <w:sz w:val="14"/>
                <w:szCs w:val="14"/>
                <w:b w:val="1"/>
                <w:bCs w:val="1"/>
                <w:color w:val="FFFFFF"/>
              </w:rPr>
              <w:t>Deferrals</w:t>
            </w:r>
          </w:p>
        </w:tc>
        <w:tc>
          <w:tcPr>
            <w:tcW w:w="1180" w:type="dxa"/>
            <w:vAlign w:val="bottom"/>
            <w:gridSpan w:val="2"/>
            <w:shd w:val="clear" w:color="auto" w:fill="C00000"/>
          </w:tcPr>
          <w:p>
            <w:pPr>
              <w:ind w:left="280"/>
              <w:spacing w:after="0"/>
              <w:rPr>
                <w:sz w:val="20"/>
                <w:szCs w:val="20"/>
                <w:color w:val="auto"/>
              </w:rPr>
            </w:pPr>
            <w:r>
              <w:rPr>
                <w:rFonts w:ascii="Arial" w:cs="Arial" w:eastAsia="Arial" w:hAnsi="Arial"/>
                <w:sz w:val="14"/>
                <w:szCs w:val="14"/>
                <w:b w:val="1"/>
                <w:bCs w:val="1"/>
                <w:color w:val="FFFFFF"/>
              </w:rPr>
              <w:t>Amount ($)</w:t>
            </w:r>
          </w:p>
        </w:tc>
      </w:tr>
      <w:tr>
        <w:trPr>
          <w:trHeight w:val="191"/>
        </w:trPr>
        <w:tc>
          <w:tcPr>
            <w:tcW w:w="1850" w:type="dxa"/>
            <w:vAlign w:val="bottom"/>
          </w:tcPr>
          <w:p>
            <w:pPr>
              <w:spacing w:after="0"/>
              <w:rPr>
                <w:sz w:val="20"/>
                <w:szCs w:val="20"/>
                <w:color w:val="auto"/>
              </w:rPr>
            </w:pPr>
            <w:r>
              <w:rPr>
                <w:rFonts w:ascii="Arial" w:cs="Arial" w:eastAsia="Arial" w:hAnsi="Arial"/>
                <w:sz w:val="16"/>
                <w:szCs w:val="16"/>
                <w:color w:val="auto"/>
              </w:rPr>
              <w:t>Mr. Olson</w:t>
            </w:r>
          </w:p>
        </w:tc>
        <w:tc>
          <w:tcPr>
            <w:tcW w:w="7930" w:type="dxa"/>
            <w:vAlign w:val="bottom"/>
          </w:tcPr>
          <w:p>
            <w:pPr>
              <w:ind w:left="110"/>
              <w:spacing w:after="0"/>
              <w:rPr>
                <w:sz w:val="20"/>
                <w:szCs w:val="20"/>
                <w:color w:val="auto"/>
              </w:rPr>
            </w:pPr>
            <w:r>
              <w:rPr>
                <w:rFonts w:ascii="Arial" w:cs="Arial" w:eastAsia="Arial" w:hAnsi="Arial"/>
                <w:sz w:val="16"/>
                <w:szCs w:val="16"/>
                <w:color w:val="auto"/>
              </w:rPr>
              <w:t>20% of the fiscal 2017 annual cash incentive award</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198,307</w:t>
            </w:r>
          </w:p>
        </w:tc>
      </w:tr>
      <w:tr>
        <w:trPr>
          <w:trHeight w:val="187"/>
        </w:trPr>
        <w:tc>
          <w:tcPr>
            <w:tcW w:w="1850" w:type="dxa"/>
            <w:vAlign w:val="bottom"/>
          </w:tcPr>
          <w:p>
            <w:pPr>
              <w:spacing w:after="0"/>
              <w:rPr>
                <w:sz w:val="16"/>
                <w:szCs w:val="16"/>
                <w:color w:val="auto"/>
              </w:rPr>
            </w:pPr>
          </w:p>
        </w:tc>
        <w:tc>
          <w:tcPr>
            <w:tcW w:w="7930" w:type="dxa"/>
            <w:vAlign w:val="bottom"/>
          </w:tcPr>
          <w:p>
            <w:pPr>
              <w:ind w:left="110"/>
              <w:spacing w:after="0"/>
              <w:rPr>
                <w:sz w:val="20"/>
                <w:szCs w:val="20"/>
                <w:color w:val="auto"/>
              </w:rPr>
            </w:pPr>
            <w:r>
              <w:rPr>
                <w:rFonts w:ascii="Arial" w:cs="Arial" w:eastAsia="Arial" w:hAnsi="Arial"/>
                <w:sz w:val="16"/>
                <w:szCs w:val="16"/>
                <w:color w:val="auto"/>
              </w:rPr>
              <w:t>100% of the fiscal 2015 to 2017 performance share award</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528,127</w:t>
            </w:r>
          </w:p>
        </w:tc>
      </w:tr>
      <w:tr>
        <w:trPr>
          <w:trHeight w:val="189"/>
        </w:trPr>
        <w:tc>
          <w:tcPr>
            <w:tcW w:w="1850" w:type="dxa"/>
            <w:vAlign w:val="bottom"/>
            <w:shd w:val="clear" w:color="auto" w:fill="D9D9D9"/>
          </w:tcPr>
          <w:p>
            <w:pPr>
              <w:spacing w:after="0"/>
              <w:rPr>
                <w:sz w:val="20"/>
                <w:szCs w:val="20"/>
                <w:color w:val="auto"/>
              </w:rPr>
            </w:pPr>
            <w:r>
              <w:rPr>
                <w:rFonts w:ascii="Arial" w:cs="Arial" w:eastAsia="Arial" w:hAnsi="Arial"/>
                <w:sz w:val="16"/>
                <w:szCs w:val="16"/>
                <w:color w:val="auto"/>
              </w:rPr>
              <w:t>Ms. Peterson</w:t>
            </w: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20% of base salary from November through December 2016</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16,833</w:t>
            </w:r>
          </w:p>
        </w:tc>
      </w:tr>
      <w:tr>
        <w:trPr>
          <w:trHeight w:val="189"/>
        </w:trPr>
        <w:tc>
          <w:tcPr>
            <w:tcW w:w="1850" w:type="dxa"/>
            <w:vAlign w:val="bottom"/>
            <w:shd w:val="clear" w:color="auto" w:fill="D9D9D9"/>
          </w:tcPr>
          <w:p>
            <w:pPr>
              <w:spacing w:after="0"/>
              <w:rPr>
                <w:sz w:val="16"/>
                <w:szCs w:val="16"/>
                <w:color w:val="auto"/>
              </w:rPr>
            </w:pP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22% of base salary for January through October 2017</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92,583</w:t>
            </w:r>
          </w:p>
        </w:tc>
      </w:tr>
      <w:tr>
        <w:trPr>
          <w:trHeight w:val="189"/>
        </w:trPr>
        <w:tc>
          <w:tcPr>
            <w:tcW w:w="1850" w:type="dxa"/>
            <w:vAlign w:val="bottom"/>
            <w:shd w:val="clear" w:color="auto" w:fill="D9D9D9"/>
          </w:tcPr>
          <w:p>
            <w:pPr>
              <w:spacing w:after="0"/>
              <w:rPr>
                <w:sz w:val="16"/>
                <w:szCs w:val="16"/>
                <w:color w:val="auto"/>
              </w:rPr>
            </w:pP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50% of the fiscal 2017 annual cash incentive award</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242,286</w:t>
            </w:r>
          </w:p>
        </w:tc>
      </w:tr>
      <w:tr>
        <w:trPr>
          <w:trHeight w:val="189"/>
        </w:trPr>
        <w:tc>
          <w:tcPr>
            <w:tcW w:w="1850" w:type="dxa"/>
            <w:vAlign w:val="bottom"/>
            <w:shd w:val="clear" w:color="auto" w:fill="D9D9D9"/>
          </w:tcPr>
          <w:p>
            <w:pPr>
              <w:spacing w:after="0"/>
              <w:rPr>
                <w:sz w:val="16"/>
                <w:szCs w:val="16"/>
                <w:color w:val="auto"/>
              </w:rPr>
            </w:pP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100% of the fiscal 2015 to 2017 performance share award</w:t>
            </w:r>
          </w:p>
        </w:tc>
        <w:tc>
          <w:tcPr>
            <w:tcW w:w="1180" w:type="dxa"/>
            <w:vAlign w:val="bottom"/>
            <w:gridSpan w:val="2"/>
            <w:shd w:val="clear" w:color="auto" w:fill="D9D9D9"/>
          </w:tcPr>
          <w:p>
            <w:pPr>
              <w:jc w:val="right"/>
              <w:spacing w:after="0"/>
              <w:rPr>
                <w:sz w:val="20"/>
                <w:szCs w:val="20"/>
                <w:color w:val="auto"/>
              </w:rPr>
            </w:pPr>
            <w:r>
              <w:rPr>
                <w:rFonts w:ascii="Arial" w:cs="Arial" w:eastAsia="Arial" w:hAnsi="Arial"/>
                <w:sz w:val="16"/>
                <w:szCs w:val="16"/>
                <w:color w:val="auto"/>
                <w:highlight w:val="lightGray"/>
              </w:rPr>
              <w:t>$ 1,022,193</w:t>
            </w:r>
          </w:p>
        </w:tc>
      </w:tr>
      <w:tr>
        <w:trPr>
          <w:trHeight w:val="191"/>
        </w:trPr>
        <w:tc>
          <w:tcPr>
            <w:tcW w:w="1850" w:type="dxa"/>
            <w:vAlign w:val="bottom"/>
          </w:tcPr>
          <w:p>
            <w:pPr>
              <w:spacing w:after="0"/>
              <w:rPr>
                <w:sz w:val="20"/>
                <w:szCs w:val="20"/>
                <w:color w:val="auto"/>
              </w:rPr>
            </w:pPr>
            <w:r>
              <w:rPr>
                <w:rFonts w:ascii="Arial" w:cs="Arial" w:eastAsia="Arial" w:hAnsi="Arial"/>
                <w:sz w:val="16"/>
                <w:szCs w:val="16"/>
                <w:color w:val="auto"/>
              </w:rPr>
              <w:t>Mr. Brown</w:t>
            </w:r>
          </w:p>
        </w:tc>
        <w:tc>
          <w:tcPr>
            <w:tcW w:w="7930" w:type="dxa"/>
            <w:vAlign w:val="bottom"/>
          </w:tcPr>
          <w:p>
            <w:pPr>
              <w:ind w:left="110"/>
              <w:spacing w:after="0"/>
              <w:rPr>
                <w:sz w:val="20"/>
                <w:szCs w:val="20"/>
                <w:color w:val="auto"/>
              </w:rPr>
            </w:pPr>
            <w:r>
              <w:rPr>
                <w:rFonts w:ascii="Arial" w:cs="Arial" w:eastAsia="Arial" w:hAnsi="Arial"/>
                <w:sz w:val="16"/>
                <w:szCs w:val="16"/>
                <w:color w:val="auto"/>
              </w:rPr>
              <w:t>50% of base salary from November 2016 through October 2017</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216,000</w:t>
            </w:r>
          </w:p>
        </w:tc>
      </w:tr>
      <w:tr>
        <w:trPr>
          <w:trHeight w:val="189"/>
        </w:trPr>
        <w:tc>
          <w:tcPr>
            <w:tcW w:w="1850" w:type="dxa"/>
            <w:vAlign w:val="bottom"/>
          </w:tcPr>
          <w:p>
            <w:pPr>
              <w:spacing w:after="0"/>
              <w:rPr>
                <w:sz w:val="16"/>
                <w:szCs w:val="16"/>
                <w:color w:val="auto"/>
              </w:rPr>
            </w:pPr>
          </w:p>
        </w:tc>
        <w:tc>
          <w:tcPr>
            <w:tcW w:w="7930" w:type="dxa"/>
            <w:vAlign w:val="bottom"/>
          </w:tcPr>
          <w:p>
            <w:pPr>
              <w:ind w:left="110"/>
              <w:spacing w:after="0"/>
              <w:rPr>
                <w:sz w:val="20"/>
                <w:szCs w:val="20"/>
                <w:color w:val="auto"/>
              </w:rPr>
            </w:pPr>
            <w:r>
              <w:rPr>
                <w:rFonts w:ascii="Arial" w:cs="Arial" w:eastAsia="Arial" w:hAnsi="Arial"/>
                <w:sz w:val="16"/>
                <w:szCs w:val="16"/>
                <w:color w:val="auto"/>
              </w:rPr>
              <w:t>100% of the fiscal 2017 annual cash incentive award</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359,256</w:t>
            </w:r>
          </w:p>
        </w:tc>
      </w:tr>
      <w:tr>
        <w:trPr>
          <w:trHeight w:val="187"/>
        </w:trPr>
        <w:tc>
          <w:tcPr>
            <w:tcW w:w="1850" w:type="dxa"/>
            <w:vAlign w:val="bottom"/>
          </w:tcPr>
          <w:p>
            <w:pPr>
              <w:spacing w:after="0"/>
              <w:rPr>
                <w:sz w:val="16"/>
                <w:szCs w:val="16"/>
                <w:color w:val="auto"/>
              </w:rPr>
            </w:pPr>
          </w:p>
        </w:tc>
        <w:tc>
          <w:tcPr>
            <w:tcW w:w="7930" w:type="dxa"/>
            <w:vAlign w:val="bottom"/>
          </w:tcPr>
          <w:p>
            <w:pPr>
              <w:ind w:left="110"/>
              <w:spacing w:after="0"/>
              <w:rPr>
                <w:sz w:val="20"/>
                <w:szCs w:val="20"/>
                <w:color w:val="auto"/>
              </w:rPr>
            </w:pPr>
            <w:r>
              <w:rPr>
                <w:rFonts w:ascii="Arial" w:cs="Arial" w:eastAsia="Arial" w:hAnsi="Arial"/>
                <w:sz w:val="16"/>
                <w:szCs w:val="16"/>
                <w:color w:val="auto"/>
              </w:rPr>
              <w:t>100% of the fiscal 2015 to 2017 performance share award</w:t>
            </w:r>
          </w:p>
        </w:tc>
        <w:tc>
          <w:tcPr>
            <w:tcW w:w="460" w:type="dxa"/>
            <w:vAlign w:val="bottom"/>
          </w:tcPr>
          <w:p>
            <w:pPr>
              <w:ind w:left="2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596,247</w:t>
            </w:r>
          </w:p>
        </w:tc>
      </w:tr>
      <w:tr>
        <w:trPr>
          <w:trHeight w:val="189"/>
        </w:trPr>
        <w:tc>
          <w:tcPr>
            <w:tcW w:w="1850" w:type="dxa"/>
            <w:vAlign w:val="bottom"/>
            <w:shd w:val="clear" w:color="auto" w:fill="D9D9D9"/>
          </w:tcPr>
          <w:p>
            <w:pPr>
              <w:spacing w:after="0"/>
              <w:rPr>
                <w:sz w:val="20"/>
                <w:szCs w:val="20"/>
                <w:color w:val="auto"/>
              </w:rPr>
            </w:pPr>
            <w:r>
              <w:rPr>
                <w:rFonts w:ascii="Arial" w:cs="Arial" w:eastAsia="Arial" w:hAnsi="Arial"/>
                <w:sz w:val="16"/>
                <w:szCs w:val="16"/>
                <w:color w:val="auto"/>
              </w:rPr>
              <w:t>Mr. Dordell</w:t>
            </w: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40% of base salary from November 2016 through October 2017</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170,000</w:t>
            </w:r>
          </w:p>
        </w:tc>
      </w:tr>
      <w:tr>
        <w:trPr>
          <w:trHeight w:val="189"/>
        </w:trPr>
        <w:tc>
          <w:tcPr>
            <w:tcW w:w="1850" w:type="dxa"/>
            <w:vAlign w:val="bottom"/>
            <w:shd w:val="clear" w:color="auto" w:fill="D9D9D9"/>
          </w:tcPr>
          <w:p>
            <w:pPr>
              <w:spacing w:after="0"/>
              <w:rPr>
                <w:sz w:val="16"/>
                <w:szCs w:val="16"/>
                <w:color w:val="auto"/>
              </w:rPr>
            </w:pP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100% of the fiscal 2016 annual cash incentive award</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326,247</w:t>
            </w:r>
          </w:p>
        </w:tc>
      </w:tr>
      <w:tr>
        <w:trPr>
          <w:trHeight w:val="189"/>
        </w:trPr>
        <w:tc>
          <w:tcPr>
            <w:tcW w:w="1850" w:type="dxa"/>
            <w:vAlign w:val="bottom"/>
            <w:shd w:val="clear" w:color="auto" w:fill="D9D9D9"/>
          </w:tcPr>
          <w:p>
            <w:pPr>
              <w:spacing w:after="0"/>
              <w:rPr>
                <w:sz w:val="16"/>
                <w:szCs w:val="16"/>
                <w:color w:val="auto"/>
              </w:rPr>
            </w:pPr>
          </w:p>
        </w:tc>
        <w:tc>
          <w:tcPr>
            <w:tcW w:w="7930" w:type="dxa"/>
            <w:vAlign w:val="bottom"/>
            <w:shd w:val="clear" w:color="auto" w:fill="D9D9D9"/>
          </w:tcPr>
          <w:p>
            <w:pPr>
              <w:ind w:left="110"/>
              <w:spacing w:after="0"/>
              <w:rPr>
                <w:sz w:val="20"/>
                <w:szCs w:val="20"/>
                <w:color w:val="auto"/>
              </w:rPr>
            </w:pPr>
            <w:r>
              <w:rPr>
                <w:rFonts w:ascii="Arial" w:cs="Arial" w:eastAsia="Arial" w:hAnsi="Arial"/>
                <w:sz w:val="16"/>
                <w:szCs w:val="16"/>
                <w:color w:val="auto"/>
              </w:rPr>
              <w:t>100% of the fiscal 2015 to 2017 performance share award</w:t>
            </w:r>
          </w:p>
        </w:tc>
        <w:tc>
          <w:tcPr>
            <w:tcW w:w="460" w:type="dxa"/>
            <w:vAlign w:val="bottom"/>
            <w:shd w:val="clear" w:color="auto" w:fill="D9D9D9"/>
          </w:tcPr>
          <w:p>
            <w:pPr>
              <w:ind w:lef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647,337</w:t>
            </w:r>
          </w:p>
        </w:tc>
      </w:tr>
    </w:tbl>
    <w:p>
      <w:pPr>
        <w:spacing w:after="0" w:line="121" w:lineRule="exact"/>
        <w:rPr>
          <w:sz w:val="20"/>
          <w:szCs w:val="20"/>
          <w:color w:val="auto"/>
        </w:rPr>
      </w:pPr>
    </w:p>
    <w:p>
      <w:pPr>
        <w:ind w:left="460" w:right="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2017 and Company contributions to the Deferred Plan in fiscal 2017. These amounts are included in the “All Other Compensation” column of the “Summary Compensation Table” beginning on page 46 and the related footnote.</w:t>
      </w:r>
    </w:p>
    <w:p>
      <w:pPr>
        <w:spacing w:after="0" w:line="67" w:lineRule="exact"/>
        <w:rPr>
          <w:rFonts w:ascii="Arial" w:cs="Arial" w:eastAsia="Arial" w:hAnsi="Arial"/>
          <w:sz w:val="18"/>
          <w:szCs w:val="18"/>
          <w:color w:val="auto"/>
        </w:rPr>
      </w:pPr>
    </w:p>
    <w:p>
      <w:pPr>
        <w:jc w:val="both"/>
        <w:ind w:left="460" w:right="140" w:hanging="452"/>
        <w:spacing w:after="0" w:line="257"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IS&amp;ESOP and do not include any preferential or above-market interest. The rates for fiscal 2017 are provided below:</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American Funds EuroPacific Growth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26.99%</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Artisan Mid Cap Fund</w:t>
            </w:r>
          </w:p>
        </w:tc>
        <w:tc>
          <w:tcPr>
            <w:tcW w:w="3720" w:type="dxa"/>
            <w:vAlign w:val="bottom"/>
          </w:tcPr>
          <w:p>
            <w:pPr>
              <w:jc w:val="right"/>
              <w:spacing w:after="0"/>
              <w:rPr>
                <w:sz w:val="20"/>
                <w:szCs w:val="20"/>
                <w:color w:val="auto"/>
              </w:rPr>
            </w:pPr>
            <w:r>
              <w:rPr>
                <w:rFonts w:ascii="Arial" w:cs="Arial" w:eastAsia="Arial" w:hAnsi="Arial"/>
                <w:sz w:val="16"/>
                <w:szCs w:val="16"/>
                <w:color w:val="auto"/>
              </w:rPr>
              <w:t>20.68%</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Fidelity Treasury Only Money Market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0.35%</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Goldman Sachs Small Cap Value Fund Institutional Class</w:t>
            </w:r>
          </w:p>
        </w:tc>
        <w:tc>
          <w:tcPr>
            <w:tcW w:w="3720" w:type="dxa"/>
            <w:vAlign w:val="bottom"/>
          </w:tcPr>
          <w:p>
            <w:pPr>
              <w:jc w:val="right"/>
              <w:spacing w:after="0"/>
              <w:rPr>
                <w:sz w:val="20"/>
                <w:szCs w:val="20"/>
                <w:color w:val="auto"/>
              </w:rPr>
            </w:pPr>
            <w:r>
              <w:rPr>
                <w:rFonts w:ascii="Arial" w:cs="Arial" w:eastAsia="Arial" w:hAnsi="Arial"/>
                <w:sz w:val="16"/>
                <w:szCs w:val="16"/>
                <w:color w:val="auto"/>
              </w:rPr>
              <w:t>24.10%</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JPMorgan Mid Cap Value Fund I</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16.68%</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PIMCO Foreign Bond Fund (Unhedged)</w:t>
            </w:r>
          </w:p>
        </w:tc>
        <w:tc>
          <w:tcPr>
            <w:tcW w:w="372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The Toro Company</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32.75%</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T. Rowe Price International Discovery Fund</w:t>
            </w:r>
          </w:p>
        </w:tc>
        <w:tc>
          <w:tcPr>
            <w:tcW w:w="3720" w:type="dxa"/>
            <w:vAlign w:val="bottom"/>
          </w:tcPr>
          <w:p>
            <w:pPr>
              <w:jc w:val="right"/>
              <w:spacing w:after="0"/>
              <w:rPr>
                <w:sz w:val="20"/>
                <w:szCs w:val="20"/>
                <w:color w:val="auto"/>
              </w:rPr>
            </w:pPr>
            <w:r>
              <w:rPr>
                <w:rFonts w:ascii="Arial" w:cs="Arial" w:eastAsia="Arial" w:hAnsi="Arial"/>
                <w:sz w:val="16"/>
                <w:szCs w:val="16"/>
                <w:color w:val="auto"/>
              </w:rPr>
              <w:t>30.15%</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Explorer Fund Admiral Shares</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27.25%</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Institutional Index Fund Institutional Shares</w:t>
            </w:r>
          </w:p>
        </w:tc>
        <w:tc>
          <w:tcPr>
            <w:tcW w:w="3720" w:type="dxa"/>
            <w:vAlign w:val="bottom"/>
          </w:tcPr>
          <w:p>
            <w:pPr>
              <w:jc w:val="right"/>
              <w:spacing w:after="0"/>
              <w:rPr>
                <w:sz w:val="20"/>
                <w:szCs w:val="20"/>
                <w:color w:val="auto"/>
              </w:rPr>
            </w:pPr>
            <w:r>
              <w:rPr>
                <w:rFonts w:ascii="Arial" w:cs="Arial" w:eastAsia="Arial" w:hAnsi="Arial"/>
                <w:sz w:val="16"/>
                <w:szCs w:val="16"/>
                <w:color w:val="auto"/>
              </w:rPr>
              <w:t>23.59%</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Mid-Cap Index Fund Admiral Shares</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20.68%</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Small-Cap Index Fund Admiral Shares</w:t>
            </w:r>
          </w:p>
        </w:tc>
        <w:tc>
          <w:tcPr>
            <w:tcW w:w="3720" w:type="dxa"/>
            <w:vAlign w:val="bottom"/>
          </w:tcPr>
          <w:p>
            <w:pPr>
              <w:jc w:val="right"/>
              <w:spacing w:after="0"/>
              <w:rPr>
                <w:sz w:val="20"/>
                <w:szCs w:val="20"/>
                <w:color w:val="auto"/>
              </w:rPr>
            </w:pPr>
            <w:r>
              <w:rPr>
                <w:rFonts w:ascii="Arial" w:cs="Arial" w:eastAsia="Arial" w:hAnsi="Arial"/>
                <w:sz w:val="16"/>
                <w:szCs w:val="16"/>
                <w:color w:val="auto"/>
              </w:rPr>
              <w:t>24.26%</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2015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10.57%</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Target Retirement 2020 Fund</w:t>
            </w:r>
          </w:p>
        </w:tc>
        <w:tc>
          <w:tcPr>
            <w:tcW w:w="3720" w:type="dxa"/>
            <w:vAlign w:val="bottom"/>
          </w:tcPr>
          <w:p>
            <w:pPr>
              <w:jc w:val="right"/>
              <w:spacing w:after="0"/>
              <w:rPr>
                <w:sz w:val="20"/>
                <w:szCs w:val="20"/>
                <w:color w:val="auto"/>
              </w:rPr>
            </w:pPr>
            <w:r>
              <w:rPr>
                <w:rFonts w:ascii="Arial" w:cs="Arial" w:eastAsia="Arial" w:hAnsi="Arial"/>
                <w:sz w:val="16"/>
                <w:szCs w:val="16"/>
                <w:color w:val="auto"/>
              </w:rPr>
              <w:t>13.30%</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2025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15.26%</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Target Retirement 2030 Fund</w:t>
            </w:r>
          </w:p>
        </w:tc>
        <w:tc>
          <w:tcPr>
            <w:tcW w:w="3720" w:type="dxa"/>
            <w:vAlign w:val="bottom"/>
          </w:tcPr>
          <w:p>
            <w:pPr>
              <w:jc w:val="right"/>
              <w:spacing w:after="0"/>
              <w:rPr>
                <w:sz w:val="20"/>
                <w:szCs w:val="20"/>
                <w:color w:val="auto"/>
              </w:rPr>
            </w:pPr>
            <w:r>
              <w:rPr>
                <w:rFonts w:ascii="Arial" w:cs="Arial" w:eastAsia="Arial" w:hAnsi="Arial"/>
                <w:sz w:val="16"/>
                <w:szCs w:val="16"/>
                <w:color w:val="auto"/>
              </w:rPr>
              <w:t>17.05%</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2035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18.86%</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Target Retirement 2040 Fund</w:t>
            </w:r>
          </w:p>
        </w:tc>
        <w:tc>
          <w:tcPr>
            <w:tcW w:w="3720" w:type="dxa"/>
            <w:vAlign w:val="bottom"/>
          </w:tcPr>
          <w:p>
            <w:pPr>
              <w:jc w:val="right"/>
              <w:spacing w:after="0"/>
              <w:rPr>
                <w:sz w:val="20"/>
                <w:szCs w:val="20"/>
                <w:color w:val="auto"/>
              </w:rPr>
            </w:pPr>
            <w:r>
              <w:rPr>
                <w:rFonts w:ascii="Arial" w:cs="Arial" w:eastAsia="Arial" w:hAnsi="Arial"/>
                <w:sz w:val="16"/>
                <w:szCs w:val="16"/>
                <w:color w:val="auto"/>
              </w:rPr>
              <w:t>20.69%</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2045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21.32%</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Target Retirement 2050 Fund</w:t>
            </w:r>
          </w:p>
        </w:tc>
        <w:tc>
          <w:tcPr>
            <w:tcW w:w="372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2055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21.35%</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Vanguard Target Retirement 2060 Fund</w:t>
            </w:r>
          </w:p>
        </w:tc>
        <w:tc>
          <w:tcPr>
            <w:tcW w:w="3720" w:type="dxa"/>
            <w:vAlign w:val="bottom"/>
          </w:tcPr>
          <w:p>
            <w:pPr>
              <w:jc w:val="right"/>
              <w:spacing w:after="0"/>
              <w:rPr>
                <w:sz w:val="20"/>
                <w:szCs w:val="20"/>
                <w:color w:val="auto"/>
              </w:rPr>
            </w:pPr>
            <w:r>
              <w:rPr>
                <w:rFonts w:ascii="Arial" w:cs="Arial" w:eastAsia="Arial" w:hAnsi="Arial"/>
                <w:sz w:val="16"/>
                <w:szCs w:val="16"/>
                <w:color w:val="auto"/>
              </w:rPr>
              <w:t>21.36%</w:t>
            </w:r>
          </w:p>
        </w:tc>
      </w:tr>
      <w:tr>
        <w:trPr>
          <w:trHeight w:val="189"/>
        </w:trPr>
        <w:tc>
          <w:tcPr>
            <w:tcW w:w="7240" w:type="dxa"/>
            <w:vAlign w:val="bottom"/>
            <w:shd w:val="clear" w:color="auto" w:fill="D9D9D9"/>
          </w:tcPr>
          <w:p>
            <w:pPr>
              <w:spacing w:after="0"/>
              <w:rPr>
                <w:sz w:val="20"/>
                <w:szCs w:val="20"/>
                <w:color w:val="auto"/>
              </w:rPr>
            </w:pPr>
            <w:r>
              <w:rPr>
                <w:rFonts w:ascii="Arial" w:cs="Arial" w:eastAsia="Arial" w:hAnsi="Arial"/>
                <w:sz w:val="16"/>
                <w:szCs w:val="16"/>
                <w:color w:val="auto"/>
              </w:rPr>
              <w:t>Vanguard Target Retirement Income Fund</w:t>
            </w:r>
          </w:p>
        </w:tc>
        <w:tc>
          <w:tcPr>
            <w:tcW w:w="3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7.27%</w:t>
            </w:r>
          </w:p>
        </w:tc>
      </w:tr>
      <w:tr>
        <w:trPr>
          <w:trHeight w:val="197"/>
        </w:trPr>
        <w:tc>
          <w:tcPr>
            <w:tcW w:w="7240" w:type="dxa"/>
            <w:vAlign w:val="bottom"/>
          </w:tcPr>
          <w:p>
            <w:pPr>
              <w:spacing w:after="0"/>
              <w:rPr>
                <w:sz w:val="20"/>
                <w:szCs w:val="20"/>
                <w:color w:val="auto"/>
              </w:rPr>
            </w:pPr>
            <w:r>
              <w:rPr>
                <w:rFonts w:ascii="Arial" w:cs="Arial" w:eastAsia="Arial" w:hAnsi="Arial"/>
                <w:sz w:val="16"/>
                <w:szCs w:val="16"/>
                <w:color w:val="auto"/>
              </w:rPr>
              <w:t>Vanguard Total Bond Market Index Fund Admiral Shares</w:t>
            </w:r>
          </w:p>
        </w:tc>
        <w:tc>
          <w:tcPr>
            <w:tcW w:w="3720" w:type="dxa"/>
            <w:vAlign w:val="bottom"/>
          </w:tcPr>
          <w:p>
            <w:pPr>
              <w:jc w:val="right"/>
              <w:spacing w:after="0"/>
              <w:rPr>
                <w:sz w:val="20"/>
                <w:szCs w:val="20"/>
                <w:color w:val="auto"/>
              </w:rPr>
            </w:pPr>
            <w:r>
              <w:rPr>
                <w:rFonts w:ascii="Arial" w:cs="Arial" w:eastAsia="Arial" w:hAnsi="Arial"/>
                <w:sz w:val="16"/>
                <w:szCs w:val="16"/>
                <w:color w:val="auto"/>
              </w:rPr>
              <w:t>0.80%</w:t>
            </w:r>
          </w:p>
        </w:tc>
      </w:tr>
    </w:tbl>
    <w:p>
      <w:pPr>
        <w:spacing w:after="0" w:line="113" w:lineRule="exact"/>
        <w:rPr>
          <w:sz w:val="20"/>
          <w:szCs w:val="20"/>
          <w:color w:val="auto"/>
        </w:rPr>
      </w:pPr>
    </w:p>
    <w:p>
      <w:pPr>
        <w:ind w:left="460" w:right="42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2017, the last day of fiscal 2017 plus any named executive officer’s or Company contributions for fiscal 2017 that were paid, or expected to be paid, after October 31, 2017. Includes the following amounts reported in the “Summary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Table” in the “Base Salary” or “Non-Equity Incentive Plan Compensation” column for fiscal years 2015 and 2016:</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66,168</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Ms. Peterson</w:t>
            </w:r>
          </w:p>
        </w:tc>
        <w:tc>
          <w:tcPr>
            <w:tcW w:w="47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355,891</w:t>
            </w:r>
          </w:p>
        </w:tc>
      </w:t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Hoffman</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Mr. Brown</w:t>
            </w:r>
          </w:p>
        </w:tc>
        <w:tc>
          <w:tcPr>
            <w:tcW w:w="47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841,545</w:t>
            </w:r>
          </w:p>
        </w:tc>
      </w:t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Dordell</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797,317</w:t>
            </w:r>
          </w:p>
        </w:tc>
      </w:tr>
    </w:tbl>
    <w:p>
      <w:pPr>
        <w:spacing w:after="0" w:line="107"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2015 and 2016.</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Olson</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46,832</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Ms. Peterson</w:t>
            </w:r>
          </w:p>
        </w:tc>
        <w:tc>
          <w:tcPr>
            <w:tcW w:w="47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93,909</w:t>
            </w:r>
          </w:p>
        </w:tc>
      </w:t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Hoffman</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315,937</w:t>
            </w:r>
          </w:p>
        </w:tc>
      </w:tr>
      <w:tr>
        <w:trPr>
          <w:trHeight w:val="189"/>
        </w:trPr>
        <w:tc>
          <w:tcPr>
            <w:tcW w:w="5540" w:type="dxa"/>
            <w:vAlign w:val="bottom"/>
          </w:tcPr>
          <w:p>
            <w:pPr>
              <w:spacing w:after="0"/>
              <w:rPr>
                <w:sz w:val="20"/>
                <w:szCs w:val="20"/>
                <w:color w:val="auto"/>
              </w:rPr>
            </w:pPr>
            <w:r>
              <w:rPr>
                <w:rFonts w:ascii="Arial" w:cs="Arial" w:eastAsia="Arial" w:hAnsi="Arial"/>
                <w:sz w:val="16"/>
                <w:szCs w:val="16"/>
                <w:color w:val="auto"/>
              </w:rPr>
              <w:t>Mr. Brown</w:t>
            </w:r>
          </w:p>
        </w:tc>
        <w:tc>
          <w:tcPr>
            <w:tcW w:w="47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70,738</w:t>
            </w:r>
          </w:p>
        </w:tc>
      </w:tr>
      <w:tr>
        <w:trPr>
          <w:trHeight w:val="189"/>
        </w:trPr>
        <w:tc>
          <w:tcPr>
            <w:tcW w:w="5540" w:type="dxa"/>
            <w:vAlign w:val="bottom"/>
            <w:shd w:val="clear" w:color="auto" w:fill="D9D9D9"/>
          </w:tcPr>
          <w:p>
            <w:pPr>
              <w:spacing w:after="0"/>
              <w:rPr>
                <w:sz w:val="20"/>
                <w:szCs w:val="20"/>
                <w:color w:val="auto"/>
              </w:rPr>
            </w:pPr>
            <w:r>
              <w:rPr>
                <w:rFonts w:ascii="Arial" w:cs="Arial" w:eastAsia="Arial" w:hAnsi="Arial"/>
                <w:sz w:val="16"/>
                <w:szCs w:val="16"/>
                <w:color w:val="auto"/>
              </w:rPr>
              <w:t>Mr. Dordell</w:t>
            </w:r>
          </w:p>
        </w:tc>
        <w:tc>
          <w:tcPr>
            <w:tcW w:w="47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67,757</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Potential Payments Upon Termination or Change In Control</w:t>
      </w:r>
    </w:p>
    <w:p>
      <w:pPr>
        <w:spacing w:after="0" w:line="104" w:lineRule="exact"/>
        <w:rPr>
          <w:sz w:val="20"/>
          <w:szCs w:val="20"/>
          <w:color w:val="auto"/>
        </w:rPr>
      </w:pPr>
    </w:p>
    <w:p>
      <w:pPr>
        <w:ind w:right="160" w:firstLine="456"/>
        <w:spacing w:after="0" w:line="24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are entitled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and change in control situations. The intent of this discussion is to describe those payments and benefits for which the amount, vesting or time of payment is altered by the termination of employment or change in control situation. Therefore, this discussion does not describe all payments and benefits a named executive officer may receive following a termination or change in control, such as the following accrued, vested or non-forfeitable compensation and benefits:</w:t>
      </w:r>
    </w:p>
    <w:p>
      <w:pPr>
        <w:spacing w:after="0" w:line="104" w:lineRule="exact"/>
        <w:rPr>
          <w:sz w:val="20"/>
          <w:szCs w:val="20"/>
          <w:color w:val="auto"/>
        </w:rPr>
      </w:pPr>
    </w:p>
    <w:p>
      <w:pPr>
        <w:ind w:left="780" w:right="60" w:hanging="326"/>
        <w:spacing w:after="0" w:line="24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2017” beginning on page 52;</w:t>
      </w:r>
    </w:p>
    <w:p>
      <w:pPr>
        <w:spacing w:after="0" w:line="61" w:lineRule="exact"/>
        <w:rPr>
          <w:rFonts w:ascii="Arial" w:cs="Arial" w:eastAsia="Arial" w:hAnsi="Arial"/>
          <w:sz w:val="18"/>
          <w:szCs w:val="18"/>
          <w:color w:val="auto"/>
        </w:rPr>
      </w:pPr>
    </w:p>
    <w:p>
      <w:pPr>
        <w:ind w:left="780" w:right="480" w:hanging="326"/>
        <w:spacing w:after="0" w:line="24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2017” beginning on page 52;</w:t>
      </w:r>
    </w:p>
    <w:p>
      <w:pPr>
        <w:spacing w:after="0" w:line="61" w:lineRule="exact"/>
        <w:rPr>
          <w:rFonts w:ascii="Arial" w:cs="Arial" w:eastAsia="Arial" w:hAnsi="Arial"/>
          <w:sz w:val="18"/>
          <w:szCs w:val="18"/>
          <w:color w:val="auto"/>
        </w:rPr>
      </w:pPr>
    </w:p>
    <w:p>
      <w:pPr>
        <w:ind w:left="780" w:right="12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44;</w:t>
      </w:r>
    </w:p>
    <w:p>
      <w:pPr>
        <w:spacing w:after="0" w:line="67" w:lineRule="exact"/>
        <w:rPr>
          <w:rFonts w:ascii="Arial" w:cs="Arial" w:eastAsia="Arial" w:hAnsi="Arial"/>
          <w:sz w:val="18"/>
          <w:szCs w:val="18"/>
          <w:color w:val="auto"/>
        </w:rPr>
      </w:pPr>
    </w:p>
    <w:p>
      <w:pPr>
        <w:ind w:left="780" w:right="460" w:hanging="326"/>
        <w:spacing w:after="0" w:line="24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 beginning on page 37;</w:t>
      </w:r>
    </w:p>
    <w:p>
      <w:pPr>
        <w:spacing w:after="0" w:line="61" w:lineRule="exact"/>
        <w:rPr>
          <w:rFonts w:ascii="Arial" w:cs="Arial" w:eastAsia="Arial" w:hAnsi="Arial"/>
          <w:sz w:val="18"/>
          <w:szCs w:val="18"/>
          <w:color w:val="auto"/>
        </w:rPr>
      </w:pPr>
    </w:p>
    <w:p>
      <w:pPr>
        <w:ind w:left="780" w:right="20" w:hanging="326"/>
        <w:spacing w:after="0" w:line="24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 on page 41;</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76" w:lineRule="exact"/>
        <w:rPr>
          <w:rFonts w:ascii="Arial" w:cs="Arial" w:eastAsia="Arial" w:hAnsi="Arial"/>
          <w:sz w:val="18"/>
          <w:szCs w:val="18"/>
          <w:color w:val="auto"/>
        </w:rPr>
      </w:pPr>
    </w:p>
    <w:p>
      <w:pPr>
        <w:ind w:left="780" w:right="360" w:hanging="326"/>
        <w:spacing w:after="0" w:line="24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8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executive officers do not have any employment or severance agreements or arrangements other than as provided for in our CIC policy and other than certain change in control provisions in our equity plans. Accordingly, our named executive officers do not have the right to cash severance or additional benefits in connection with a termination of employment except in connection with a change in control of our Company, as described under “Potential Payments Upon Termination or Change in Control—Change in Control” beginning on page 57. Each of our executive officers is a party to our standard confidentiality, invention and non-compete agreement.</w:t>
      </w:r>
    </w:p>
    <w:p>
      <w:pPr>
        <w:spacing w:after="0" w:line="7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 named executive officer’s voluntary resignation or retirement, we would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pay or provide any additional payments or benefits, unless the named executive officer meets the criteria for “retirement” in connection with his or her voluntary resignation. For purposes of our compensation arrangements, “retirement” generally means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voluntary termination of employment at or after the age of 55 and with a number of years of service that, when added together with the named executive officer’s age, equals at least 65.</w:t>
      </w:r>
    </w:p>
    <w:p>
      <w:pPr>
        <w:spacing w:after="0" w:line="89" w:lineRule="exact"/>
        <w:rPr>
          <w:sz w:val="20"/>
          <w:szCs w:val="20"/>
          <w:color w:val="auto"/>
        </w:rPr>
      </w:pPr>
    </w:p>
    <w:p>
      <w:pPr>
        <w:ind w:right="340" w:firstLine="456"/>
        <w:spacing w:after="0"/>
        <w:rPr>
          <w:sz w:val="20"/>
          <w:szCs w:val="20"/>
          <w:color w:val="auto"/>
        </w:rPr>
      </w:pPr>
      <w:r>
        <w:rPr>
          <w:rFonts w:ascii="Arial" w:cs="Arial" w:eastAsia="Arial" w:hAnsi="Arial"/>
          <w:sz w:val="18"/>
          <w:szCs w:val="18"/>
          <w:color w:val="auto"/>
        </w:rPr>
        <w:t>If a named executive officer meets the criteria for “retirement” in connection with his or her voluntary resignation, the named executive officer generally would be entitled to or, in the case of annual cash incentive awards and performance share awards, may receive upon approval by the Compensation &amp; Human Resources Committee, the following additional payments and benefits:</w:t>
      </w:r>
    </w:p>
    <w:p>
      <w:pPr>
        <w:spacing w:after="0" w:line="108" w:lineRule="exact"/>
        <w:rPr>
          <w:sz w:val="20"/>
          <w:szCs w:val="20"/>
          <w:color w:val="auto"/>
        </w:rPr>
      </w:pPr>
    </w:p>
    <w:p>
      <w:pPr>
        <w:ind w:left="780" w:right="440" w:hanging="326"/>
        <w:spacing w:after="0" w:line="24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57"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w:t>
      </w:r>
    </w:p>
    <w:p>
      <w:pPr>
        <w:ind w:left="780" w:right="20"/>
        <w:spacing w:after="0" w:line="239" w:lineRule="auto"/>
        <w:rPr>
          <w:rFonts w:ascii="Arial" w:cs="Arial" w:eastAsia="Arial" w:hAnsi="Arial"/>
          <w:sz w:val="18"/>
          <w:szCs w:val="18"/>
          <w:color w:val="auto"/>
        </w:rPr>
      </w:pPr>
      <w:r>
        <w:rPr>
          <w:rFonts w:ascii="Arial" w:cs="Arial" w:eastAsia="Arial" w:hAnsi="Arial"/>
          <w:sz w:val="18"/>
          <w:szCs w:val="18"/>
          <w:color w:val="auto"/>
        </w:rPr>
        <w:t>(ii) one additional executive physical; (iii) twelve additional months, or through the end of the lease term, whichever is shorter, of lease payments for a Company-leased automobile; and (iv) certain Company products for personal use at no cost for five years following the named executive officer’s retirement; provided, however, that the named executive officer is responsible for payment of applicable taxes attributed to the value of such products;</w:t>
      </w:r>
    </w:p>
    <w:p>
      <w:pPr>
        <w:spacing w:after="0" w:line="6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named executive officer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66" w:lineRule="exact"/>
        <w:rPr>
          <w:rFonts w:ascii="Arial" w:cs="Arial" w:eastAsia="Arial" w:hAnsi="Arial"/>
          <w:sz w:val="18"/>
          <w:szCs w:val="18"/>
          <w:color w:val="auto"/>
        </w:rPr>
      </w:pPr>
    </w:p>
    <w:p>
      <w:pPr>
        <w:ind w:left="780" w:hanging="326"/>
        <w:spacing w:after="0" w:line="23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named executive officer retires after completion of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retirement date.</w:t>
      </w:r>
    </w:p>
    <w:p>
      <w:pPr>
        <w:spacing w:after="0" w:line="95"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7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a termination as the result of the disability or death of a named executive officer,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or his or her beneficiary, would be entitled to or, in the case of annual cash incentive awards and performance share awards, may receive upon approval by the Compensation &amp; Human Resources Committee, the following additional payments and benefits:</w:t>
      </w:r>
    </w:p>
    <w:p>
      <w:pPr>
        <w:spacing w:after="0" w:line="97" w:lineRule="exact"/>
        <w:rPr>
          <w:sz w:val="20"/>
          <w:szCs w:val="20"/>
          <w:color w:val="auto"/>
        </w:rPr>
      </w:pPr>
    </w:p>
    <w:p>
      <w:pPr>
        <w:ind w:left="780" w:right="120" w:hanging="326"/>
        <w:spacing w:after="0" w:line="24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spacing w:after="0" w:line="61"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named executive officer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66" w:lineRule="exact"/>
        <w:rPr>
          <w:rFonts w:ascii="Arial" w:cs="Arial" w:eastAsia="Arial" w:hAnsi="Arial"/>
          <w:sz w:val="18"/>
          <w:szCs w:val="18"/>
          <w:color w:val="auto"/>
        </w:rPr>
      </w:pPr>
    </w:p>
    <w:p>
      <w:pPr>
        <w:ind w:left="780" w:hanging="326"/>
        <w:spacing w:after="0" w:line="23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named executive officer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named executive officer was employed or performed services during the performance period as of the named executive officer’s termination date.</w:t>
      </w:r>
    </w:p>
    <w:p>
      <w:pPr>
        <w:spacing w:after="0" w:line="95" w:lineRule="exact"/>
        <w:rPr>
          <w:sz w:val="20"/>
          <w:szCs w:val="20"/>
          <w:color w:val="auto"/>
        </w:rPr>
      </w:pPr>
    </w:p>
    <w:p>
      <w:pPr>
        <w:jc w:val="both"/>
        <w:ind w:right="180" w:firstLine="456"/>
        <w:spacing w:after="0"/>
        <w:rPr>
          <w:sz w:val="20"/>
          <w:szCs w:val="20"/>
          <w:color w:val="auto"/>
        </w:rPr>
      </w:pPr>
      <w:r>
        <w:rPr>
          <w:rFonts w:ascii="Arial" w:cs="Arial" w:eastAsia="Arial" w:hAnsi="Arial"/>
          <w:sz w:val="18"/>
          <w:szCs w:val="18"/>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 meeting following the completion of the applicable performance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400" w:firstLine="456"/>
        <w:spacing w:after="0" w:line="247"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Since our named executive officers do not have employment or severance agreements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other than as provided for in our CIC policy, we would not be obligated to provide any additional payments or benefits to our named executive officers in the event of an involuntary termination of employment by us. Any negotiated separation arrangement typically requires that the named executive officer sign a release and waiver of claims and comply with confidentiality and non-compete restrictions.</w:t>
      </w:r>
    </w:p>
    <w:p>
      <w:pPr>
        <w:spacing w:after="0" w:line="6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In the event of a termination of a named executive officer’s employment by us for cause, we would</w:t>
      </w:r>
      <w:r>
        <w:rPr>
          <w:rFonts w:ascii="Arial" w:cs="Arial" w:eastAsia="Arial" w:hAnsi="Arial"/>
          <w:sz w:val="18"/>
          <w:szCs w:val="18"/>
          <w:b w:val="1"/>
          <w:bCs w:val="1"/>
          <w:color w:val="auto"/>
        </w:rPr>
        <w:t xml:space="preserve"> </w:t>
      </w:r>
      <w:r>
        <w:rPr>
          <w:rFonts w:ascii="Arial" w:cs="Arial" w:eastAsia="Arial" w:hAnsi="Arial"/>
          <w:sz w:val="18"/>
          <w:szCs w:val="18"/>
          <w:color w:val="auto"/>
        </w:rPr>
        <w:t>not be obligated to provide any additional payments or benefits to the executive. In addition, we may have certain clawback rights, as described below under “Clawback Provisions.”</w:t>
      </w:r>
    </w:p>
    <w:p>
      <w:pPr>
        <w:spacing w:after="0" w:line="61" w:lineRule="exact"/>
        <w:rPr>
          <w:sz w:val="20"/>
          <w:szCs w:val="20"/>
          <w:color w:val="auto"/>
        </w:rPr>
      </w:pPr>
    </w:p>
    <w:p>
      <w:pPr>
        <w:ind w:right="20" w:firstLine="456"/>
        <w:spacing w:after="0" w:line="24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named executive officer’s employment is terminated by us without just cause or the named executive officer terminates his or her employment for good reason, or if such termination occurs at the request of a third party who had taken steps reasonably calculated to effect the change in control. The payments and benefits the named executive officer would be entitled to receive include:</w:t>
      </w:r>
    </w:p>
    <w:p>
      <w:pPr>
        <w:spacing w:after="0" w:line="104" w:lineRule="exact"/>
        <w:rPr>
          <w:sz w:val="20"/>
          <w:szCs w:val="20"/>
          <w:color w:val="auto"/>
        </w:rPr>
      </w:pPr>
    </w:p>
    <w:p>
      <w:pPr>
        <w:ind w:left="780" w:right="220" w:hanging="326"/>
        <w:spacing w:after="0" w:line="246"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named executive officer’s then current annual base salary and target annual cash incentive award;</w:t>
      </w:r>
    </w:p>
    <w:p>
      <w:pPr>
        <w:spacing w:after="0" w:line="61" w:lineRule="exact"/>
        <w:rPr>
          <w:rFonts w:ascii="Arial" w:cs="Arial" w:eastAsia="Arial" w:hAnsi="Arial"/>
          <w:sz w:val="18"/>
          <w:szCs w:val="18"/>
          <w:color w:val="auto"/>
        </w:rPr>
      </w:pPr>
    </w:p>
    <w:p>
      <w:pPr>
        <w:ind w:left="780" w:right="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named executive officer’s pro-rated target annual cash incentive award for the fiscal year in which the termination date occurs, reduced by any amounts paid under the terms of the applicable equity compensation policy for the same period of time;</w:t>
      </w:r>
    </w:p>
    <w:p>
      <w:pPr>
        <w:spacing w:after="0" w:line="67" w:lineRule="exact"/>
        <w:rPr>
          <w:rFonts w:ascii="Arial" w:cs="Arial" w:eastAsia="Arial" w:hAnsi="Arial"/>
          <w:sz w:val="18"/>
          <w:szCs w:val="18"/>
          <w:color w:val="auto"/>
        </w:rPr>
      </w:pPr>
    </w:p>
    <w:p>
      <w:pPr>
        <w:jc w:val="both"/>
        <w:ind w:left="780" w:right="300" w:hanging="326"/>
        <w:spacing w:after="0" w:line="23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named executive officer immediately prior to his or her termination date to obtain such coverage; and</w:t>
      </w:r>
    </w:p>
    <w:p>
      <w:pPr>
        <w:spacing w:after="0" w:line="66"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104"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named executive officer must execute a release of claims against us. If a change in control, as generally defined below, has not occurred, our Board may terminate our CIC policy after two years’ advance notice of such termination.</w:t>
      </w:r>
    </w:p>
    <w:p>
      <w:pPr>
        <w:spacing w:after="0" w:line="95" w:lineRule="exact"/>
        <w:rPr>
          <w:sz w:val="20"/>
          <w:szCs w:val="20"/>
          <w:color w:val="auto"/>
        </w:rPr>
      </w:pPr>
    </w:p>
    <w:p>
      <w:pPr>
        <w:jc w:val="both"/>
        <w:ind w:right="380" w:firstLine="456"/>
        <w:spacing w:after="0"/>
        <w:rPr>
          <w:sz w:val="20"/>
          <w:szCs w:val="20"/>
          <w:color w:val="auto"/>
        </w:rPr>
      </w:pPr>
      <w:r>
        <w:rPr>
          <w:rFonts w:ascii="Arial" w:cs="Arial" w:eastAsia="Arial" w:hAnsi="Arial"/>
          <w:sz w:val="18"/>
          <w:szCs w:val="18"/>
          <w:color w:val="auto"/>
        </w:rPr>
        <w:t>In addition to our CIC policy, our Amended and Restated 2010 Plan and The Toro Company 2000 Stock Option Plan, as amended, or 2000 Plan, as applicable, provide that if we experience a change in control, as generally defined below, whether or not there is a qualifying termination of employment:</w:t>
      </w:r>
    </w:p>
    <w:p>
      <w:pPr>
        <w:spacing w:after="0" w:line="108" w:lineRule="exact"/>
        <w:rPr>
          <w:sz w:val="20"/>
          <w:szCs w:val="20"/>
          <w:color w:val="auto"/>
        </w:rPr>
      </w:pPr>
    </w:p>
    <w:p>
      <w:pPr>
        <w:ind w:left="780" w:right="12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pursuant to the Amended and Restated 2010 Plan, remain exercisable for their remaining term following the change in control, or, pursuant to the 2000 Plan, remain exercisable for three years (provided that in no event will three years extend beyond the remaining term of the option);</w:t>
      </w:r>
    </w:p>
    <w:p>
      <w:pPr>
        <w:spacing w:after="0" w:line="67" w:lineRule="exact"/>
        <w:rPr>
          <w:rFonts w:ascii="Arial" w:cs="Arial" w:eastAsia="Arial" w:hAnsi="Arial"/>
          <w:sz w:val="18"/>
          <w:szCs w:val="18"/>
          <w:color w:val="auto"/>
        </w:rPr>
      </w:pPr>
    </w:p>
    <w:p>
      <w:pPr>
        <w:ind w:left="780" w:right="340" w:hanging="326"/>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61"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at maximum levels of performance in shares of our common stock, provided, however, that the CIC policy provides that for executive officers covered by the CIC policy, any such performance share awards are payable at target (not in full or at maximum); and</w:t>
      </w:r>
    </w:p>
    <w:p>
      <w:pPr>
        <w:spacing w:after="0" w:line="66" w:lineRule="exact"/>
        <w:rPr>
          <w:rFonts w:ascii="Arial" w:cs="Arial" w:eastAsia="Arial" w:hAnsi="Arial"/>
          <w:sz w:val="18"/>
          <w:szCs w:val="18"/>
          <w:color w:val="auto"/>
        </w:rPr>
      </w:pPr>
    </w:p>
    <w:p>
      <w:pPr>
        <w:ind w:left="780" w:hanging="326"/>
        <w:spacing w:after="0" w:line="24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immediately vest and become non-forfeitable or issuable, as the case may be.</w:t>
      </w:r>
    </w:p>
    <w:p>
      <w:pPr>
        <w:spacing w:after="0" w:line="8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 performance share award in an amount equal to the excess, if any, between the consideration received by shareholders of our Company for shares of our Company in connection with the change in control and the exercise 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purchase price, if any, of the option, restricted stock, restricted stock unit award or performance share award, multiplied by the number of shares subject to such option or award. Our Amended and Restated 2010 Plan and 2000 Plan do not provide a “gross-up” for 280G excise tax, but do provide for a reduction of payments if such payments would result in lower after-tax income taking into consideration the 280G excise tax.</w:t>
      </w:r>
    </w:p>
    <w:p>
      <w:pPr>
        <w:spacing w:after="0" w:line="94" w:lineRule="exact"/>
        <w:rPr>
          <w:sz w:val="20"/>
          <w:szCs w:val="20"/>
          <w:color w:val="auto"/>
        </w:rPr>
      </w:pPr>
    </w:p>
    <w:p>
      <w:pPr>
        <w:ind w:right="500" w:firstLine="456"/>
        <w:spacing w:after="0" w:line="246" w:lineRule="auto"/>
        <w:rPr>
          <w:sz w:val="20"/>
          <w:szCs w:val="20"/>
          <w:color w:val="auto"/>
        </w:rPr>
      </w:pPr>
      <w:r>
        <w:rPr>
          <w:rFonts w:ascii="Arial" w:cs="Arial" w:eastAsia="Arial" w:hAnsi="Arial"/>
          <w:sz w:val="18"/>
          <w:szCs w:val="18"/>
          <w:color w:val="auto"/>
        </w:rPr>
        <w:t>For purposes of our CIC policy, Amended and Restated 2010 Plan, 2000 Plan and 2000 Directors Stock Plan, and subject to limited exceptions, a “change in control” occurs if:</w:t>
      </w:r>
    </w:p>
    <w:p>
      <w:pPr>
        <w:spacing w:after="0" w:line="102" w:lineRule="exact"/>
        <w:rPr>
          <w:sz w:val="20"/>
          <w:szCs w:val="20"/>
          <w:color w:val="auto"/>
        </w:rPr>
      </w:pPr>
    </w:p>
    <w:p>
      <w:pPr>
        <w:ind w:left="780" w:right="3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another person becomes the beneficial owner of a specified percentage of our then-outstanding common stock or the combined voting power of our then-outstanding voting stock, which is 20% under the Amended and Restated 2010 Plan and CIC policy and 15% under the 2000 Plan and 2000 Directors Stock Plan;</w:t>
      </w:r>
    </w:p>
    <w:p>
      <w:pPr>
        <w:spacing w:after="0" w:line="67"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76" w:lineRule="exact"/>
        <w:rPr>
          <w:rFonts w:ascii="Arial" w:cs="Arial" w:eastAsia="Arial" w:hAnsi="Arial"/>
          <w:sz w:val="18"/>
          <w:szCs w:val="18"/>
          <w:color w:val="auto"/>
        </w:rPr>
      </w:pPr>
    </w:p>
    <w:p>
      <w:pPr>
        <w:jc w:val="both"/>
        <w:ind w:left="780" w:hanging="326"/>
        <w:spacing w:after="0" w:line="23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66"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Additionally, under our nonqualified deferred compensation and retirement plans, upon the occurrence of a change in control, we must transfer 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73" w:lineRule="exact"/>
        <w:rPr>
          <w:sz w:val="20"/>
          <w:szCs w:val="20"/>
          <w:color w:val="auto"/>
        </w:rPr>
      </w:pPr>
    </w:p>
    <w:p>
      <w:pPr>
        <w:ind w:right="60" w:firstLine="456"/>
        <w:spacing w:after="0" w:line="242" w:lineRule="auto"/>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 calculated (i) for each named executive officer as if the termination or change in control occurred on October 31, 2017, the last business day of our 2017 fiscal year; and (ii) using a per share value of $62.85, which represents the closing price of our common stock, as reported on the NYSE, on October 31, 2017. Material assumptions used in calculating the estimated payments and benefits are described in footnotes to the table.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shd w:val="clear" w:color="auto" w:fill="C00000"/>
          </w:tcPr>
          <w:p>
            <w:pPr>
              <w:spacing w:after="0"/>
              <w:rPr>
                <w:sz w:val="12"/>
                <w:szCs w:val="12"/>
                <w:color w:val="auto"/>
              </w:rPr>
            </w:pPr>
          </w:p>
        </w:tc>
        <w:tc>
          <w:tcPr>
            <w:tcW w:w="80" w:type="dxa"/>
            <w:vAlign w:val="bottom"/>
            <w:shd w:val="clear" w:color="auto" w:fill="C00000"/>
          </w:tcPr>
          <w:p>
            <w:pPr>
              <w:spacing w:after="0"/>
              <w:rPr>
                <w:sz w:val="12"/>
                <w:szCs w:val="12"/>
                <w:color w:val="auto"/>
              </w:rPr>
            </w:pPr>
          </w:p>
        </w:tc>
        <w:tc>
          <w:tcPr>
            <w:tcW w:w="600" w:type="dxa"/>
            <w:vAlign w:val="bottom"/>
            <w:shd w:val="clear" w:color="auto" w:fill="C00000"/>
          </w:tcPr>
          <w:p>
            <w:pPr>
              <w:spacing w:after="0"/>
              <w:rPr>
                <w:sz w:val="12"/>
                <w:szCs w:val="12"/>
                <w:color w:val="auto"/>
              </w:rPr>
            </w:pPr>
          </w:p>
        </w:tc>
        <w:tc>
          <w:tcPr>
            <w:tcW w:w="420" w:type="dxa"/>
            <w:vAlign w:val="bottom"/>
            <w:shd w:val="clear" w:color="auto" w:fill="C00000"/>
          </w:tcPr>
          <w:p>
            <w:pPr>
              <w:spacing w:after="0"/>
              <w:rPr>
                <w:sz w:val="12"/>
                <w:szCs w:val="12"/>
                <w:color w:val="auto"/>
              </w:rPr>
            </w:pPr>
          </w:p>
        </w:tc>
        <w:tc>
          <w:tcPr>
            <w:tcW w:w="140" w:type="dxa"/>
            <w:vAlign w:val="bottom"/>
            <w:shd w:val="clear" w:color="auto" w:fill="C00000"/>
          </w:tcPr>
          <w:p>
            <w:pPr>
              <w:spacing w:after="0"/>
              <w:rPr>
                <w:sz w:val="12"/>
                <w:szCs w:val="12"/>
                <w:color w:val="auto"/>
              </w:rPr>
            </w:pPr>
          </w:p>
        </w:tc>
        <w:tc>
          <w:tcPr>
            <w:tcW w:w="860" w:type="dxa"/>
            <w:vAlign w:val="bottom"/>
            <w:shd w:val="clear" w:color="auto" w:fill="C00000"/>
          </w:tcPr>
          <w:p>
            <w:pPr>
              <w:spacing w:after="0"/>
              <w:rPr>
                <w:sz w:val="12"/>
                <w:szCs w:val="12"/>
                <w:color w:val="auto"/>
              </w:rPr>
            </w:pPr>
          </w:p>
        </w:tc>
        <w:tc>
          <w:tcPr>
            <w:tcW w:w="840" w:type="dxa"/>
            <w:vAlign w:val="bottom"/>
            <w:shd w:val="clear" w:color="auto" w:fill="C00000"/>
          </w:tcPr>
          <w:p>
            <w:pPr>
              <w:spacing w:after="0"/>
              <w:rPr>
                <w:sz w:val="12"/>
                <w:szCs w:val="12"/>
                <w:color w:val="auto"/>
              </w:rPr>
            </w:pPr>
          </w:p>
        </w:tc>
        <w:tc>
          <w:tcPr>
            <w:tcW w:w="840" w:type="dxa"/>
            <w:vAlign w:val="bottom"/>
            <w:shd w:val="clear" w:color="auto" w:fill="C00000"/>
          </w:tcPr>
          <w:p>
            <w:pPr>
              <w:spacing w:after="0"/>
              <w:rPr>
                <w:sz w:val="12"/>
                <w:szCs w:val="12"/>
                <w:color w:val="auto"/>
              </w:rPr>
            </w:pPr>
          </w:p>
        </w:tc>
        <w:tc>
          <w:tcPr>
            <w:tcW w:w="160" w:type="dxa"/>
            <w:vAlign w:val="bottom"/>
            <w:shd w:val="clear" w:color="auto" w:fill="C00000"/>
          </w:tcPr>
          <w:p>
            <w:pPr>
              <w:spacing w:after="0"/>
              <w:rPr>
                <w:sz w:val="12"/>
                <w:szCs w:val="12"/>
                <w:color w:val="auto"/>
              </w:rPr>
            </w:pPr>
          </w:p>
        </w:tc>
        <w:tc>
          <w:tcPr>
            <w:tcW w:w="2200" w:type="dxa"/>
            <w:vAlign w:val="bottom"/>
            <w:gridSpan w:val="4"/>
            <w:shd w:val="clear" w:color="auto" w:fill="C00000"/>
          </w:tcPr>
          <w:p>
            <w:pPr>
              <w:ind w:left="480"/>
              <w:spacing w:after="0"/>
              <w:rPr>
                <w:sz w:val="20"/>
                <w:szCs w:val="20"/>
                <w:color w:val="auto"/>
              </w:rPr>
            </w:pPr>
            <w:r>
              <w:rPr>
                <w:rFonts w:ascii="Arial" w:cs="Arial" w:eastAsia="Arial" w:hAnsi="Arial"/>
                <w:sz w:val="13"/>
                <w:szCs w:val="13"/>
                <w:b w:val="1"/>
                <w:bCs w:val="1"/>
                <w:color w:val="FFFFFF"/>
              </w:rPr>
              <w:t>Change in Control</w:t>
            </w:r>
          </w:p>
        </w:tc>
      </w:tr>
      <w:tr>
        <w:trPr>
          <w:trHeight w:val="127"/>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600" w:type="dxa"/>
            <w:vAlign w:val="bottom"/>
            <w:shd w:val="clear" w:color="auto" w:fill="C00000"/>
          </w:tcPr>
          <w:p>
            <w:pPr>
              <w:spacing w:after="0"/>
              <w:rPr>
                <w:sz w:val="11"/>
                <w:szCs w:val="11"/>
                <w:color w:val="auto"/>
              </w:rPr>
            </w:pPr>
          </w:p>
        </w:tc>
        <w:tc>
          <w:tcPr>
            <w:tcW w:w="420" w:type="dxa"/>
            <w:vAlign w:val="bottom"/>
            <w:shd w:val="clear" w:color="auto" w:fill="C00000"/>
          </w:tcPr>
          <w:p>
            <w:pPr>
              <w:spacing w:after="0"/>
              <w:rPr>
                <w:sz w:val="11"/>
                <w:szCs w:val="11"/>
                <w:color w:val="auto"/>
              </w:rPr>
            </w:pP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840" w:type="dxa"/>
            <w:vAlign w:val="bottom"/>
            <w:shd w:val="clear" w:color="auto" w:fill="C00000"/>
          </w:tcPr>
          <w:p>
            <w:pPr>
              <w:spacing w:after="0"/>
              <w:rPr>
                <w:sz w:val="11"/>
                <w:szCs w:val="11"/>
                <w:color w:val="auto"/>
              </w:rPr>
            </w:pPr>
          </w:p>
        </w:tc>
        <w:tc>
          <w:tcPr>
            <w:tcW w:w="16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1320" w:type="dxa"/>
            <w:vAlign w:val="bottom"/>
            <w:gridSpan w:val="3"/>
            <w:shd w:val="clear" w:color="auto" w:fill="C00000"/>
          </w:tcPr>
          <w:p>
            <w:pPr>
              <w:ind w:left="60"/>
              <w:spacing w:after="0" w:line="127" w:lineRule="exact"/>
              <w:rPr>
                <w:sz w:val="20"/>
                <w:szCs w:val="20"/>
                <w:color w:val="auto"/>
              </w:rPr>
            </w:pPr>
            <w:r>
              <w:rPr>
                <w:rFonts w:ascii="Arial" w:cs="Arial" w:eastAsia="Arial" w:hAnsi="Arial"/>
                <w:sz w:val="13"/>
                <w:szCs w:val="13"/>
                <w:b w:val="1"/>
                <w:bCs w:val="1"/>
                <w:color w:val="FFFFFF"/>
                <w:w w:val="98"/>
              </w:rPr>
              <w:t>Termination Without</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020" w:type="dxa"/>
            <w:vAlign w:val="bottom"/>
            <w:gridSpan w:val="2"/>
            <w:shd w:val="clear" w:color="auto" w:fill="C00000"/>
          </w:tcPr>
          <w:p>
            <w:pPr>
              <w:jc w:val="right"/>
              <w:ind w:right="90"/>
              <w:spacing w:after="0" w:line="135" w:lineRule="exact"/>
              <w:rPr>
                <w:sz w:val="20"/>
                <w:szCs w:val="20"/>
                <w:color w:val="auto"/>
              </w:rPr>
            </w:pPr>
            <w:r>
              <w:rPr>
                <w:rFonts w:ascii="Arial" w:cs="Arial" w:eastAsia="Arial" w:hAnsi="Arial"/>
                <w:sz w:val="13"/>
                <w:szCs w:val="13"/>
                <w:b w:val="1"/>
                <w:bCs w:val="1"/>
                <w:color w:val="FFFFFF"/>
              </w:rPr>
              <w:t>Voluntary</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spacing w:after="0"/>
              <w:rPr>
                <w:sz w:val="11"/>
                <w:szCs w:val="11"/>
                <w:color w:val="auto"/>
              </w:rPr>
            </w:pP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Involuntary</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Termination</w:t>
            </w:r>
          </w:p>
        </w:tc>
        <w:tc>
          <w:tcPr>
            <w:tcW w:w="160" w:type="dxa"/>
            <w:vAlign w:val="bottom"/>
            <w:shd w:val="clear" w:color="auto" w:fill="C00000"/>
          </w:tcPr>
          <w:p>
            <w:pPr>
              <w:spacing w:after="0"/>
              <w:rPr>
                <w:sz w:val="11"/>
                <w:szCs w:val="11"/>
                <w:color w:val="auto"/>
              </w:rPr>
            </w:pPr>
          </w:p>
        </w:tc>
        <w:tc>
          <w:tcPr>
            <w:tcW w:w="880" w:type="dxa"/>
            <w:vAlign w:val="bottom"/>
            <w:shd w:val="clear" w:color="auto" w:fill="C00000"/>
          </w:tcPr>
          <w:p>
            <w:pPr>
              <w:spacing w:after="0"/>
              <w:rPr>
                <w:sz w:val="11"/>
                <w:szCs w:val="11"/>
                <w:color w:val="auto"/>
              </w:rPr>
            </w:pPr>
          </w:p>
        </w:tc>
        <w:tc>
          <w:tcPr>
            <w:tcW w:w="1320" w:type="dxa"/>
            <w:vAlign w:val="bottom"/>
            <w:gridSpan w:val="3"/>
            <w:shd w:val="clear" w:color="auto" w:fill="C00000"/>
          </w:tcPr>
          <w:p>
            <w:pPr>
              <w:ind w:left="60"/>
              <w:spacing w:after="0" w:line="135" w:lineRule="exact"/>
              <w:rPr>
                <w:sz w:val="20"/>
                <w:szCs w:val="20"/>
                <w:color w:val="auto"/>
              </w:rPr>
            </w:pPr>
            <w:r>
              <w:rPr>
                <w:rFonts w:ascii="Arial" w:cs="Arial" w:eastAsia="Arial" w:hAnsi="Arial"/>
                <w:sz w:val="13"/>
                <w:szCs w:val="13"/>
                <w:b w:val="1"/>
                <w:bCs w:val="1"/>
                <w:color w:val="FFFFFF"/>
                <w:w w:val="98"/>
              </w:rPr>
              <w:t>Cause by Toro or by</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020" w:type="dxa"/>
            <w:vAlign w:val="bottom"/>
            <w:gridSpan w:val="2"/>
            <w:shd w:val="clear" w:color="auto" w:fill="C00000"/>
          </w:tcPr>
          <w:p>
            <w:pPr>
              <w:jc w:val="right"/>
              <w:ind w:right="10"/>
              <w:spacing w:after="0" w:line="135" w:lineRule="exact"/>
              <w:rPr>
                <w:sz w:val="20"/>
                <w:szCs w:val="20"/>
                <w:color w:val="auto"/>
              </w:rPr>
            </w:pPr>
            <w:r>
              <w:rPr>
                <w:rFonts w:ascii="Arial" w:cs="Arial" w:eastAsia="Arial" w:hAnsi="Arial"/>
                <w:sz w:val="13"/>
                <w:szCs w:val="13"/>
                <w:b w:val="1"/>
                <w:bCs w:val="1"/>
                <w:color w:val="FFFFFF"/>
              </w:rPr>
              <w:t>Resignation/</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72"/>
              <w:spacing w:after="0" w:line="135" w:lineRule="exact"/>
              <w:rPr>
                <w:sz w:val="20"/>
                <w:szCs w:val="20"/>
                <w:color w:val="auto"/>
              </w:rPr>
            </w:pPr>
            <w:r>
              <w:rPr>
                <w:rFonts w:ascii="Arial" w:cs="Arial" w:eastAsia="Arial" w:hAnsi="Arial"/>
                <w:sz w:val="13"/>
                <w:szCs w:val="13"/>
                <w:b w:val="1"/>
                <w:bCs w:val="1"/>
                <w:color w:val="FFFFFF"/>
                <w:w w:val="96"/>
              </w:rPr>
              <w:t>Disability or</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4"/>
              </w:rPr>
              <w:t>Termination</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by Toro for</w:t>
            </w:r>
          </w:p>
        </w:tc>
        <w:tc>
          <w:tcPr>
            <w:tcW w:w="1040" w:type="dxa"/>
            <w:vAlign w:val="bottom"/>
            <w:gridSpan w:val="2"/>
            <w:shd w:val="clear" w:color="auto" w:fill="C00000"/>
          </w:tcPr>
          <w:p>
            <w:pPr>
              <w:ind w:left="60"/>
              <w:spacing w:after="0" w:line="135" w:lineRule="exact"/>
              <w:rPr>
                <w:sz w:val="20"/>
                <w:szCs w:val="20"/>
                <w:color w:val="auto"/>
              </w:rPr>
            </w:pPr>
            <w:r>
              <w:rPr>
                <w:rFonts w:ascii="Arial" w:cs="Arial" w:eastAsia="Arial" w:hAnsi="Arial"/>
                <w:sz w:val="13"/>
                <w:szCs w:val="13"/>
                <w:b w:val="1"/>
                <w:bCs w:val="1"/>
                <w:color w:val="FFFFFF"/>
              </w:rPr>
              <w:t>No Termination</w:t>
            </w:r>
          </w:p>
        </w:tc>
        <w:tc>
          <w:tcPr>
            <w:tcW w:w="1320" w:type="dxa"/>
            <w:vAlign w:val="bottom"/>
            <w:gridSpan w:val="3"/>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Executive for Good</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020" w:type="dxa"/>
            <w:vAlign w:val="bottom"/>
            <w:gridSpan w:val="2"/>
            <w:shd w:val="clear" w:color="auto" w:fill="C00000"/>
          </w:tcPr>
          <w:p>
            <w:pPr>
              <w:ind w:left="180"/>
              <w:spacing w:after="0" w:line="135" w:lineRule="exact"/>
              <w:rPr>
                <w:sz w:val="20"/>
                <w:szCs w:val="20"/>
                <w:color w:val="auto"/>
              </w:rPr>
            </w:pPr>
            <w:r>
              <w:rPr>
                <w:rFonts w:ascii="Arial" w:cs="Arial" w:eastAsia="Arial" w:hAnsi="Arial"/>
                <w:sz w:val="13"/>
                <w:szCs w:val="13"/>
                <w:b w:val="1"/>
                <w:bCs w:val="1"/>
                <w:color w:val="FFFFFF"/>
              </w:rPr>
              <w:t>Retirement</w:t>
            </w:r>
            <w:r>
              <w:rPr>
                <w:rFonts w:ascii="Arial" w:cs="Arial" w:eastAsia="Arial" w:hAnsi="Arial"/>
                <w:sz w:val="10"/>
                <w:szCs w:val="10"/>
                <w:b w:val="1"/>
                <w:bCs w:val="1"/>
                <w:color w:val="FFFFFF"/>
              </w:rPr>
              <w:t>(1)</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52"/>
              <w:spacing w:after="0" w:line="135" w:lineRule="exact"/>
              <w:rPr>
                <w:sz w:val="20"/>
                <w:szCs w:val="20"/>
                <w:color w:val="auto"/>
              </w:rPr>
            </w:pPr>
            <w:r>
              <w:rPr>
                <w:rFonts w:ascii="Arial" w:cs="Arial" w:eastAsia="Arial" w:hAnsi="Arial"/>
                <w:sz w:val="13"/>
                <w:szCs w:val="13"/>
                <w:b w:val="1"/>
                <w:bCs w:val="1"/>
                <w:color w:val="FFFFFF"/>
                <w:w w:val="94"/>
              </w:rPr>
              <w:t>Death</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by Toro</w:t>
            </w:r>
          </w:p>
        </w:tc>
        <w:tc>
          <w:tcPr>
            <w:tcW w:w="84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7"/>
              </w:rPr>
              <w:t>Cause</w:t>
            </w:r>
          </w:p>
        </w:tc>
        <w:tc>
          <w:tcPr>
            <w:tcW w:w="160" w:type="dxa"/>
            <w:vAlign w:val="bottom"/>
            <w:shd w:val="clear" w:color="auto" w:fill="C00000"/>
          </w:tcPr>
          <w:p>
            <w:pPr>
              <w:spacing w:after="0"/>
              <w:rPr>
                <w:sz w:val="11"/>
                <w:szCs w:val="11"/>
                <w:color w:val="auto"/>
              </w:rPr>
            </w:pPr>
          </w:p>
        </w:tc>
        <w:tc>
          <w:tcPr>
            <w:tcW w:w="880" w:type="dxa"/>
            <w:vAlign w:val="bottom"/>
            <w:shd w:val="clear" w:color="auto" w:fill="C00000"/>
          </w:tcPr>
          <w:p>
            <w:pPr>
              <w:jc w:val="right"/>
              <w:ind w:right="272"/>
              <w:spacing w:after="0" w:line="135" w:lineRule="exact"/>
              <w:rPr>
                <w:sz w:val="20"/>
                <w:szCs w:val="20"/>
                <w:color w:val="auto"/>
              </w:rPr>
            </w:pPr>
            <w:r>
              <w:rPr>
                <w:rFonts w:ascii="Arial" w:cs="Arial" w:eastAsia="Arial" w:hAnsi="Arial"/>
                <w:sz w:val="13"/>
                <w:szCs w:val="13"/>
                <w:b w:val="1"/>
                <w:bCs w:val="1"/>
                <w:color w:val="FFFFFF"/>
              </w:rPr>
              <w:t>Event</w:t>
            </w:r>
          </w:p>
        </w:tc>
        <w:tc>
          <w:tcPr>
            <w:tcW w:w="300" w:type="dxa"/>
            <w:vAlign w:val="bottom"/>
            <w:shd w:val="clear" w:color="auto" w:fill="C00000"/>
          </w:tcPr>
          <w:p>
            <w:pPr>
              <w:spacing w:after="0"/>
              <w:rPr>
                <w:sz w:val="11"/>
                <w:szCs w:val="11"/>
                <w:color w:val="auto"/>
              </w:rPr>
            </w:pPr>
          </w:p>
        </w:tc>
        <w:tc>
          <w:tcPr>
            <w:tcW w:w="1020" w:type="dxa"/>
            <w:vAlign w:val="bottom"/>
            <w:gridSpan w:val="2"/>
            <w:shd w:val="clear" w:color="auto" w:fill="C00000"/>
          </w:tcPr>
          <w:p>
            <w:pPr>
              <w:jc w:val="center"/>
              <w:ind w:right="280"/>
              <w:spacing w:after="0" w:line="135" w:lineRule="exact"/>
              <w:rPr>
                <w:sz w:val="20"/>
                <w:szCs w:val="20"/>
                <w:color w:val="auto"/>
              </w:rPr>
            </w:pPr>
            <w:r>
              <w:rPr>
                <w:rFonts w:ascii="Arial" w:cs="Arial" w:eastAsia="Arial" w:hAnsi="Arial"/>
                <w:sz w:val="13"/>
                <w:szCs w:val="13"/>
                <w:b w:val="1"/>
                <w:bCs w:val="1"/>
                <w:color w:val="FFFFFF"/>
                <w:w w:val="97"/>
              </w:rPr>
              <w:t>Reason</w:t>
            </w:r>
          </w:p>
        </w:tc>
      </w:tr>
      <w:tr>
        <w:trPr>
          <w:trHeight w:val="171"/>
        </w:trPr>
        <w:tc>
          <w:tcPr>
            <w:tcW w:w="5280" w:type="dxa"/>
            <w:vAlign w:val="bottom"/>
            <w:shd w:val="clear" w:color="auto" w:fill="C00000"/>
          </w:tcPr>
          <w:p>
            <w:pPr>
              <w:ind w:left="2040"/>
              <w:spacing w:after="0"/>
              <w:rPr>
                <w:sz w:val="20"/>
                <w:szCs w:val="20"/>
                <w:color w:val="auto"/>
              </w:rPr>
            </w:pPr>
            <w:r>
              <w:rPr>
                <w:rFonts w:ascii="Arial" w:cs="Arial" w:eastAsia="Arial" w:hAnsi="Arial"/>
                <w:sz w:val="13"/>
                <w:szCs w:val="13"/>
                <w:b w:val="1"/>
                <w:bCs w:val="1"/>
                <w:color w:val="FFFFFF"/>
              </w:rPr>
              <w:t>Name/Payment Type</w:t>
            </w:r>
          </w:p>
        </w:tc>
        <w:tc>
          <w:tcPr>
            <w:tcW w:w="680" w:type="dxa"/>
            <w:vAlign w:val="bottom"/>
            <w:gridSpan w:val="2"/>
            <w:shd w:val="clear" w:color="auto" w:fill="C00000"/>
          </w:tcPr>
          <w:p>
            <w:pPr>
              <w:jc w:val="right"/>
              <w:spacing w:after="0"/>
              <w:rPr>
                <w:sz w:val="20"/>
                <w:szCs w:val="20"/>
                <w:color w:val="auto"/>
              </w:rPr>
            </w:pPr>
            <w:r>
              <w:rPr>
                <w:rFonts w:ascii="Arial" w:cs="Arial" w:eastAsia="Arial" w:hAnsi="Arial"/>
                <w:sz w:val="13"/>
                <w:szCs w:val="13"/>
                <w:b w:val="1"/>
                <w:bCs w:val="1"/>
                <w:color w:val="FFFFFF"/>
              </w:rPr>
              <w:t>($</w:t>
            </w:r>
          </w:p>
        </w:tc>
        <w:tc>
          <w:tcPr>
            <w:tcW w:w="420" w:type="dxa"/>
            <w:vAlign w:val="bottom"/>
            <w:shd w:val="clear" w:color="auto" w:fill="C00000"/>
          </w:tcPr>
          <w:p>
            <w:pPr>
              <w:jc w:val="right"/>
              <w:ind w:right="310"/>
              <w:spacing w:after="0"/>
              <w:rPr>
                <w:sz w:val="20"/>
                <w:szCs w:val="20"/>
                <w:color w:val="auto"/>
              </w:rPr>
            </w:pPr>
            <w:r>
              <w:rPr>
                <w:rFonts w:ascii="Arial" w:cs="Arial" w:eastAsia="Arial" w:hAnsi="Arial"/>
                <w:sz w:val="8"/>
                <w:szCs w:val="8"/>
                <w:b w:val="1"/>
                <w:bCs w:val="1"/>
                <w:color w:val="FFFFFF"/>
                <w:w w:val="73"/>
              </w:rPr>
              <w:t>)</w:t>
            </w:r>
          </w:p>
        </w:tc>
        <w:tc>
          <w:tcPr>
            <w:tcW w:w="140" w:type="dxa"/>
            <w:vAlign w:val="bottom"/>
            <w:shd w:val="clear" w:color="auto" w:fill="C00000"/>
          </w:tcPr>
          <w:p>
            <w:pPr>
              <w:spacing w:after="0"/>
              <w:rPr>
                <w:sz w:val="14"/>
                <w:szCs w:val="14"/>
                <w:color w:val="auto"/>
              </w:rPr>
            </w:pPr>
          </w:p>
        </w:tc>
        <w:tc>
          <w:tcPr>
            <w:tcW w:w="860" w:type="dxa"/>
            <w:vAlign w:val="bottom"/>
            <w:shd w:val="clear" w:color="auto" w:fill="C00000"/>
          </w:tcPr>
          <w:p>
            <w:pPr>
              <w:jc w:val="center"/>
              <w:ind w:right="52"/>
              <w:spacing w:after="0"/>
              <w:rPr>
                <w:sz w:val="20"/>
                <w:szCs w:val="20"/>
                <w:color w:val="auto"/>
              </w:rPr>
            </w:pPr>
            <w:r>
              <w:rPr>
                <w:rFonts w:ascii="Arial" w:cs="Arial" w:eastAsia="Arial" w:hAnsi="Arial"/>
                <w:sz w:val="13"/>
                <w:szCs w:val="13"/>
                <w:b w:val="1"/>
                <w:bCs w:val="1"/>
                <w:color w:val="FFFFFF"/>
                <w:w w:val="87"/>
              </w:rPr>
              <w:t>($)</w:t>
            </w:r>
          </w:p>
        </w:tc>
        <w:tc>
          <w:tcPr>
            <w:tcW w:w="8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84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160" w:type="dxa"/>
            <w:vAlign w:val="bottom"/>
            <w:shd w:val="clear" w:color="auto" w:fill="C00000"/>
          </w:tcPr>
          <w:p>
            <w:pPr>
              <w:spacing w:after="0"/>
              <w:rPr>
                <w:sz w:val="14"/>
                <w:szCs w:val="14"/>
                <w:color w:val="auto"/>
              </w:rPr>
            </w:pPr>
          </w:p>
        </w:tc>
        <w:tc>
          <w:tcPr>
            <w:tcW w:w="880" w:type="dxa"/>
            <w:vAlign w:val="bottom"/>
            <w:shd w:val="clear" w:color="auto" w:fill="C00000"/>
          </w:tcPr>
          <w:p>
            <w:pPr>
              <w:jc w:val="right"/>
              <w:ind w:right="372"/>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C00000"/>
          </w:tcPr>
          <w:p>
            <w:pPr>
              <w:spacing w:after="0"/>
              <w:rPr>
                <w:sz w:val="14"/>
                <w:szCs w:val="14"/>
                <w:color w:val="auto"/>
              </w:rPr>
            </w:pPr>
          </w:p>
        </w:tc>
        <w:tc>
          <w:tcPr>
            <w:tcW w:w="980" w:type="dxa"/>
            <w:vAlign w:val="bottom"/>
            <w:shd w:val="clear" w:color="auto" w:fill="C00000"/>
          </w:tcPr>
          <w:p>
            <w:pPr>
              <w:jc w:val="center"/>
              <w:ind w:right="171"/>
              <w:spacing w:after="0"/>
              <w:rPr>
                <w:sz w:val="20"/>
                <w:szCs w:val="20"/>
                <w:color w:val="auto"/>
              </w:rPr>
            </w:pPr>
            <w:r>
              <w:rPr>
                <w:rFonts w:ascii="Arial" w:cs="Arial" w:eastAsia="Arial" w:hAnsi="Arial"/>
                <w:sz w:val="13"/>
                <w:szCs w:val="13"/>
                <w:b w:val="1"/>
                <w:bCs w:val="1"/>
                <w:color w:val="FFFFFF"/>
                <w:w w:val="87"/>
              </w:rPr>
              <w:t>($)</w:t>
            </w:r>
          </w:p>
        </w:tc>
        <w:tc>
          <w:tcPr>
            <w:tcW w:w="40" w:type="dxa"/>
            <w:vAlign w:val="bottom"/>
            <w:shd w:val="clear" w:color="auto" w:fill="C00000"/>
          </w:tcPr>
          <w:p>
            <w:pPr>
              <w:spacing w:after="0"/>
              <w:rPr>
                <w:sz w:val="14"/>
                <w:szCs w:val="14"/>
                <w:color w:val="auto"/>
              </w:rPr>
            </w:pPr>
          </w:p>
        </w:tc>
      </w:tr>
      <w:tr>
        <w:trPr>
          <w:trHeight w:val="159"/>
        </w:trPr>
        <w:tc>
          <w:tcPr>
            <w:tcW w:w="5280" w:type="dxa"/>
            <w:vAlign w:val="bottom"/>
          </w:tcPr>
          <w:p>
            <w:pPr>
              <w:spacing w:after="0" w:line="159" w:lineRule="exact"/>
              <w:rPr>
                <w:sz w:val="20"/>
                <w:szCs w:val="20"/>
                <w:color w:val="auto"/>
              </w:rPr>
            </w:pPr>
            <w:r>
              <w:rPr>
                <w:rFonts w:ascii="Arial" w:cs="Arial" w:eastAsia="Arial" w:hAnsi="Arial"/>
                <w:sz w:val="14"/>
                <w:szCs w:val="14"/>
                <w:color w:val="auto"/>
              </w:rPr>
              <w:t>Richard M. Olson</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4,650,000</w:t>
            </w:r>
          </w:p>
        </w:tc>
        <w:tc>
          <w:tcPr>
            <w:tcW w:w="40" w:type="dxa"/>
            <w:vAlign w:val="bottom"/>
          </w:tcPr>
          <w:p>
            <w:pPr>
              <w:spacing w:after="0"/>
              <w:rPr>
                <w:sz w:val="14"/>
                <w:szCs w:val="14"/>
                <w:color w:val="auto"/>
              </w:rPr>
            </w:pP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1,674,577</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1,674,577</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1,674,577</w:t>
            </w:r>
          </w:p>
        </w:tc>
        <w:tc>
          <w:tcPr>
            <w:tcW w:w="40" w:type="dxa"/>
            <w:vAlign w:val="bottom"/>
          </w:tcPr>
          <w:p>
            <w:pPr>
              <w:spacing w:after="0"/>
              <w:rPr>
                <w:sz w:val="14"/>
                <w:szCs w:val="14"/>
                <w:color w:val="auto"/>
              </w:rPr>
            </w:pP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Accelerated Performance Share Award Payouts</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1"/>
                <w:szCs w:val="11"/>
                <w:color w:val="auto"/>
              </w:rPr>
              <w:t>1,367,176</w:t>
            </w:r>
            <w:r>
              <w:rPr>
                <w:rFonts w:ascii="Arial" w:cs="Arial" w:eastAsia="Arial" w:hAnsi="Arial"/>
                <w:sz w:val="18"/>
                <w:szCs w:val="18"/>
                <w:color w:val="auto"/>
                <w:vertAlign w:val="superscript"/>
              </w:rPr>
              <w:t>(4)</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62" w:lineRule="exact"/>
              <w:rPr>
                <w:sz w:val="20"/>
                <w:szCs w:val="20"/>
                <w:color w:val="auto"/>
              </w:rPr>
            </w:pPr>
            <w:r>
              <w:rPr>
                <w:rFonts w:ascii="Arial" w:cs="Arial" w:eastAsia="Arial" w:hAnsi="Arial"/>
                <w:sz w:val="11"/>
                <w:szCs w:val="11"/>
                <w:color w:val="auto"/>
              </w:rPr>
              <w:t>2,583,135</w:t>
            </w:r>
            <w:r>
              <w:rPr>
                <w:rFonts w:ascii="Arial" w:cs="Arial" w:eastAsia="Arial" w:hAnsi="Arial"/>
                <w:sz w:val="18"/>
                <w:szCs w:val="18"/>
                <w:color w:val="auto"/>
                <w:vertAlign w:val="superscript"/>
              </w:rPr>
              <w:t>(5)</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62" w:lineRule="exact"/>
              <w:rPr>
                <w:sz w:val="20"/>
                <w:szCs w:val="20"/>
                <w:color w:val="auto"/>
              </w:rPr>
            </w:pPr>
            <w:r>
              <w:rPr>
                <w:rFonts w:ascii="Arial" w:cs="Arial" w:eastAsia="Arial" w:hAnsi="Arial"/>
                <w:sz w:val="11"/>
                <w:szCs w:val="11"/>
                <w:color w:val="auto"/>
              </w:rPr>
              <w:t>2,583,135</w:t>
            </w:r>
            <w:r>
              <w:rPr>
                <w:rFonts w:ascii="Arial" w:cs="Arial" w:eastAsia="Arial" w:hAnsi="Arial"/>
                <w:sz w:val="18"/>
                <w:szCs w:val="18"/>
                <w:color w:val="auto"/>
                <w:vertAlign w:val="superscript"/>
              </w:rPr>
              <w:t>(5)</w:t>
            </w: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58,722</w:t>
            </w:r>
          </w:p>
        </w:tc>
      </w:tr>
      <w:tr>
        <w:trPr>
          <w:trHeight w:val="165"/>
        </w:trPr>
        <w:tc>
          <w:tcPr>
            <w:tcW w:w="5280" w:type="dxa"/>
            <w:vAlign w:val="bottom"/>
          </w:tcPr>
          <w:p>
            <w:pPr>
              <w:ind w:left="160"/>
              <w:spacing w:after="0" w:line="16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19"/>
                <w:szCs w:val="19"/>
                <w:color w:val="auto"/>
                <w:vertAlign w:val="superscript"/>
              </w:rPr>
              <w:t>(7)</w:t>
            </w:r>
          </w:p>
        </w:tc>
        <w:tc>
          <w:tcPr>
            <w:tcW w:w="80" w:type="dxa"/>
            <w:vAlign w:val="bottom"/>
          </w:tcPr>
          <w:p>
            <w:pPr>
              <w:spacing w:after="0"/>
              <w:rPr>
                <w:sz w:val="14"/>
                <w:szCs w:val="14"/>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40" w:type="dxa"/>
            <w:vAlign w:val="bottom"/>
          </w:tcPr>
          <w:p>
            <w:pPr>
              <w:spacing w:after="0"/>
              <w:rPr>
                <w:sz w:val="14"/>
                <w:szCs w:val="14"/>
                <w:color w:val="auto"/>
              </w:rPr>
            </w:pPr>
          </w:p>
        </w:tc>
      </w:tr>
      <w:tr>
        <w:trPr>
          <w:trHeight w:val="169"/>
        </w:trPr>
        <w:tc>
          <w:tcPr>
            <w:tcW w:w="5280" w:type="dxa"/>
            <w:vAlign w:val="bottom"/>
          </w:tcPr>
          <w:p>
            <w:pPr>
              <w:spacing w:after="0"/>
              <w:rPr>
                <w:sz w:val="20"/>
                <w:szCs w:val="20"/>
                <w:color w:val="auto"/>
              </w:rPr>
            </w:pPr>
            <w:r>
              <w:rPr>
                <w:rFonts w:ascii="Arial" w:cs="Arial" w:eastAsia="Arial" w:hAnsi="Arial"/>
                <w:sz w:val="14"/>
                <w:szCs w:val="14"/>
                <w:color w:val="auto"/>
              </w:rPr>
              <w:t>Total</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3,041,753</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4,257,712</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8,996,434</w:t>
            </w:r>
          </w:p>
        </w:tc>
        <w:tc>
          <w:tcPr>
            <w:tcW w:w="40" w:type="dxa"/>
            <w:vAlign w:val="bottom"/>
          </w:tcPr>
          <w:p>
            <w:pPr>
              <w:spacing w:after="0"/>
              <w:rPr>
                <w:sz w:val="14"/>
                <w:szCs w:val="14"/>
                <w:color w:val="auto"/>
              </w:rPr>
            </w:pPr>
          </w:p>
        </w:tc>
      </w:tr>
      <w:tr>
        <w:trPr>
          <w:trHeight w:val="159"/>
        </w:trPr>
        <w:tc>
          <w:tcPr>
            <w:tcW w:w="5280" w:type="dxa"/>
            <w:vAlign w:val="bottom"/>
            <w:shd w:val="clear" w:color="auto" w:fill="D9D9D9"/>
          </w:tcPr>
          <w:p>
            <w:pPr>
              <w:spacing w:after="0" w:line="159" w:lineRule="exact"/>
              <w:rPr>
                <w:sz w:val="20"/>
                <w:szCs w:val="20"/>
                <w:color w:val="auto"/>
              </w:rPr>
            </w:pPr>
            <w:r>
              <w:rPr>
                <w:rFonts w:ascii="Arial" w:cs="Arial" w:eastAsia="Arial" w:hAnsi="Arial"/>
                <w:sz w:val="14"/>
                <w:szCs w:val="14"/>
                <w:color w:val="auto"/>
              </w:rPr>
              <w:t>Renee J. Peterson</w:t>
            </w:r>
          </w:p>
        </w:tc>
        <w:tc>
          <w:tcPr>
            <w:tcW w:w="80" w:type="dxa"/>
            <w:vAlign w:val="bottom"/>
            <w:shd w:val="clear" w:color="auto" w:fill="D9D9D9"/>
          </w:tcPr>
          <w:p>
            <w:pPr>
              <w:spacing w:after="0"/>
              <w:rPr>
                <w:sz w:val="13"/>
                <w:szCs w:val="13"/>
                <w:color w:val="auto"/>
              </w:rPr>
            </w:pPr>
          </w:p>
        </w:tc>
        <w:tc>
          <w:tcPr>
            <w:tcW w:w="600" w:type="dxa"/>
            <w:vAlign w:val="bottom"/>
            <w:shd w:val="clear" w:color="auto" w:fill="D9D9D9"/>
          </w:tcPr>
          <w:p>
            <w:pPr>
              <w:spacing w:after="0"/>
              <w:rPr>
                <w:sz w:val="13"/>
                <w:szCs w:val="13"/>
                <w:color w:val="auto"/>
              </w:rPr>
            </w:pPr>
          </w:p>
        </w:tc>
        <w:tc>
          <w:tcPr>
            <w:tcW w:w="4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300" w:type="dxa"/>
            <w:vAlign w:val="bottom"/>
            <w:shd w:val="clear" w:color="auto" w:fill="D9D9D9"/>
          </w:tcPr>
          <w:p>
            <w:pPr>
              <w:spacing w:after="0"/>
              <w:rPr>
                <w:sz w:val="13"/>
                <w:szCs w:val="13"/>
                <w:color w:val="auto"/>
              </w:rPr>
            </w:pPr>
          </w:p>
        </w:tc>
        <w:tc>
          <w:tcPr>
            <w:tcW w:w="98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80" w:type="dxa"/>
            <w:vAlign w:val="bottom"/>
            <w:shd w:val="clear" w:color="auto" w:fill="D9D9D9"/>
          </w:tcPr>
          <w:p>
            <w:pPr>
              <w:spacing w:after="0"/>
              <w:rPr>
                <w:sz w:val="14"/>
                <w:szCs w:val="14"/>
                <w:color w:val="auto"/>
              </w:rPr>
            </w:pPr>
          </w:p>
        </w:tc>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1,767,500</w:t>
            </w:r>
          </w:p>
        </w:tc>
        <w:tc>
          <w:tcPr>
            <w:tcW w:w="40" w:type="dxa"/>
            <w:vAlign w:val="bottom"/>
            <w:shd w:val="clear" w:color="auto" w:fill="D9D9D9"/>
          </w:tcPr>
          <w:p>
            <w:pPr>
              <w:spacing w:after="0"/>
              <w:rPr>
                <w:sz w:val="14"/>
                <w:szCs w:val="14"/>
                <w:color w:val="auto"/>
              </w:rPr>
            </w:pP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80" w:type="dxa"/>
            <w:vAlign w:val="bottom"/>
            <w:shd w:val="clear" w:color="auto" w:fill="D9D9D9"/>
          </w:tcPr>
          <w:p>
            <w:pPr>
              <w:spacing w:after="0"/>
              <w:rPr>
                <w:sz w:val="14"/>
                <w:szCs w:val="14"/>
                <w:color w:val="auto"/>
              </w:rPr>
            </w:pPr>
          </w:p>
        </w:tc>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1,258,998</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1,258,998</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1,258,998</w:t>
            </w:r>
          </w:p>
        </w:tc>
        <w:tc>
          <w:tcPr>
            <w:tcW w:w="40" w:type="dxa"/>
            <w:vAlign w:val="bottom"/>
            <w:shd w:val="clear" w:color="auto" w:fill="D9D9D9"/>
          </w:tcPr>
          <w:p>
            <w:pPr>
              <w:spacing w:after="0"/>
              <w:rPr>
                <w:sz w:val="14"/>
                <w:szCs w:val="14"/>
                <w:color w:val="auto"/>
              </w:rPr>
            </w:pP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Accelerated Performance Share Award Payouts</w:t>
            </w:r>
          </w:p>
        </w:tc>
        <w:tc>
          <w:tcPr>
            <w:tcW w:w="80" w:type="dxa"/>
            <w:vAlign w:val="bottom"/>
            <w:shd w:val="clear" w:color="auto" w:fill="D9D9D9"/>
          </w:tcPr>
          <w:p>
            <w:pPr>
              <w:spacing w:after="0"/>
              <w:rPr>
                <w:sz w:val="14"/>
                <w:szCs w:val="14"/>
                <w:color w:val="auto"/>
              </w:rPr>
            </w:pPr>
          </w:p>
        </w:tc>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line="162" w:lineRule="exact"/>
              <w:rPr>
                <w:sz w:val="20"/>
                <w:szCs w:val="20"/>
                <w:color w:val="auto"/>
              </w:rPr>
            </w:pPr>
            <w:r>
              <w:rPr>
                <w:rFonts w:ascii="Arial" w:cs="Arial" w:eastAsia="Arial" w:hAnsi="Arial"/>
                <w:sz w:val="11"/>
                <w:szCs w:val="11"/>
                <w:color w:val="auto"/>
              </w:rPr>
              <w:t>771,609</w:t>
            </w:r>
            <w:r>
              <w:rPr>
                <w:rFonts w:ascii="Arial" w:cs="Arial" w:eastAsia="Arial" w:hAnsi="Arial"/>
                <w:sz w:val="18"/>
                <w:szCs w:val="18"/>
                <w:color w:val="auto"/>
                <w:vertAlign w:val="superscript"/>
              </w:rPr>
              <w:t>(4)</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line="162" w:lineRule="exact"/>
              <w:rPr>
                <w:sz w:val="20"/>
                <w:szCs w:val="20"/>
                <w:color w:val="auto"/>
              </w:rPr>
            </w:pPr>
            <w:r>
              <w:rPr>
                <w:rFonts w:ascii="Arial" w:cs="Arial" w:eastAsia="Arial" w:hAnsi="Arial"/>
                <w:sz w:val="11"/>
                <w:szCs w:val="11"/>
                <w:color w:val="auto"/>
              </w:rPr>
              <w:t>1,250,715</w:t>
            </w:r>
            <w:r>
              <w:rPr>
                <w:rFonts w:ascii="Arial" w:cs="Arial" w:eastAsia="Arial" w:hAnsi="Arial"/>
                <w:sz w:val="18"/>
                <w:szCs w:val="18"/>
                <w:color w:val="auto"/>
                <w:vertAlign w:val="superscript"/>
              </w:rPr>
              <w:t>(5)</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line="162" w:lineRule="exact"/>
              <w:rPr>
                <w:sz w:val="20"/>
                <w:szCs w:val="20"/>
                <w:color w:val="auto"/>
              </w:rPr>
            </w:pPr>
            <w:r>
              <w:rPr>
                <w:rFonts w:ascii="Arial" w:cs="Arial" w:eastAsia="Arial" w:hAnsi="Arial"/>
                <w:sz w:val="11"/>
                <w:szCs w:val="11"/>
                <w:color w:val="auto"/>
              </w:rPr>
              <w:t>1,250,715</w:t>
            </w:r>
            <w:r>
              <w:rPr>
                <w:rFonts w:ascii="Arial" w:cs="Arial" w:eastAsia="Arial" w:hAnsi="Arial"/>
                <w:sz w:val="18"/>
                <w:szCs w:val="18"/>
                <w:color w:val="auto"/>
                <w:vertAlign w:val="superscript"/>
              </w:rPr>
              <w:t>(5)</w:t>
            </w: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80" w:type="dxa"/>
            <w:vAlign w:val="bottom"/>
            <w:shd w:val="clear" w:color="auto" w:fill="D9D9D9"/>
          </w:tcPr>
          <w:p>
            <w:pPr>
              <w:spacing w:after="0"/>
              <w:rPr>
                <w:sz w:val="14"/>
                <w:szCs w:val="14"/>
                <w:color w:val="auto"/>
              </w:rPr>
            </w:pPr>
          </w:p>
        </w:tc>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57,654</w:t>
            </w:r>
          </w:p>
        </w:tc>
      </w:tr>
      <w:tr>
        <w:trPr>
          <w:trHeight w:val="165"/>
        </w:trPr>
        <w:tc>
          <w:tcPr>
            <w:tcW w:w="5280" w:type="dxa"/>
            <w:vAlign w:val="bottom"/>
            <w:shd w:val="clear" w:color="auto" w:fill="D9D9D9"/>
          </w:tcPr>
          <w:p>
            <w:pPr>
              <w:ind w:left="160"/>
              <w:spacing w:after="0" w:line="164" w:lineRule="exact"/>
              <w:rPr>
                <w:sz w:val="20"/>
                <w:szCs w:val="20"/>
                <w:color w:val="auto"/>
              </w:rPr>
            </w:pPr>
            <w:r>
              <w:rPr>
                <w:rFonts w:ascii="Arial" w:cs="Arial" w:eastAsia="Arial" w:hAnsi="Arial"/>
                <w:sz w:val="12"/>
                <w:szCs w:val="12"/>
                <w:color w:val="auto"/>
              </w:rPr>
              <w:t>Outplacement Services</w:t>
            </w:r>
            <w:r>
              <w:rPr>
                <w:rFonts w:ascii="Arial" w:cs="Arial" w:eastAsia="Arial" w:hAnsi="Arial"/>
                <w:sz w:val="19"/>
                <w:szCs w:val="19"/>
                <w:color w:val="auto"/>
                <w:vertAlign w:val="superscript"/>
              </w:rPr>
              <w:t>(7)</w:t>
            </w:r>
          </w:p>
        </w:tc>
        <w:tc>
          <w:tcPr>
            <w:tcW w:w="80" w:type="dxa"/>
            <w:vAlign w:val="bottom"/>
            <w:shd w:val="clear" w:color="auto" w:fill="D9D9D9"/>
          </w:tcPr>
          <w:p>
            <w:pPr>
              <w:spacing w:after="0"/>
              <w:rPr>
                <w:sz w:val="14"/>
                <w:szCs w:val="14"/>
                <w:color w:val="auto"/>
              </w:rPr>
            </w:pPr>
          </w:p>
        </w:tc>
        <w:tc>
          <w:tcPr>
            <w:tcW w:w="600" w:type="dxa"/>
            <w:vAlign w:val="bottom"/>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30,000</w:t>
            </w:r>
          </w:p>
        </w:tc>
      </w:tr>
      <w:tr>
        <w:trPr>
          <w:trHeight w:val="169"/>
        </w:trPr>
        <w:tc>
          <w:tcPr>
            <w:tcW w:w="5280" w:type="dxa"/>
            <w:vAlign w:val="bottom"/>
            <w:tcBorders>
              <w:top w:val="single" w:sz="8" w:color="D9D9D9"/>
            </w:tcBorders>
            <w:shd w:val="clear" w:color="auto" w:fill="D9D9D9"/>
          </w:tcPr>
          <w:p>
            <w:pPr>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D9D9D9"/>
            </w:tcBorders>
            <w:shd w:val="clear" w:color="auto" w:fill="D9D9D9"/>
          </w:tcPr>
          <w:p>
            <w:pPr>
              <w:spacing w:after="0"/>
              <w:rPr>
                <w:sz w:val="14"/>
                <w:szCs w:val="14"/>
                <w:color w:val="auto"/>
              </w:rPr>
            </w:pPr>
          </w:p>
        </w:tc>
        <w:tc>
          <w:tcPr>
            <w:tcW w:w="600" w:type="dxa"/>
            <w:vAlign w:val="bottom"/>
            <w:tcBorders>
              <w:top w:val="single" w:sz="8" w:color="auto"/>
            </w:tcBorders>
            <w:shd w:val="clear" w:color="auto" w:fill="D9D9D9"/>
          </w:tcPr>
          <w:p>
            <w:pPr>
              <w:ind w:left="18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1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2,030,607</w:t>
            </w:r>
          </w:p>
        </w:tc>
        <w:tc>
          <w:tcPr>
            <w:tcW w:w="840" w:type="dxa"/>
            <w:vAlign w:val="bottom"/>
            <w:tcBorders>
              <w:top w:val="single" w:sz="8" w:color="auto"/>
            </w:tcBorders>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840" w:type="dxa"/>
            <w:vAlign w:val="bottom"/>
            <w:tcBorders>
              <w:top w:val="single" w:sz="8" w:color="auto"/>
            </w:tcBorders>
            <w:shd w:val="clear" w:color="auto" w:fill="D9D9D9"/>
          </w:tcPr>
          <w:p>
            <w:pPr>
              <w:jc w:val="right"/>
              <w:ind w:right="190"/>
              <w:spacing w:after="0"/>
              <w:rPr>
                <w:sz w:val="20"/>
                <w:szCs w:val="20"/>
                <w:color w:val="auto"/>
              </w:rPr>
            </w:pPr>
            <w:r>
              <w:rPr>
                <w:rFonts w:ascii="Arial" w:cs="Arial" w:eastAsia="Arial" w:hAnsi="Arial"/>
                <w:sz w:val="14"/>
                <w:szCs w:val="14"/>
                <w:color w:val="auto"/>
              </w:rPr>
              <w:t>$0</w:t>
            </w:r>
          </w:p>
        </w:tc>
        <w:tc>
          <w:tcPr>
            <w:tcW w:w="160" w:type="dxa"/>
            <w:vAlign w:val="bottom"/>
            <w:tcBorders>
              <w:top w:val="single" w:sz="8" w:color="auto"/>
            </w:tcBorders>
            <w:shd w:val="clear" w:color="auto" w:fill="D9D9D9"/>
          </w:tcPr>
          <w:p>
            <w:pPr>
              <w:ind w:left="6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2,509,713</w:t>
            </w:r>
          </w:p>
        </w:tc>
        <w:tc>
          <w:tcPr>
            <w:tcW w:w="300" w:type="dxa"/>
            <w:vAlign w:val="bottom"/>
            <w:tcBorders>
              <w:top w:val="single" w:sz="8" w:color="auto"/>
            </w:tcBorders>
            <w:shd w:val="clear" w:color="auto" w:fill="D9D9D9"/>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4,364,867</w:t>
            </w:r>
          </w:p>
        </w:tc>
        <w:tc>
          <w:tcPr>
            <w:tcW w:w="40" w:type="dxa"/>
            <w:vAlign w:val="bottom"/>
            <w:tcBorders>
              <w:top w:val="single" w:sz="8" w:color="D9D9D9"/>
            </w:tcBorders>
            <w:shd w:val="clear" w:color="auto" w:fill="D9D9D9"/>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-1920240</wp:posOffset>
            </wp:positionV>
            <wp:extent cx="15093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shd w:val="clear" w:color="auto" w:fill="C00000"/>
          </w:tcPr>
          <w:p>
            <w:pPr>
              <w:spacing w:after="0"/>
              <w:rPr>
                <w:sz w:val="13"/>
                <w:szCs w:val="13"/>
                <w:color w:val="auto"/>
              </w:rPr>
            </w:pPr>
          </w:p>
        </w:tc>
        <w:tc>
          <w:tcPr>
            <w:tcW w:w="80" w:type="dxa"/>
            <w:vAlign w:val="bottom"/>
            <w:shd w:val="clear" w:color="auto" w:fill="C00000"/>
          </w:tcPr>
          <w:p>
            <w:pPr>
              <w:spacing w:after="0"/>
              <w:rPr>
                <w:sz w:val="13"/>
                <w:szCs w:val="13"/>
                <w:color w:val="auto"/>
              </w:rPr>
            </w:pPr>
          </w:p>
        </w:tc>
        <w:tc>
          <w:tcPr>
            <w:tcW w:w="260" w:type="dxa"/>
            <w:vAlign w:val="bottom"/>
            <w:shd w:val="clear" w:color="auto" w:fill="C00000"/>
          </w:tcPr>
          <w:p>
            <w:pPr>
              <w:spacing w:after="0"/>
              <w:rPr>
                <w:sz w:val="13"/>
                <w:szCs w:val="13"/>
                <w:color w:val="auto"/>
              </w:rPr>
            </w:pPr>
          </w:p>
        </w:tc>
        <w:tc>
          <w:tcPr>
            <w:tcW w:w="860" w:type="dxa"/>
            <w:vAlign w:val="bottom"/>
            <w:shd w:val="clear" w:color="auto" w:fill="C00000"/>
          </w:tcPr>
          <w:p>
            <w:pPr>
              <w:spacing w:after="0"/>
              <w:rPr>
                <w:sz w:val="13"/>
                <w:szCs w:val="13"/>
                <w:color w:val="auto"/>
              </w:rPr>
            </w:pPr>
          </w:p>
        </w:tc>
        <w:tc>
          <w:tcPr>
            <w:tcW w:w="140" w:type="dxa"/>
            <w:vAlign w:val="bottom"/>
            <w:shd w:val="clear" w:color="auto" w:fill="C00000"/>
          </w:tcPr>
          <w:p>
            <w:pPr>
              <w:spacing w:after="0"/>
              <w:rPr>
                <w:sz w:val="13"/>
                <w:szCs w:val="13"/>
                <w:color w:val="auto"/>
              </w:rPr>
            </w:pPr>
          </w:p>
        </w:tc>
        <w:tc>
          <w:tcPr>
            <w:tcW w:w="86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800" w:type="dxa"/>
            <w:vAlign w:val="bottom"/>
            <w:shd w:val="clear" w:color="auto" w:fill="C00000"/>
          </w:tcPr>
          <w:p>
            <w:pPr>
              <w:spacing w:after="0"/>
              <w:rPr>
                <w:sz w:val="13"/>
                <w:szCs w:val="13"/>
                <w:color w:val="auto"/>
              </w:rPr>
            </w:pPr>
          </w:p>
        </w:tc>
        <w:tc>
          <w:tcPr>
            <w:tcW w:w="200" w:type="dxa"/>
            <w:vAlign w:val="bottom"/>
            <w:shd w:val="clear" w:color="auto" w:fill="C00000"/>
          </w:tcPr>
          <w:p>
            <w:pPr>
              <w:spacing w:after="0"/>
              <w:rPr>
                <w:sz w:val="13"/>
                <w:szCs w:val="13"/>
                <w:color w:val="auto"/>
              </w:rPr>
            </w:pPr>
          </w:p>
        </w:tc>
        <w:tc>
          <w:tcPr>
            <w:tcW w:w="2140" w:type="dxa"/>
            <w:vAlign w:val="bottom"/>
            <w:gridSpan w:val="4"/>
            <w:shd w:val="clear" w:color="auto" w:fill="C00000"/>
          </w:tcPr>
          <w:p>
            <w:pPr>
              <w:ind w:left="420"/>
              <w:spacing w:after="0"/>
              <w:rPr>
                <w:sz w:val="20"/>
                <w:szCs w:val="20"/>
                <w:color w:val="auto"/>
              </w:rPr>
            </w:pPr>
            <w:r>
              <w:rPr>
                <w:rFonts w:ascii="Arial" w:cs="Arial" w:eastAsia="Arial" w:hAnsi="Arial"/>
                <w:sz w:val="13"/>
                <w:szCs w:val="13"/>
                <w:b w:val="1"/>
                <w:bCs w:val="1"/>
                <w:color w:val="FFFFFF"/>
              </w:rPr>
              <w:t>Change in Control</w:t>
            </w:r>
          </w:p>
        </w:tc>
      </w:tr>
      <w:tr>
        <w:trPr>
          <w:trHeight w:val="127"/>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260" w:type="dxa"/>
            <w:vAlign w:val="bottom"/>
            <w:shd w:val="clear" w:color="auto" w:fill="C00000"/>
          </w:tcPr>
          <w:p>
            <w:pPr>
              <w:spacing w:after="0"/>
              <w:rPr>
                <w:sz w:val="11"/>
                <w:szCs w:val="11"/>
                <w:color w:val="auto"/>
              </w:rPr>
            </w:pPr>
          </w:p>
        </w:tc>
        <w:tc>
          <w:tcPr>
            <w:tcW w:w="860" w:type="dxa"/>
            <w:vAlign w:val="bottom"/>
            <w:shd w:val="clear" w:color="auto" w:fill="C00000"/>
          </w:tcPr>
          <w:p>
            <w:pPr>
              <w:spacing w:after="0"/>
              <w:rPr>
                <w:sz w:val="11"/>
                <w:szCs w:val="11"/>
                <w:color w:val="auto"/>
              </w:rPr>
            </w:pP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800" w:type="dxa"/>
            <w:vAlign w:val="bottom"/>
            <w:shd w:val="clear" w:color="auto" w:fill="C00000"/>
          </w:tcPr>
          <w:p>
            <w:pPr>
              <w:spacing w:after="0"/>
              <w:rPr>
                <w:sz w:val="11"/>
                <w:szCs w:val="11"/>
                <w:color w:val="auto"/>
              </w:rPr>
            </w:pPr>
          </w:p>
        </w:tc>
        <w:tc>
          <w:tcPr>
            <w:tcW w:w="200" w:type="dxa"/>
            <w:vAlign w:val="bottom"/>
            <w:shd w:val="clear" w:color="auto" w:fill="C00000"/>
          </w:tcPr>
          <w:p>
            <w:pPr>
              <w:spacing w:after="0"/>
              <w:rPr>
                <w:sz w:val="11"/>
                <w:szCs w:val="11"/>
                <w:color w:val="auto"/>
              </w:rPr>
            </w:pPr>
          </w:p>
        </w:tc>
        <w:tc>
          <w:tcPr>
            <w:tcW w:w="820" w:type="dxa"/>
            <w:vAlign w:val="bottom"/>
            <w:shd w:val="clear" w:color="auto" w:fill="C00000"/>
          </w:tcPr>
          <w:p>
            <w:pPr>
              <w:spacing w:after="0"/>
              <w:rPr>
                <w:sz w:val="11"/>
                <w:szCs w:val="11"/>
                <w:color w:val="auto"/>
              </w:rPr>
            </w:pPr>
          </w:p>
        </w:tc>
        <w:tc>
          <w:tcPr>
            <w:tcW w:w="1320" w:type="dxa"/>
            <w:vAlign w:val="bottom"/>
            <w:gridSpan w:val="3"/>
            <w:shd w:val="clear" w:color="auto" w:fill="C00000"/>
          </w:tcPr>
          <w:p>
            <w:pPr>
              <w:ind w:left="60"/>
              <w:spacing w:after="0" w:line="127" w:lineRule="exact"/>
              <w:rPr>
                <w:sz w:val="20"/>
                <w:szCs w:val="20"/>
                <w:color w:val="auto"/>
              </w:rPr>
            </w:pPr>
            <w:r>
              <w:rPr>
                <w:rFonts w:ascii="Arial" w:cs="Arial" w:eastAsia="Arial" w:hAnsi="Arial"/>
                <w:sz w:val="13"/>
                <w:szCs w:val="13"/>
                <w:b w:val="1"/>
                <w:bCs w:val="1"/>
                <w:color w:val="FFFFFF"/>
                <w:w w:val="98"/>
              </w:rPr>
              <w:t>Termination Without</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26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90"/>
              <w:spacing w:after="0" w:line="135" w:lineRule="exact"/>
              <w:rPr>
                <w:sz w:val="20"/>
                <w:szCs w:val="20"/>
                <w:color w:val="auto"/>
              </w:rPr>
            </w:pPr>
            <w:r>
              <w:rPr>
                <w:rFonts w:ascii="Arial" w:cs="Arial" w:eastAsia="Arial" w:hAnsi="Arial"/>
                <w:sz w:val="13"/>
                <w:szCs w:val="13"/>
                <w:b w:val="1"/>
                <w:bCs w:val="1"/>
                <w:color w:val="FFFFFF"/>
                <w:w w:val="96"/>
              </w:rPr>
              <w:t>Voluntary</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spacing w:after="0"/>
              <w:rPr>
                <w:sz w:val="11"/>
                <w:szCs w:val="11"/>
                <w:color w:val="auto"/>
              </w:rPr>
            </w:pP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Involuntary</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Termination</w:t>
            </w:r>
          </w:p>
        </w:tc>
        <w:tc>
          <w:tcPr>
            <w:tcW w:w="200" w:type="dxa"/>
            <w:vAlign w:val="bottom"/>
            <w:shd w:val="clear" w:color="auto" w:fill="C00000"/>
          </w:tcPr>
          <w:p>
            <w:pPr>
              <w:spacing w:after="0"/>
              <w:rPr>
                <w:sz w:val="11"/>
                <w:szCs w:val="11"/>
                <w:color w:val="auto"/>
              </w:rPr>
            </w:pPr>
          </w:p>
        </w:tc>
        <w:tc>
          <w:tcPr>
            <w:tcW w:w="820" w:type="dxa"/>
            <w:vAlign w:val="bottom"/>
            <w:shd w:val="clear" w:color="auto" w:fill="C00000"/>
          </w:tcPr>
          <w:p>
            <w:pPr>
              <w:spacing w:after="0"/>
              <w:rPr>
                <w:sz w:val="11"/>
                <w:szCs w:val="11"/>
                <w:color w:val="auto"/>
              </w:rPr>
            </w:pPr>
          </w:p>
        </w:tc>
        <w:tc>
          <w:tcPr>
            <w:tcW w:w="1320" w:type="dxa"/>
            <w:vAlign w:val="bottom"/>
            <w:gridSpan w:val="3"/>
            <w:shd w:val="clear" w:color="auto" w:fill="C00000"/>
          </w:tcPr>
          <w:p>
            <w:pPr>
              <w:ind w:left="60"/>
              <w:spacing w:after="0" w:line="135" w:lineRule="exact"/>
              <w:rPr>
                <w:sz w:val="20"/>
                <w:szCs w:val="20"/>
                <w:color w:val="auto"/>
              </w:rPr>
            </w:pPr>
            <w:r>
              <w:rPr>
                <w:rFonts w:ascii="Arial" w:cs="Arial" w:eastAsia="Arial" w:hAnsi="Arial"/>
                <w:sz w:val="13"/>
                <w:szCs w:val="13"/>
                <w:b w:val="1"/>
                <w:bCs w:val="1"/>
                <w:color w:val="FFFFFF"/>
                <w:w w:val="98"/>
              </w:rPr>
              <w:t>Cause by Toro or by</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120" w:type="dxa"/>
            <w:vAlign w:val="bottom"/>
            <w:gridSpan w:val="2"/>
            <w:shd w:val="clear" w:color="auto" w:fill="C00000"/>
          </w:tcPr>
          <w:p>
            <w:pPr>
              <w:jc w:val="center"/>
              <w:ind w:left="30"/>
              <w:spacing w:after="0" w:line="135" w:lineRule="exact"/>
              <w:rPr>
                <w:sz w:val="20"/>
                <w:szCs w:val="20"/>
                <w:color w:val="auto"/>
              </w:rPr>
            </w:pPr>
            <w:r>
              <w:rPr>
                <w:rFonts w:ascii="Arial" w:cs="Arial" w:eastAsia="Arial" w:hAnsi="Arial"/>
                <w:sz w:val="13"/>
                <w:szCs w:val="13"/>
                <w:b w:val="1"/>
                <w:bCs w:val="1"/>
                <w:color w:val="FFFFFF"/>
                <w:w w:val="94"/>
              </w:rPr>
              <w:t>Resignation/</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71"/>
              <w:spacing w:after="0" w:line="135" w:lineRule="exact"/>
              <w:rPr>
                <w:sz w:val="20"/>
                <w:szCs w:val="20"/>
                <w:color w:val="auto"/>
              </w:rPr>
            </w:pPr>
            <w:r>
              <w:rPr>
                <w:rFonts w:ascii="Arial" w:cs="Arial" w:eastAsia="Arial" w:hAnsi="Arial"/>
                <w:sz w:val="13"/>
                <w:szCs w:val="13"/>
                <w:b w:val="1"/>
                <w:bCs w:val="1"/>
                <w:color w:val="FFFFFF"/>
                <w:w w:val="96"/>
              </w:rPr>
              <w:t>Disability or</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4"/>
              </w:rPr>
              <w:t>Termination</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by Toro for</w:t>
            </w:r>
          </w:p>
        </w:tc>
        <w:tc>
          <w:tcPr>
            <w:tcW w:w="1020" w:type="dxa"/>
            <w:vAlign w:val="bottom"/>
            <w:gridSpan w:val="2"/>
            <w:shd w:val="clear" w:color="auto" w:fill="C00000"/>
          </w:tcPr>
          <w:p>
            <w:pPr>
              <w:ind w:left="40"/>
              <w:spacing w:after="0" w:line="135" w:lineRule="exact"/>
              <w:rPr>
                <w:sz w:val="20"/>
                <w:szCs w:val="20"/>
                <w:color w:val="auto"/>
              </w:rPr>
            </w:pPr>
            <w:r>
              <w:rPr>
                <w:rFonts w:ascii="Arial" w:cs="Arial" w:eastAsia="Arial" w:hAnsi="Arial"/>
                <w:sz w:val="13"/>
                <w:szCs w:val="13"/>
                <w:b w:val="1"/>
                <w:bCs w:val="1"/>
                <w:color w:val="FFFFFF"/>
              </w:rPr>
              <w:t>No Termination</w:t>
            </w:r>
          </w:p>
        </w:tc>
        <w:tc>
          <w:tcPr>
            <w:tcW w:w="1320" w:type="dxa"/>
            <w:vAlign w:val="bottom"/>
            <w:gridSpan w:val="3"/>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5"/>
              </w:rPr>
              <w:t>Executive for Good</w:t>
            </w:r>
          </w:p>
        </w:tc>
      </w:tr>
      <w:tr>
        <w:trPr>
          <w:trHeight w:val="135"/>
        </w:trPr>
        <w:tc>
          <w:tcPr>
            <w:tcW w:w="5280" w:type="dxa"/>
            <w:vAlign w:val="bottom"/>
            <w:shd w:val="clear" w:color="auto" w:fill="C00000"/>
          </w:tcPr>
          <w:p>
            <w:pPr>
              <w:spacing w:after="0"/>
              <w:rPr>
                <w:sz w:val="11"/>
                <w:szCs w:val="11"/>
                <w:color w:val="auto"/>
              </w:rPr>
            </w:pPr>
          </w:p>
        </w:tc>
        <w:tc>
          <w:tcPr>
            <w:tcW w:w="80" w:type="dxa"/>
            <w:vAlign w:val="bottom"/>
            <w:shd w:val="clear" w:color="auto" w:fill="C00000"/>
          </w:tcPr>
          <w:p>
            <w:pPr>
              <w:spacing w:after="0"/>
              <w:rPr>
                <w:sz w:val="11"/>
                <w:szCs w:val="11"/>
                <w:color w:val="auto"/>
              </w:rPr>
            </w:pPr>
          </w:p>
        </w:tc>
        <w:tc>
          <w:tcPr>
            <w:tcW w:w="1120" w:type="dxa"/>
            <w:vAlign w:val="bottom"/>
            <w:gridSpan w:val="2"/>
            <w:shd w:val="clear" w:color="auto" w:fill="C00000"/>
          </w:tcPr>
          <w:p>
            <w:pPr>
              <w:jc w:val="center"/>
              <w:ind w:left="30"/>
              <w:spacing w:after="0" w:line="135" w:lineRule="exact"/>
              <w:rPr>
                <w:sz w:val="20"/>
                <w:szCs w:val="20"/>
                <w:color w:val="auto"/>
              </w:rPr>
            </w:pPr>
            <w:r>
              <w:rPr>
                <w:rFonts w:ascii="Arial" w:cs="Arial" w:eastAsia="Arial" w:hAnsi="Arial"/>
                <w:sz w:val="13"/>
                <w:szCs w:val="13"/>
                <w:b w:val="1"/>
                <w:bCs w:val="1"/>
                <w:color w:val="FFFFFF"/>
                <w:w w:val="97"/>
              </w:rPr>
              <w:t>Retirement</w:t>
            </w:r>
            <w:r>
              <w:rPr>
                <w:rFonts w:ascii="Arial" w:cs="Arial" w:eastAsia="Arial" w:hAnsi="Arial"/>
                <w:sz w:val="10"/>
                <w:szCs w:val="10"/>
                <w:b w:val="1"/>
                <w:bCs w:val="1"/>
                <w:color w:val="FFFFFF"/>
                <w:w w:val="97"/>
              </w:rPr>
              <w:t>(1)</w:t>
            </w:r>
          </w:p>
        </w:tc>
        <w:tc>
          <w:tcPr>
            <w:tcW w:w="140" w:type="dxa"/>
            <w:vAlign w:val="bottom"/>
            <w:shd w:val="clear" w:color="auto" w:fill="C00000"/>
          </w:tcPr>
          <w:p>
            <w:pPr>
              <w:spacing w:after="0"/>
              <w:rPr>
                <w:sz w:val="11"/>
                <w:szCs w:val="11"/>
                <w:color w:val="auto"/>
              </w:rPr>
            </w:pPr>
          </w:p>
        </w:tc>
        <w:tc>
          <w:tcPr>
            <w:tcW w:w="860" w:type="dxa"/>
            <w:vAlign w:val="bottom"/>
            <w:shd w:val="clear" w:color="auto" w:fill="C00000"/>
          </w:tcPr>
          <w:p>
            <w:pPr>
              <w:jc w:val="center"/>
              <w:ind w:right="91"/>
              <w:spacing w:after="0" w:line="135" w:lineRule="exact"/>
              <w:rPr>
                <w:sz w:val="20"/>
                <w:szCs w:val="20"/>
                <w:color w:val="auto"/>
              </w:rPr>
            </w:pPr>
            <w:r>
              <w:rPr>
                <w:rFonts w:ascii="Arial" w:cs="Arial" w:eastAsia="Arial" w:hAnsi="Arial"/>
                <w:sz w:val="13"/>
                <w:szCs w:val="13"/>
                <w:b w:val="1"/>
                <w:bCs w:val="1"/>
                <w:color w:val="FFFFFF"/>
                <w:w w:val="94"/>
              </w:rPr>
              <w:t>Death</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6"/>
              </w:rPr>
              <w:t>by Toro</w:t>
            </w:r>
          </w:p>
        </w:tc>
        <w:tc>
          <w:tcPr>
            <w:tcW w:w="800" w:type="dxa"/>
            <w:vAlign w:val="bottom"/>
            <w:shd w:val="clear" w:color="auto" w:fill="C00000"/>
          </w:tcPr>
          <w:p>
            <w:pPr>
              <w:jc w:val="center"/>
              <w:spacing w:after="0" w:line="135" w:lineRule="exact"/>
              <w:rPr>
                <w:sz w:val="20"/>
                <w:szCs w:val="20"/>
                <w:color w:val="auto"/>
              </w:rPr>
            </w:pPr>
            <w:r>
              <w:rPr>
                <w:rFonts w:ascii="Arial" w:cs="Arial" w:eastAsia="Arial" w:hAnsi="Arial"/>
                <w:sz w:val="13"/>
                <w:szCs w:val="13"/>
                <w:b w:val="1"/>
                <w:bCs w:val="1"/>
                <w:color w:val="FFFFFF"/>
                <w:w w:val="97"/>
              </w:rPr>
              <w:t>Cause</w:t>
            </w:r>
          </w:p>
        </w:tc>
        <w:tc>
          <w:tcPr>
            <w:tcW w:w="200" w:type="dxa"/>
            <w:vAlign w:val="bottom"/>
            <w:shd w:val="clear" w:color="auto" w:fill="C00000"/>
          </w:tcPr>
          <w:p>
            <w:pPr>
              <w:spacing w:after="0"/>
              <w:rPr>
                <w:sz w:val="11"/>
                <w:szCs w:val="11"/>
                <w:color w:val="auto"/>
              </w:rPr>
            </w:pPr>
          </w:p>
        </w:tc>
        <w:tc>
          <w:tcPr>
            <w:tcW w:w="820" w:type="dxa"/>
            <w:vAlign w:val="bottom"/>
            <w:shd w:val="clear" w:color="auto" w:fill="C00000"/>
          </w:tcPr>
          <w:p>
            <w:pPr>
              <w:jc w:val="right"/>
              <w:ind w:right="270"/>
              <w:spacing w:after="0" w:line="135" w:lineRule="exact"/>
              <w:rPr>
                <w:sz w:val="20"/>
                <w:szCs w:val="20"/>
                <w:color w:val="auto"/>
              </w:rPr>
            </w:pPr>
            <w:r>
              <w:rPr>
                <w:rFonts w:ascii="Arial" w:cs="Arial" w:eastAsia="Arial" w:hAnsi="Arial"/>
                <w:sz w:val="13"/>
                <w:szCs w:val="13"/>
                <w:b w:val="1"/>
                <w:bCs w:val="1"/>
                <w:color w:val="FFFFFF"/>
              </w:rPr>
              <w:t>Event</w:t>
            </w:r>
          </w:p>
        </w:tc>
        <w:tc>
          <w:tcPr>
            <w:tcW w:w="300" w:type="dxa"/>
            <w:vAlign w:val="bottom"/>
            <w:shd w:val="clear" w:color="auto" w:fill="C00000"/>
          </w:tcPr>
          <w:p>
            <w:pPr>
              <w:spacing w:after="0"/>
              <w:rPr>
                <w:sz w:val="11"/>
                <w:szCs w:val="11"/>
                <w:color w:val="auto"/>
              </w:rPr>
            </w:pPr>
          </w:p>
        </w:tc>
        <w:tc>
          <w:tcPr>
            <w:tcW w:w="1020" w:type="dxa"/>
            <w:vAlign w:val="bottom"/>
            <w:gridSpan w:val="2"/>
            <w:shd w:val="clear" w:color="auto" w:fill="C00000"/>
          </w:tcPr>
          <w:p>
            <w:pPr>
              <w:jc w:val="center"/>
              <w:ind w:right="280"/>
              <w:spacing w:after="0" w:line="135" w:lineRule="exact"/>
              <w:rPr>
                <w:sz w:val="20"/>
                <w:szCs w:val="20"/>
                <w:color w:val="auto"/>
              </w:rPr>
            </w:pPr>
            <w:r>
              <w:rPr>
                <w:rFonts w:ascii="Arial" w:cs="Arial" w:eastAsia="Arial" w:hAnsi="Arial"/>
                <w:sz w:val="13"/>
                <w:szCs w:val="13"/>
                <w:b w:val="1"/>
                <w:bCs w:val="1"/>
                <w:color w:val="FFFFFF"/>
                <w:w w:val="97"/>
              </w:rPr>
              <w:t>Reason</w:t>
            </w:r>
          </w:p>
        </w:tc>
      </w:tr>
      <w:tr>
        <w:trPr>
          <w:trHeight w:val="171"/>
        </w:trPr>
        <w:tc>
          <w:tcPr>
            <w:tcW w:w="5280" w:type="dxa"/>
            <w:vAlign w:val="bottom"/>
            <w:shd w:val="clear" w:color="auto" w:fill="C00000"/>
          </w:tcPr>
          <w:p>
            <w:pPr>
              <w:ind w:left="2040"/>
              <w:spacing w:after="0"/>
              <w:rPr>
                <w:sz w:val="20"/>
                <w:szCs w:val="20"/>
                <w:color w:val="auto"/>
              </w:rPr>
            </w:pPr>
            <w:r>
              <w:rPr>
                <w:rFonts w:ascii="Arial" w:cs="Arial" w:eastAsia="Arial" w:hAnsi="Arial"/>
                <w:sz w:val="13"/>
                <w:szCs w:val="13"/>
                <w:b w:val="1"/>
                <w:bCs w:val="1"/>
                <w:color w:val="FFFFFF"/>
              </w:rPr>
              <w:t>Name/Payment Type</w:t>
            </w:r>
          </w:p>
        </w:tc>
        <w:tc>
          <w:tcPr>
            <w:tcW w:w="80" w:type="dxa"/>
            <w:vAlign w:val="bottom"/>
            <w:shd w:val="clear" w:color="auto" w:fill="C00000"/>
          </w:tcPr>
          <w:p>
            <w:pPr>
              <w:spacing w:after="0"/>
              <w:rPr>
                <w:sz w:val="14"/>
                <w:szCs w:val="14"/>
                <w:color w:val="auto"/>
              </w:rPr>
            </w:pPr>
          </w:p>
        </w:tc>
        <w:tc>
          <w:tcPr>
            <w:tcW w:w="260" w:type="dxa"/>
            <w:vAlign w:val="bottom"/>
            <w:shd w:val="clear" w:color="auto" w:fill="C00000"/>
          </w:tcPr>
          <w:p>
            <w:pPr>
              <w:spacing w:after="0"/>
              <w:rPr>
                <w:sz w:val="14"/>
                <w:szCs w:val="14"/>
                <w:color w:val="auto"/>
              </w:rPr>
            </w:pPr>
          </w:p>
        </w:tc>
        <w:tc>
          <w:tcPr>
            <w:tcW w:w="860" w:type="dxa"/>
            <w:vAlign w:val="bottom"/>
            <w:shd w:val="clear" w:color="auto" w:fill="C00000"/>
          </w:tcPr>
          <w:p>
            <w:pPr>
              <w:jc w:val="center"/>
              <w:ind w:right="90"/>
              <w:spacing w:after="0"/>
              <w:rPr>
                <w:sz w:val="20"/>
                <w:szCs w:val="20"/>
                <w:color w:val="auto"/>
              </w:rPr>
            </w:pPr>
            <w:r>
              <w:rPr>
                <w:rFonts w:ascii="Arial" w:cs="Arial" w:eastAsia="Arial" w:hAnsi="Arial"/>
                <w:sz w:val="13"/>
                <w:szCs w:val="13"/>
                <w:b w:val="1"/>
                <w:bCs w:val="1"/>
                <w:color w:val="FFFFFF"/>
                <w:w w:val="87"/>
              </w:rPr>
              <w:t>($)</w:t>
            </w:r>
          </w:p>
        </w:tc>
        <w:tc>
          <w:tcPr>
            <w:tcW w:w="140" w:type="dxa"/>
            <w:vAlign w:val="bottom"/>
            <w:shd w:val="clear" w:color="auto" w:fill="C00000"/>
          </w:tcPr>
          <w:p>
            <w:pPr>
              <w:spacing w:after="0"/>
              <w:rPr>
                <w:sz w:val="14"/>
                <w:szCs w:val="14"/>
                <w:color w:val="auto"/>
              </w:rPr>
            </w:pPr>
          </w:p>
        </w:tc>
        <w:tc>
          <w:tcPr>
            <w:tcW w:w="860" w:type="dxa"/>
            <w:vAlign w:val="bottom"/>
            <w:shd w:val="clear" w:color="auto" w:fill="C00000"/>
          </w:tcPr>
          <w:p>
            <w:pPr>
              <w:jc w:val="center"/>
              <w:ind w:right="91"/>
              <w:spacing w:after="0"/>
              <w:rPr>
                <w:sz w:val="20"/>
                <w:szCs w:val="20"/>
                <w:color w:val="auto"/>
              </w:rPr>
            </w:pPr>
            <w:r>
              <w:rPr>
                <w:rFonts w:ascii="Arial" w:cs="Arial" w:eastAsia="Arial" w:hAnsi="Arial"/>
                <w:sz w:val="13"/>
                <w:szCs w:val="13"/>
                <w:b w:val="1"/>
                <w:bCs w:val="1"/>
                <w:color w:val="FFFFFF"/>
                <w:w w:val="87"/>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800" w:type="dxa"/>
            <w:vAlign w:val="bottom"/>
            <w:shd w:val="clear" w:color="auto" w:fill="C00000"/>
          </w:tcPr>
          <w:p>
            <w:pPr>
              <w:jc w:val="center"/>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C00000"/>
          </w:tcPr>
          <w:p>
            <w:pPr>
              <w:spacing w:after="0"/>
              <w:rPr>
                <w:sz w:val="14"/>
                <w:szCs w:val="14"/>
                <w:color w:val="auto"/>
              </w:rPr>
            </w:pPr>
          </w:p>
        </w:tc>
        <w:tc>
          <w:tcPr>
            <w:tcW w:w="820" w:type="dxa"/>
            <w:vAlign w:val="bottom"/>
            <w:shd w:val="clear" w:color="auto" w:fill="C00000"/>
          </w:tcPr>
          <w:p>
            <w:pPr>
              <w:jc w:val="right"/>
              <w:ind w:right="370"/>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C00000"/>
          </w:tcPr>
          <w:p>
            <w:pPr>
              <w:spacing w:after="0"/>
              <w:rPr>
                <w:sz w:val="14"/>
                <w:szCs w:val="14"/>
                <w:color w:val="auto"/>
              </w:rPr>
            </w:pPr>
          </w:p>
        </w:tc>
        <w:tc>
          <w:tcPr>
            <w:tcW w:w="980" w:type="dxa"/>
            <w:vAlign w:val="bottom"/>
            <w:shd w:val="clear" w:color="auto" w:fill="C00000"/>
          </w:tcPr>
          <w:p>
            <w:pPr>
              <w:jc w:val="center"/>
              <w:ind w:right="171"/>
              <w:spacing w:after="0"/>
              <w:rPr>
                <w:sz w:val="20"/>
                <w:szCs w:val="20"/>
                <w:color w:val="auto"/>
              </w:rPr>
            </w:pPr>
            <w:r>
              <w:rPr>
                <w:rFonts w:ascii="Arial" w:cs="Arial" w:eastAsia="Arial" w:hAnsi="Arial"/>
                <w:sz w:val="13"/>
                <w:szCs w:val="13"/>
                <w:b w:val="1"/>
                <w:bCs w:val="1"/>
                <w:color w:val="FFFFFF"/>
                <w:w w:val="87"/>
              </w:rPr>
              <w:t>($)</w:t>
            </w:r>
          </w:p>
        </w:tc>
        <w:tc>
          <w:tcPr>
            <w:tcW w:w="40" w:type="dxa"/>
            <w:vAlign w:val="bottom"/>
            <w:shd w:val="clear" w:color="auto" w:fill="C00000"/>
          </w:tcPr>
          <w:p>
            <w:pPr>
              <w:spacing w:after="0"/>
              <w:rPr>
                <w:sz w:val="14"/>
                <w:szCs w:val="14"/>
                <w:color w:val="auto"/>
              </w:rPr>
            </w:pPr>
          </w:p>
        </w:tc>
      </w:tr>
      <w:tr>
        <w:trPr>
          <w:trHeight w:val="167"/>
        </w:trPr>
        <w:tc>
          <w:tcPr>
            <w:tcW w:w="5280" w:type="dxa"/>
            <w:vAlign w:val="bottom"/>
          </w:tcPr>
          <w:p>
            <w:pPr>
              <w:spacing w:after="0" w:line="167" w:lineRule="exact"/>
              <w:rPr>
                <w:sz w:val="20"/>
                <w:szCs w:val="20"/>
                <w:color w:val="auto"/>
              </w:rPr>
            </w:pPr>
            <w:r>
              <w:rPr>
                <w:rFonts w:ascii="Arial" w:cs="Arial" w:eastAsia="Arial" w:hAnsi="Arial"/>
                <w:sz w:val="12"/>
                <w:szCs w:val="12"/>
                <w:color w:val="auto"/>
              </w:rPr>
              <w:t>Michael J. Hoffman</w:t>
            </w:r>
            <w:r>
              <w:rPr>
                <w:rFonts w:ascii="Arial" w:cs="Arial" w:eastAsia="Arial" w:hAnsi="Arial"/>
                <w:sz w:val="19"/>
                <w:szCs w:val="19"/>
                <w:color w:val="auto"/>
                <w:vertAlign w:val="superscript"/>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5280" w:type="dxa"/>
            <w:vAlign w:val="bottom"/>
          </w:tcPr>
          <w:p>
            <w:pPr>
              <w:ind w:left="160"/>
              <w:spacing w:after="0" w:line="155" w:lineRule="exact"/>
              <w:rPr>
                <w:sz w:val="20"/>
                <w:szCs w:val="20"/>
                <w:color w:val="auto"/>
              </w:rPr>
            </w:pPr>
            <w:r>
              <w:rPr>
                <w:rFonts w:ascii="Arial" w:cs="Arial" w:eastAsia="Arial" w:hAnsi="Arial"/>
                <w:sz w:val="14"/>
                <w:szCs w:val="14"/>
                <w:color w:val="auto"/>
              </w:rPr>
              <w:t>Cash Severance Payment</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line="155" w:lineRule="exact"/>
              <w:rPr>
                <w:sz w:val="20"/>
                <w:szCs w:val="20"/>
                <w:color w:val="auto"/>
              </w:rPr>
            </w:pPr>
            <w:r>
              <w:rPr>
                <w:rFonts w:ascii="Arial" w:cs="Arial" w:eastAsia="Arial" w:hAnsi="Arial"/>
                <w:sz w:val="14"/>
                <w:szCs w:val="14"/>
                <w:color w:val="auto"/>
              </w:rPr>
              <w:t>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auto"/>
              </w:rPr>
              <w:t>$0</w:t>
            </w:r>
          </w:p>
        </w:tc>
        <w:tc>
          <w:tcPr>
            <w:tcW w:w="20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0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w:t>
            </w: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3,966,910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3,966,910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3,966,910</w:t>
            </w:r>
          </w:p>
        </w:tc>
        <w:tc>
          <w:tcPr>
            <w:tcW w:w="4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Arial" w:cs="Arial" w:eastAsia="Arial" w:hAnsi="Arial"/>
                <w:sz w:val="14"/>
                <w:szCs w:val="14"/>
                <w:color w:val="auto"/>
              </w:rPr>
              <w:t>Accelerated Performance Share Award Payouts</w:t>
            </w:r>
          </w:p>
        </w:tc>
        <w:tc>
          <w:tcPr>
            <w:tcW w:w="1200" w:type="dxa"/>
            <w:vAlign w:val="bottom"/>
            <w:gridSpan w:val="3"/>
          </w:tcPr>
          <w:p>
            <w:pPr>
              <w:jc w:val="right"/>
              <w:ind w:right="10"/>
              <w:spacing w:after="0" w:line="170" w:lineRule="exact"/>
              <w:rPr>
                <w:sz w:val="20"/>
                <w:szCs w:val="20"/>
                <w:color w:val="auto"/>
              </w:rPr>
            </w:pPr>
            <w:r>
              <w:rPr>
                <w:rFonts w:ascii="Arial" w:cs="Arial" w:eastAsia="Arial" w:hAnsi="Arial"/>
                <w:sz w:val="12"/>
                <w:szCs w:val="12"/>
                <w:color w:val="auto"/>
              </w:rPr>
              <w:t>$1,888,831</w:t>
            </w:r>
            <w:r>
              <w:rPr>
                <w:rFonts w:ascii="Arial" w:cs="Arial" w:eastAsia="Arial" w:hAnsi="Arial"/>
                <w:sz w:val="19"/>
                <w:szCs w:val="19"/>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line="170" w:lineRule="exact"/>
              <w:rPr>
                <w:sz w:val="20"/>
                <w:szCs w:val="20"/>
                <w:color w:val="auto"/>
              </w:rPr>
            </w:pPr>
            <w:r>
              <w:rPr>
                <w:rFonts w:ascii="Arial" w:cs="Arial" w:eastAsia="Arial" w:hAnsi="Arial"/>
                <w:sz w:val="12"/>
                <w:szCs w:val="12"/>
                <w:color w:val="auto"/>
              </w:rPr>
              <w:t>1,888,831</w:t>
            </w:r>
            <w:r>
              <w:rPr>
                <w:rFonts w:ascii="Arial" w:cs="Arial" w:eastAsia="Arial" w:hAnsi="Arial"/>
                <w:sz w:val="19"/>
                <w:szCs w:val="19"/>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1020" w:type="dxa"/>
            <w:vAlign w:val="bottom"/>
            <w:gridSpan w:val="2"/>
          </w:tcPr>
          <w:p>
            <w:pPr>
              <w:jc w:val="right"/>
              <w:spacing w:after="0" w:line="170" w:lineRule="exact"/>
              <w:rPr>
                <w:sz w:val="20"/>
                <w:szCs w:val="20"/>
                <w:color w:val="auto"/>
              </w:rPr>
            </w:pPr>
            <w:r>
              <w:rPr>
                <w:rFonts w:ascii="Arial" w:cs="Arial" w:eastAsia="Arial" w:hAnsi="Arial"/>
                <w:sz w:val="12"/>
                <w:szCs w:val="12"/>
                <w:color w:val="auto"/>
              </w:rPr>
              <w:t>$ 4,927,440</w:t>
            </w:r>
            <w:r>
              <w:rPr>
                <w:rFonts w:ascii="Arial" w:cs="Arial" w:eastAsia="Arial" w:hAnsi="Arial"/>
                <w:sz w:val="19"/>
                <w:szCs w:val="19"/>
                <w:color w:val="auto"/>
                <w:vertAlign w:val="superscript"/>
              </w:rPr>
              <w:t>(5)</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70" w:lineRule="exact"/>
              <w:rPr>
                <w:sz w:val="20"/>
                <w:szCs w:val="20"/>
                <w:color w:val="auto"/>
              </w:rPr>
            </w:pPr>
            <w:r>
              <w:rPr>
                <w:rFonts w:ascii="Arial" w:cs="Arial" w:eastAsia="Arial" w:hAnsi="Arial"/>
                <w:sz w:val="12"/>
                <w:szCs w:val="12"/>
                <w:color w:val="auto"/>
              </w:rPr>
              <w:t>4,927,440</w:t>
            </w:r>
            <w:r>
              <w:rPr>
                <w:rFonts w:ascii="Arial" w:cs="Arial" w:eastAsia="Arial" w:hAnsi="Arial"/>
                <w:sz w:val="19"/>
                <w:szCs w:val="19"/>
                <w:color w:val="auto"/>
                <w:vertAlign w:val="superscript"/>
              </w:rPr>
              <w:t>(5)</w:t>
            </w: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Welfare Plan Benefits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0</w:t>
            </w:r>
          </w:p>
        </w:tc>
      </w:tr>
      <w:tr>
        <w:trPr>
          <w:trHeight w:val="155"/>
        </w:trPr>
        <w:tc>
          <w:tcPr>
            <w:tcW w:w="5280" w:type="dxa"/>
            <w:vAlign w:val="bottom"/>
          </w:tcPr>
          <w:p>
            <w:pPr>
              <w:ind w:left="160"/>
              <w:spacing w:after="0" w:line="155" w:lineRule="exact"/>
              <w:rPr>
                <w:sz w:val="20"/>
                <w:szCs w:val="20"/>
                <w:color w:val="auto"/>
              </w:rPr>
            </w:pPr>
            <w:r>
              <w:rPr>
                <w:rFonts w:ascii="Arial" w:cs="Arial" w:eastAsia="Arial" w:hAnsi="Arial"/>
                <w:sz w:val="14"/>
                <w:szCs w:val="14"/>
                <w:color w:val="auto"/>
              </w:rPr>
              <w:t>Outplacement Services</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line="155" w:lineRule="exact"/>
              <w:rPr>
                <w:sz w:val="20"/>
                <w:szCs w:val="20"/>
                <w:color w:val="auto"/>
              </w:rPr>
            </w:pPr>
            <w:r>
              <w:rPr>
                <w:rFonts w:ascii="Arial" w:cs="Arial" w:eastAsia="Arial" w:hAnsi="Arial"/>
                <w:sz w:val="14"/>
                <w:szCs w:val="14"/>
                <w:color w:val="auto"/>
              </w:rPr>
              <w:t>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55" w:lineRule="exact"/>
              <w:rPr>
                <w:sz w:val="20"/>
                <w:szCs w:val="20"/>
                <w:color w:val="auto"/>
              </w:rPr>
            </w:pPr>
            <w:r>
              <w:rPr>
                <w:rFonts w:ascii="Arial" w:cs="Arial" w:eastAsia="Arial" w:hAnsi="Arial"/>
                <w:sz w:val="14"/>
                <w:szCs w:val="14"/>
                <w:color w:val="auto"/>
              </w:rPr>
              <w:t>$0</w:t>
            </w:r>
          </w:p>
        </w:tc>
        <w:tc>
          <w:tcPr>
            <w:tcW w:w="20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0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w:t>
            </w:r>
          </w:p>
        </w:tc>
      </w:tr>
      <w:tr>
        <w:trPr>
          <w:trHeight w:val="165"/>
        </w:trPr>
        <w:tc>
          <w:tcPr>
            <w:tcW w:w="5280" w:type="dxa"/>
            <w:vAlign w:val="bottom"/>
          </w:tcPr>
          <w:p>
            <w:pPr>
              <w:ind w:left="160"/>
              <w:spacing w:after="0" w:line="164" w:lineRule="exact"/>
              <w:rPr>
                <w:sz w:val="20"/>
                <w:szCs w:val="20"/>
                <w:color w:val="auto"/>
              </w:rPr>
            </w:pPr>
            <w:r>
              <w:rPr>
                <w:rFonts w:ascii="Arial" w:cs="Arial" w:eastAsia="Arial" w:hAnsi="Arial"/>
                <w:sz w:val="12"/>
                <w:szCs w:val="12"/>
                <w:color w:val="auto"/>
              </w:rPr>
              <w:t>Perquisites</w:t>
            </w:r>
            <w:r>
              <w:rPr>
                <w:rFonts w:ascii="Arial" w:cs="Arial" w:eastAsia="Arial" w:hAnsi="Arial"/>
                <w:sz w:val="19"/>
                <w:szCs w:val="19"/>
                <w:color w:val="auto"/>
                <w:vertAlign w:val="superscript"/>
              </w:rPr>
              <w:t>(9)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39,098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4"/>
                <w:szCs w:val="14"/>
                <w:color w:val="auto"/>
              </w:rPr>
            </w:pPr>
          </w:p>
        </w:tc>
      </w:tr>
      <w:tr>
        <w:trPr>
          <w:trHeight w:val="169"/>
        </w:trPr>
        <w:tc>
          <w:tcPr>
            <w:tcW w:w="5280" w:type="dxa"/>
            <w:vAlign w:val="bottom"/>
          </w:tcPr>
          <w:p>
            <w:pPr>
              <w:spacing w:after="0"/>
              <w:rPr>
                <w:sz w:val="20"/>
                <w:szCs w:val="20"/>
                <w:color w:val="auto"/>
              </w:rPr>
            </w:pPr>
            <w:r>
              <w:rPr>
                <w:rFonts w:ascii="Arial" w:cs="Arial" w:eastAsia="Arial" w:hAnsi="Arial"/>
                <w:sz w:val="14"/>
                <w:szCs w:val="14"/>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1,927,929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5,855,741</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8,894,350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8,894,350</w:t>
            </w:r>
          </w:p>
        </w:tc>
        <w:tc>
          <w:tcPr>
            <w:tcW w:w="40" w:type="dxa"/>
            <w:vAlign w:val="bottom"/>
          </w:tcPr>
          <w:p>
            <w:pPr>
              <w:spacing w:after="0"/>
              <w:rPr>
                <w:sz w:val="14"/>
                <w:szCs w:val="14"/>
                <w:color w:val="auto"/>
              </w:rPr>
            </w:pPr>
          </w:p>
        </w:tc>
      </w:tr>
      <w:tr>
        <w:trPr>
          <w:trHeight w:val="159"/>
        </w:trPr>
        <w:tc>
          <w:tcPr>
            <w:tcW w:w="5280" w:type="dxa"/>
            <w:vAlign w:val="bottom"/>
            <w:shd w:val="clear" w:color="auto" w:fill="D9D9D9"/>
          </w:tcPr>
          <w:p>
            <w:pPr>
              <w:spacing w:after="0" w:line="159" w:lineRule="exact"/>
              <w:rPr>
                <w:sz w:val="20"/>
                <w:szCs w:val="20"/>
                <w:color w:val="auto"/>
              </w:rPr>
            </w:pPr>
            <w:r>
              <w:rPr>
                <w:rFonts w:ascii="Arial" w:cs="Arial" w:eastAsia="Arial" w:hAnsi="Arial"/>
                <w:sz w:val="14"/>
                <w:szCs w:val="14"/>
                <w:color w:val="auto"/>
              </w:rPr>
              <w:t>William E. Brown, Jr.</w:t>
            </w:r>
          </w:p>
        </w:tc>
        <w:tc>
          <w:tcPr>
            <w:tcW w:w="80" w:type="dxa"/>
            <w:vAlign w:val="bottom"/>
            <w:shd w:val="clear" w:color="auto" w:fill="D9D9D9"/>
          </w:tcPr>
          <w:p>
            <w:pPr>
              <w:spacing w:after="0"/>
              <w:rPr>
                <w:sz w:val="13"/>
                <w:szCs w:val="13"/>
                <w:color w:val="auto"/>
              </w:rPr>
            </w:pPr>
          </w:p>
        </w:tc>
        <w:tc>
          <w:tcPr>
            <w:tcW w:w="26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300" w:type="dxa"/>
            <w:vAlign w:val="bottom"/>
            <w:shd w:val="clear" w:color="auto" w:fill="D9D9D9"/>
          </w:tcPr>
          <w:p>
            <w:pPr>
              <w:spacing w:after="0"/>
              <w:rPr>
                <w:sz w:val="13"/>
                <w:szCs w:val="13"/>
                <w:color w:val="auto"/>
              </w:rPr>
            </w:pPr>
          </w:p>
        </w:tc>
        <w:tc>
          <w:tcPr>
            <w:tcW w:w="98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1,425,600</w:t>
            </w:r>
          </w:p>
        </w:tc>
        <w:tc>
          <w:tcPr>
            <w:tcW w:w="40" w:type="dxa"/>
            <w:vAlign w:val="bottom"/>
            <w:shd w:val="clear" w:color="auto" w:fill="D9D9D9"/>
          </w:tcPr>
          <w:p>
            <w:pPr>
              <w:spacing w:after="0"/>
              <w:rPr>
                <w:sz w:val="14"/>
                <w:szCs w:val="14"/>
                <w:color w:val="auto"/>
              </w:rPr>
            </w:pP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791,499</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791,499</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791,499</w:t>
            </w: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Unvested &amp; Accelerated Restricted Stock Units</w:t>
            </w:r>
            <w:r>
              <w:rPr>
                <w:rFonts w:ascii="Arial" w:cs="Arial" w:eastAsia="Arial" w:hAnsi="Arial"/>
                <w:sz w:val="18"/>
                <w:szCs w:val="18"/>
                <w:color w:val="auto"/>
                <w:vertAlign w:val="superscript"/>
              </w:rPr>
              <w:t>(10)</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517,444</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517,444</w:t>
            </w:r>
          </w:p>
        </w:tc>
      </w:tr>
      <w:tr>
        <w:trPr>
          <w:trHeight w:val="162"/>
        </w:trPr>
        <w:tc>
          <w:tcPr>
            <w:tcW w:w="52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Accelerated Performance Share Award Payouts</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line="162" w:lineRule="exact"/>
              <w:rPr>
                <w:sz w:val="20"/>
                <w:szCs w:val="20"/>
                <w:color w:val="auto"/>
              </w:rPr>
            </w:pPr>
            <w:r>
              <w:rPr>
                <w:rFonts w:ascii="Arial" w:cs="Arial" w:eastAsia="Arial" w:hAnsi="Arial"/>
                <w:sz w:val="11"/>
                <w:szCs w:val="11"/>
                <w:color w:val="auto"/>
              </w:rPr>
              <w:t>499,909</w:t>
            </w:r>
            <w:r>
              <w:rPr>
                <w:rFonts w:ascii="Arial" w:cs="Arial" w:eastAsia="Arial" w:hAnsi="Arial"/>
                <w:sz w:val="18"/>
                <w:szCs w:val="18"/>
                <w:color w:val="auto"/>
                <w:vertAlign w:val="superscript"/>
              </w:rPr>
              <w:t>(4)</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line="162" w:lineRule="exact"/>
              <w:rPr>
                <w:sz w:val="20"/>
                <w:szCs w:val="20"/>
                <w:color w:val="auto"/>
              </w:rPr>
            </w:pPr>
            <w:r>
              <w:rPr>
                <w:rFonts w:ascii="Arial" w:cs="Arial" w:eastAsia="Arial" w:hAnsi="Arial"/>
                <w:sz w:val="11"/>
                <w:szCs w:val="11"/>
                <w:color w:val="auto"/>
              </w:rPr>
              <w:t>499,909</w:t>
            </w:r>
            <w:r>
              <w:rPr>
                <w:rFonts w:ascii="Arial" w:cs="Arial" w:eastAsia="Arial" w:hAnsi="Arial"/>
                <w:sz w:val="18"/>
                <w:szCs w:val="18"/>
                <w:color w:val="auto"/>
                <w:vertAlign w:val="superscript"/>
              </w:rPr>
              <w:t>(4)</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line="162" w:lineRule="exact"/>
              <w:rPr>
                <w:sz w:val="20"/>
                <w:szCs w:val="20"/>
                <w:color w:val="auto"/>
              </w:rPr>
            </w:pPr>
            <w:r>
              <w:rPr>
                <w:rFonts w:ascii="Arial" w:cs="Arial" w:eastAsia="Arial" w:hAnsi="Arial"/>
                <w:sz w:val="11"/>
                <w:szCs w:val="11"/>
                <w:color w:val="auto"/>
              </w:rPr>
              <w:t>823,335</w:t>
            </w:r>
            <w:r>
              <w:rPr>
                <w:rFonts w:ascii="Arial" w:cs="Arial" w:eastAsia="Arial" w:hAnsi="Arial"/>
                <w:sz w:val="18"/>
                <w:szCs w:val="18"/>
                <w:color w:val="auto"/>
                <w:vertAlign w:val="superscript"/>
              </w:rPr>
              <w:t>(5)</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line="162" w:lineRule="exact"/>
              <w:rPr>
                <w:sz w:val="20"/>
                <w:szCs w:val="20"/>
                <w:color w:val="auto"/>
              </w:rPr>
            </w:pPr>
            <w:r>
              <w:rPr>
                <w:rFonts w:ascii="Arial" w:cs="Arial" w:eastAsia="Arial" w:hAnsi="Arial"/>
                <w:sz w:val="11"/>
                <w:szCs w:val="11"/>
                <w:color w:val="auto"/>
              </w:rPr>
              <w:t>823,335</w:t>
            </w:r>
            <w:r>
              <w:rPr>
                <w:rFonts w:ascii="Arial" w:cs="Arial" w:eastAsia="Arial" w:hAnsi="Arial"/>
                <w:sz w:val="18"/>
                <w:szCs w:val="18"/>
                <w:color w:val="auto"/>
                <w:vertAlign w:val="superscript"/>
              </w:rPr>
              <w:t>(5)</w:t>
            </w: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57,363</w:t>
            </w:r>
          </w:p>
        </w:tc>
      </w:tr>
      <w:tr>
        <w:trPr>
          <w:trHeight w:val="162"/>
        </w:trPr>
        <w:tc>
          <w:tcPr>
            <w:tcW w:w="5280" w:type="dxa"/>
            <w:vAlign w:val="bottom"/>
            <w:shd w:val="clear" w:color="auto" w:fill="D9D9D9"/>
          </w:tcPr>
          <w:p>
            <w:pPr>
              <w:ind w:left="160"/>
              <w:spacing w:after="0" w:line="162"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30,000</w:t>
            </w:r>
          </w:p>
        </w:tc>
      </w:tr>
      <w:tr>
        <w:trPr>
          <w:trHeight w:val="165"/>
        </w:trPr>
        <w:tc>
          <w:tcPr>
            <w:tcW w:w="5280" w:type="dxa"/>
            <w:vAlign w:val="bottom"/>
            <w:shd w:val="clear" w:color="auto" w:fill="D9D9D9"/>
          </w:tcPr>
          <w:p>
            <w:pPr>
              <w:ind w:left="160"/>
              <w:spacing w:after="0" w:line="164" w:lineRule="exact"/>
              <w:rPr>
                <w:sz w:val="20"/>
                <w:szCs w:val="20"/>
                <w:color w:val="auto"/>
              </w:rPr>
            </w:pPr>
            <w:r>
              <w:rPr>
                <w:rFonts w:ascii="Arial" w:cs="Arial" w:eastAsia="Arial" w:hAnsi="Arial"/>
                <w:sz w:val="12"/>
                <w:szCs w:val="12"/>
                <w:color w:val="auto"/>
              </w:rPr>
              <w:t>Perquisites</w:t>
            </w:r>
            <w:r>
              <w:rPr>
                <w:rFonts w:ascii="Arial" w:cs="Arial" w:eastAsia="Arial" w:hAnsi="Arial"/>
                <w:sz w:val="19"/>
                <w:szCs w:val="19"/>
                <w:color w:val="auto"/>
                <w:vertAlign w:val="superscript"/>
              </w:rPr>
              <w:t>(9)</w:t>
            </w:r>
          </w:p>
        </w:tc>
        <w:tc>
          <w:tcPr>
            <w:tcW w:w="80" w:type="dxa"/>
            <w:vAlign w:val="bottom"/>
            <w:shd w:val="clear" w:color="auto" w:fill="D9D9D9"/>
          </w:tcPr>
          <w:p>
            <w:pPr>
              <w:spacing w:after="0"/>
              <w:rPr>
                <w:sz w:val="14"/>
                <w:szCs w:val="14"/>
                <w:color w:val="auto"/>
              </w:rPr>
            </w:pPr>
          </w:p>
        </w:tc>
        <w:tc>
          <w:tcPr>
            <w:tcW w:w="2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30,168</w:t>
            </w:r>
          </w:p>
        </w:tc>
        <w:tc>
          <w:tcPr>
            <w:tcW w:w="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0</w:t>
            </w:r>
          </w:p>
        </w:tc>
        <w:tc>
          <w:tcPr>
            <w:tcW w:w="300" w:type="dxa"/>
            <w:vAlign w:val="bottom"/>
            <w:shd w:val="clear" w:color="auto" w:fill="D9D9D9"/>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0</w:t>
            </w:r>
          </w:p>
        </w:tc>
      </w:tr>
      <w:tr>
        <w:trPr>
          <w:trHeight w:val="169"/>
        </w:trPr>
        <w:tc>
          <w:tcPr>
            <w:tcW w:w="5280" w:type="dxa"/>
            <w:vAlign w:val="bottom"/>
            <w:tcBorders>
              <w:top w:val="single" w:sz="8" w:color="D9D9D9"/>
            </w:tcBorders>
            <w:shd w:val="clear" w:color="auto" w:fill="D9D9D9"/>
          </w:tcPr>
          <w:p>
            <w:pPr>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D9D9D9"/>
            </w:tcBorders>
            <w:shd w:val="clear" w:color="auto" w:fill="D9D9D9"/>
          </w:tcPr>
          <w:p>
            <w:pPr>
              <w:spacing w:after="0"/>
              <w:rPr>
                <w:sz w:val="14"/>
                <w:szCs w:val="14"/>
                <w:color w:val="auto"/>
              </w:rPr>
            </w:pPr>
          </w:p>
        </w:tc>
        <w:tc>
          <w:tcPr>
            <w:tcW w:w="26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9D9D9"/>
          </w:tcPr>
          <w:p>
            <w:pPr>
              <w:jc w:val="right"/>
              <w:ind w:right="10"/>
              <w:spacing w:after="0"/>
              <w:rPr>
                <w:sz w:val="20"/>
                <w:szCs w:val="20"/>
                <w:color w:val="auto"/>
              </w:rPr>
            </w:pPr>
            <w:r>
              <w:rPr>
                <w:rFonts w:ascii="Arial" w:cs="Arial" w:eastAsia="Arial" w:hAnsi="Arial"/>
                <w:sz w:val="14"/>
                <w:szCs w:val="14"/>
                <w:color w:val="auto"/>
              </w:rPr>
              <w:t>530,077</w:t>
            </w:r>
          </w:p>
        </w:tc>
        <w:tc>
          <w:tcPr>
            <w:tcW w:w="14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9D9D9"/>
          </w:tcPr>
          <w:p>
            <w:pPr>
              <w:jc w:val="right"/>
              <w:ind w:right="11"/>
              <w:spacing w:after="0"/>
              <w:rPr>
                <w:sz w:val="20"/>
                <w:szCs w:val="20"/>
                <w:color w:val="auto"/>
              </w:rPr>
            </w:pPr>
            <w:r>
              <w:rPr>
                <w:rFonts w:ascii="Arial" w:cs="Arial" w:eastAsia="Arial" w:hAnsi="Arial"/>
                <w:sz w:val="14"/>
                <w:szCs w:val="14"/>
                <w:color w:val="auto"/>
              </w:rPr>
              <w:t>1,291,408</w:t>
            </w:r>
          </w:p>
        </w:tc>
        <w:tc>
          <w:tcPr>
            <w:tcW w:w="8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tcBorders>
            <w:shd w:val="clear" w:color="auto" w:fill="D9D9D9"/>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2,132,278</w:t>
            </w:r>
          </w:p>
        </w:tc>
        <w:tc>
          <w:tcPr>
            <w:tcW w:w="300" w:type="dxa"/>
            <w:vAlign w:val="bottom"/>
            <w:tcBorders>
              <w:top w:val="single" w:sz="8" w:color="auto"/>
            </w:tcBorders>
            <w:shd w:val="clear" w:color="auto" w:fill="D9D9D9"/>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3,645,241</w:t>
            </w:r>
          </w:p>
        </w:tc>
        <w:tc>
          <w:tcPr>
            <w:tcW w:w="40" w:type="dxa"/>
            <w:vAlign w:val="bottom"/>
            <w:tcBorders>
              <w:top w:val="single" w:sz="8" w:color="D9D9D9"/>
            </w:tcBorders>
            <w:shd w:val="clear" w:color="auto" w:fill="D9D9D9"/>
          </w:tcPr>
          <w:p>
            <w:pPr>
              <w:spacing w:after="0"/>
              <w:rPr>
                <w:sz w:val="14"/>
                <w:szCs w:val="14"/>
                <w:color w:val="auto"/>
              </w:rPr>
            </w:pPr>
          </w:p>
        </w:tc>
      </w:tr>
      <w:tr>
        <w:trPr>
          <w:trHeight w:val="159"/>
        </w:trPr>
        <w:tc>
          <w:tcPr>
            <w:tcW w:w="5280" w:type="dxa"/>
            <w:vAlign w:val="bottom"/>
          </w:tcPr>
          <w:p>
            <w:pPr>
              <w:spacing w:after="0" w:line="159" w:lineRule="exact"/>
              <w:rPr>
                <w:sz w:val="20"/>
                <w:szCs w:val="20"/>
                <w:color w:val="auto"/>
              </w:rPr>
            </w:pPr>
            <w:r>
              <w:rPr>
                <w:rFonts w:ascii="Arial" w:cs="Arial" w:eastAsia="Arial" w:hAnsi="Arial"/>
                <w:sz w:val="14"/>
                <w:szCs w:val="14"/>
                <w:color w:val="auto"/>
              </w:rPr>
              <w:t>Timothy P. Dordell</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Cash Severance Payment</w:t>
            </w:r>
            <w:r>
              <w:rPr>
                <w:rFonts w:ascii="Arial" w:cs="Arial" w:eastAsia="Arial" w:hAnsi="Arial"/>
                <w:sz w:val="18"/>
                <w:szCs w:val="18"/>
                <w:color w:val="auto"/>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1,360,000</w:t>
            </w:r>
          </w:p>
        </w:tc>
        <w:tc>
          <w:tcPr>
            <w:tcW w:w="40" w:type="dxa"/>
            <w:vAlign w:val="bottom"/>
          </w:tcPr>
          <w:p>
            <w:pPr>
              <w:spacing w:after="0"/>
              <w:rPr>
                <w:sz w:val="14"/>
                <w:szCs w:val="14"/>
                <w:color w:val="auto"/>
              </w:rPr>
            </w:pP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Unvested &amp; Accelerated Stock Options</w:t>
            </w:r>
            <w:r>
              <w:rPr>
                <w:rFonts w:ascii="Arial" w:cs="Arial" w:eastAsia="Arial" w:hAnsi="Arial"/>
                <w:sz w:val="18"/>
                <w:szCs w:val="18"/>
                <w:color w:val="auto"/>
                <w:vertAlign w:val="superscript"/>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777,924</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777,924</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777,924</w:t>
            </w:r>
          </w:p>
        </w:tc>
      </w:tr>
      <w:tr>
        <w:trPr>
          <w:trHeight w:val="162"/>
        </w:trPr>
        <w:tc>
          <w:tcPr>
            <w:tcW w:w="5280" w:type="dxa"/>
            <w:vAlign w:val="bottom"/>
          </w:tcPr>
          <w:p>
            <w:pPr>
              <w:ind w:left="160"/>
              <w:spacing w:after="0"/>
              <w:rPr>
                <w:sz w:val="20"/>
                <w:szCs w:val="20"/>
                <w:color w:val="auto"/>
              </w:rPr>
            </w:pPr>
            <w:r>
              <w:rPr>
                <w:rFonts w:ascii="Arial" w:cs="Arial" w:eastAsia="Arial" w:hAnsi="Arial"/>
                <w:sz w:val="14"/>
                <w:szCs w:val="14"/>
                <w:color w:val="auto"/>
              </w:rPr>
              <w:t>Accelerated Performance Share Award Payouts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line="162" w:lineRule="exact"/>
              <w:rPr>
                <w:sz w:val="20"/>
                <w:szCs w:val="20"/>
                <w:color w:val="auto"/>
              </w:rPr>
            </w:pPr>
            <w:r>
              <w:rPr>
                <w:rFonts w:ascii="Arial" w:cs="Arial" w:eastAsia="Arial" w:hAnsi="Arial"/>
                <w:sz w:val="11"/>
                <w:szCs w:val="11"/>
                <w:color w:val="auto"/>
              </w:rPr>
              <w:t>472,695</w:t>
            </w:r>
            <w:r>
              <w:rPr>
                <w:rFonts w:ascii="Arial" w:cs="Arial" w:eastAsia="Arial" w:hAnsi="Arial"/>
                <w:sz w:val="18"/>
                <w:szCs w:val="18"/>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line="162" w:lineRule="exact"/>
              <w:rPr>
                <w:sz w:val="20"/>
                <w:szCs w:val="20"/>
                <w:color w:val="auto"/>
              </w:rPr>
            </w:pPr>
            <w:r>
              <w:rPr>
                <w:rFonts w:ascii="Arial" w:cs="Arial" w:eastAsia="Arial" w:hAnsi="Arial"/>
                <w:sz w:val="11"/>
                <w:szCs w:val="11"/>
                <w:color w:val="auto"/>
              </w:rPr>
              <w:t>472,695</w:t>
            </w:r>
            <w:r>
              <w:rPr>
                <w:rFonts w:ascii="Arial" w:cs="Arial" w:eastAsia="Arial" w:hAnsi="Arial"/>
                <w:sz w:val="18"/>
                <w:szCs w:val="18"/>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1"/>
                <w:szCs w:val="11"/>
                <w:color w:val="auto"/>
              </w:rPr>
              <w:t>779,340</w:t>
            </w:r>
            <w:r>
              <w:rPr>
                <w:rFonts w:ascii="Arial" w:cs="Arial" w:eastAsia="Arial" w:hAnsi="Arial"/>
                <w:sz w:val="18"/>
                <w:szCs w:val="18"/>
                <w:color w:val="auto"/>
                <w:vertAlign w:val="superscript"/>
              </w:rPr>
              <w:t>(5)</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line="162" w:lineRule="exact"/>
              <w:rPr>
                <w:sz w:val="20"/>
                <w:szCs w:val="20"/>
                <w:color w:val="auto"/>
              </w:rPr>
            </w:pPr>
            <w:r>
              <w:rPr>
                <w:rFonts w:ascii="Arial" w:cs="Arial" w:eastAsia="Arial" w:hAnsi="Arial"/>
                <w:sz w:val="11"/>
                <w:szCs w:val="11"/>
                <w:color w:val="auto"/>
              </w:rPr>
              <w:t>779,340</w:t>
            </w:r>
            <w:r>
              <w:rPr>
                <w:rFonts w:ascii="Arial" w:cs="Arial" w:eastAsia="Arial" w:hAnsi="Arial"/>
                <w:sz w:val="18"/>
                <w:szCs w:val="18"/>
                <w:color w:val="auto"/>
                <w:vertAlign w:val="superscript"/>
              </w:rPr>
              <w:t>(5)</w:t>
            </w: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Welfare Plan Benefits</w:t>
            </w:r>
            <w:r>
              <w:rPr>
                <w:rFonts w:ascii="Arial" w:cs="Arial" w:eastAsia="Arial" w:hAnsi="Arial"/>
                <w:sz w:val="18"/>
                <w:szCs w:val="18"/>
                <w:color w:val="auto"/>
                <w:vertAlign w:val="superscript"/>
              </w:rPr>
              <w:t>(6)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40,590</w:t>
            </w:r>
          </w:p>
        </w:tc>
      </w:tr>
      <w:tr>
        <w:trPr>
          <w:trHeight w:val="162"/>
        </w:trPr>
        <w:tc>
          <w:tcPr>
            <w:tcW w:w="5280" w:type="dxa"/>
            <w:vAlign w:val="bottom"/>
          </w:tcPr>
          <w:p>
            <w:pPr>
              <w:ind w:left="160"/>
              <w:spacing w:after="0" w:line="162" w:lineRule="exact"/>
              <w:rPr>
                <w:sz w:val="20"/>
                <w:szCs w:val="20"/>
                <w:color w:val="auto"/>
              </w:rPr>
            </w:pPr>
            <w:r>
              <w:rPr>
                <w:rFonts w:ascii="Arial" w:cs="Arial" w:eastAsia="Arial" w:hAnsi="Arial"/>
                <w:sz w:val="11"/>
                <w:szCs w:val="11"/>
                <w:color w:val="auto"/>
              </w:rPr>
              <w:t>Outplacement Services</w:t>
            </w:r>
            <w:r>
              <w:rPr>
                <w:rFonts w:ascii="Arial" w:cs="Arial" w:eastAsia="Arial" w:hAnsi="Arial"/>
                <w:sz w:val="18"/>
                <w:szCs w:val="18"/>
                <w:color w:val="auto"/>
                <w:vertAlign w:val="superscript"/>
              </w:rPr>
              <w:t>(7)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30,000</w:t>
            </w:r>
          </w:p>
        </w:tc>
      </w:tr>
      <w:tr>
        <w:trPr>
          <w:trHeight w:val="165"/>
        </w:trPr>
        <w:tc>
          <w:tcPr>
            <w:tcW w:w="5280" w:type="dxa"/>
            <w:vAlign w:val="bottom"/>
          </w:tcPr>
          <w:p>
            <w:pPr>
              <w:ind w:left="160"/>
              <w:spacing w:after="0" w:line="164" w:lineRule="exact"/>
              <w:rPr>
                <w:sz w:val="20"/>
                <w:szCs w:val="20"/>
                <w:color w:val="auto"/>
              </w:rPr>
            </w:pPr>
            <w:r>
              <w:rPr>
                <w:rFonts w:ascii="Arial" w:cs="Arial" w:eastAsia="Arial" w:hAnsi="Arial"/>
                <w:sz w:val="12"/>
                <w:szCs w:val="12"/>
                <w:color w:val="auto"/>
              </w:rPr>
              <w:t>Perquisites</w:t>
            </w:r>
            <w:r>
              <w:rPr>
                <w:rFonts w:ascii="Arial" w:cs="Arial" w:eastAsia="Arial" w:hAnsi="Arial"/>
                <w:sz w:val="19"/>
                <w:szCs w:val="19"/>
                <w:color w:val="auto"/>
                <w:vertAlign w:val="superscript"/>
              </w:rPr>
              <w:t>(9)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37,071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4"/>
                <w:szCs w:val="14"/>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4"/>
                <w:szCs w:val="14"/>
                <w:color w:val="auto"/>
              </w:rPr>
              <w:t>Total</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509,766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1,250,619</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800" w:type="dxa"/>
            <w:vAlign w:val="bottom"/>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1,557,264</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2,987,854</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-3079115</wp:posOffset>
            </wp:positionV>
            <wp:extent cx="15093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3" w:lineRule="exact"/>
        <w:rPr>
          <w:sz w:val="20"/>
          <w:szCs w:val="20"/>
          <w:color w:val="auto"/>
        </w:rPr>
      </w:pPr>
    </w:p>
    <w:p>
      <w:pPr>
        <w:ind w:left="460" w:right="780" w:hanging="452"/>
        <w:spacing w:after="0" w:line="246"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Messrs. Hoffman, Brown and Dordell are the only named executive officers who met the retirement criteria on October 31, 2017. Mr. Hoffman retired as Executive Chairman on November 3, 2017.</w:t>
      </w:r>
    </w:p>
    <w:p>
      <w:pPr>
        <w:spacing w:after="0" w:line="61" w:lineRule="exact"/>
        <w:rPr>
          <w:rFonts w:ascii="Arial" w:cs="Arial" w:eastAsia="Arial" w:hAnsi="Arial"/>
          <w:sz w:val="18"/>
          <w:szCs w:val="18"/>
          <w:color w:val="auto"/>
        </w:rPr>
      </w:pPr>
    </w:p>
    <w:p>
      <w:pPr>
        <w:jc w:val="both"/>
        <w:ind w:left="460" w:right="74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2017) the sum of the named executive officer’s (a) then current annual base salary (based on twelve times the highest monthly base salary paid to the named executive officer during the fiscal year ended October 31, 2017) and (b) then current target annual cash incentive award.</w:t>
      </w:r>
    </w:p>
    <w:p>
      <w:pPr>
        <w:spacing w:after="0" w:line="67" w:lineRule="exact"/>
        <w:rPr>
          <w:rFonts w:ascii="Arial" w:cs="Arial" w:eastAsia="Arial" w:hAnsi="Arial"/>
          <w:sz w:val="18"/>
          <w:szCs w:val="18"/>
          <w:color w:val="auto"/>
        </w:rPr>
      </w:pPr>
    </w:p>
    <w:p>
      <w:pPr>
        <w:ind w:left="460" w:right="140" w:hanging="452"/>
        <w:spacing w:after="0" w:line="23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2017, and (b) the exercise price of the stock options. Because each of Messrs. Hoffman, Brown and Dordell meets the retirement criteria on October 31, 2017, any unvested stock options held would continue to vest for four additional years, but such extended vesting is not quantified in the above table, “Voluntary Resignation / Retirement” column.</w:t>
      </w:r>
    </w:p>
    <w:p>
      <w:pPr>
        <w:spacing w:after="0" w:line="67" w:lineRule="exact"/>
        <w:rPr>
          <w:rFonts w:ascii="Arial" w:cs="Arial" w:eastAsia="Arial" w:hAnsi="Arial"/>
          <w:sz w:val="18"/>
          <w:szCs w:val="18"/>
          <w:color w:val="auto"/>
        </w:rPr>
      </w:pPr>
    </w:p>
    <w:p>
      <w:pPr>
        <w:ind w:left="460" w:right="20" w:hanging="452"/>
        <w:spacing w:after="0" w:line="23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named executive officer’s fiscal 2016 to fiscal 2018 performance share awards (based on two years of the three-year performance period completed as of October 31, 2017) and one-third of the named executive officer’s fiscal 2017 to fiscal 2019 performance share awards (based on the completion of one year of the three-year performance period completed as of October 31, 2017), assuming that the Compensation &amp; Human Resources Committee approves the payout at financial plan levels of performance.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100" w:hanging="452"/>
        <w:spacing w:after="0" w:line="23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represents the value of the immediate payout of the applicable number of shares of our common stock that the named executive officer would have been entitled to receive as payout for performance share awards for each of the fiscal 2016 to fiscal 2018 performance period and the fiscal 2017 to fiscal 2019 performance period. The value is based on: (a) the number of outstanding performance share awards at target (maximum for Mr. Hoffman as he was no longer covered under the CIC Policy) as of October 31, 2017, multiplied by (b) the market price of our common stock on October 31, 2017.</w:t>
      </w:r>
    </w:p>
    <w:p>
      <w:pPr>
        <w:spacing w:after="0" w:line="67" w:lineRule="exact"/>
        <w:rPr>
          <w:rFonts w:ascii="Arial" w:cs="Arial" w:eastAsia="Arial" w:hAnsi="Arial"/>
          <w:sz w:val="18"/>
          <w:szCs w:val="18"/>
          <w:color w:val="auto"/>
        </w:rPr>
      </w:pPr>
    </w:p>
    <w:p>
      <w:pPr>
        <w:ind w:left="460" w:right="40" w:hanging="452"/>
        <w:spacing w:after="0" w:line="24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2017.</w:t>
      </w:r>
    </w:p>
    <w:p>
      <w:pPr>
        <w:spacing w:after="0" w:line="61" w:lineRule="exact"/>
        <w:rPr>
          <w:rFonts w:ascii="Arial" w:cs="Arial" w:eastAsia="Arial" w:hAnsi="Arial"/>
          <w:sz w:val="18"/>
          <w:szCs w:val="18"/>
          <w:color w:val="auto"/>
        </w:rPr>
      </w:pPr>
    </w:p>
    <w:p>
      <w:pPr>
        <w:ind w:left="460" w:right="260" w:hanging="452"/>
        <w:spacing w:after="0" w:line="24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61" w:lineRule="exact"/>
        <w:rPr>
          <w:rFonts w:ascii="Arial" w:cs="Arial" w:eastAsia="Arial" w:hAnsi="Arial"/>
          <w:sz w:val="18"/>
          <w:szCs w:val="18"/>
          <w:color w:val="auto"/>
        </w:rPr>
      </w:pPr>
    </w:p>
    <w:p>
      <w:pPr>
        <w:ind w:left="460" w:right="20" w:hanging="452"/>
        <w:spacing w:after="0" w:line="248"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Executive Chairman, pursuant to the applicable definition of “Executive” in the CIC policy, Mr. Hoffman was no longer covered under the CIC policy. As a result, the payments and benefits in connection with a change in control of us provided by the CIC policy for cash severance, welfare plan benefits and outplacement services were not applicable to him during fiscal 2017. However, the change in control provisions provided by our Amended and Restated 2010 Plan and 2000 Plan, as applicable, continue to apply to awards granted to</w:t>
      </w:r>
    </w:p>
    <w:p>
      <w:pPr>
        <w:spacing w:after="0" w:line="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Mr. Hoffman under such plans.</w:t>
      </w:r>
    </w:p>
    <w:p>
      <w:pPr>
        <w:spacing w:after="0" w:line="72" w:lineRule="exact"/>
        <w:rPr>
          <w:rFonts w:ascii="Arial" w:cs="Arial" w:eastAsia="Arial" w:hAnsi="Arial"/>
          <w:sz w:val="17"/>
          <w:szCs w:val="17"/>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ind w:left="46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76" w:lineRule="exact"/>
        <w:rPr>
          <w:rFonts w:ascii="Arial" w:cs="Arial" w:eastAsia="Arial" w:hAnsi="Arial"/>
          <w:sz w:val="18"/>
          <w:szCs w:val="18"/>
          <w:color w:val="auto"/>
        </w:rPr>
      </w:pPr>
    </w:p>
    <w:p>
      <w:pPr>
        <w:jc w:val="both"/>
        <w:ind w:left="460" w:right="1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as of October 31, 2017.</w:t>
      </w:r>
    </w:p>
    <w:p>
      <w:pPr>
        <w:spacing w:after="0" w:line="73"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2000 Plan and the related stock option agreements contain a “clawback” provision which provides that if,</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one year after the termination of employment the participant is employed or retained by or renders services to a competitor, violates any confidentiality agreement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participant and granted under the 2000 Plan and demand the return of the economic value of any stock option which was realized or obtained by such participant during the period beginning on the date that is 12 months prior to the date of termination to the date of the last exercise.</w:t>
      </w:r>
    </w:p>
    <w:p>
      <w:pPr>
        <w:spacing w:after="0" w:line="9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addition, under the Amended and Restated 2010 Plan and related award agreements, if a participant is determined by the Compensation &amp; Human Resources Committee to have taken any adverse action similar to those actions described above, all rights of such participant under the Amended and Restated 2010 Plan and any agreements evidencing an award then held by the participant will terminate and be forfeited and the Committee may require the executive to surrender and return to our Company any shares received, and/or to disgorge any profits or any other economic value made or realized by the 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must reimburse us for the amount of any award received by such individual under the Amended and Restated 2010 Plan during the 12 -month period following the first public issuance or filing with the SEC, as the case may be, of the financial document embodying such financial reporting requirement. These clawback provisions are in addition to any automatic clawback or forfeiture law, rule or regulation of which our named executive officers may be subject, including under the Sarbanes-Oxley Act of 2002 and the Dodd-Frank Act, as well as any policy that may be adopted by us.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974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EQUITY COMPENSATION PLAN INFORMATION</w:t>
      </w:r>
    </w:p>
    <w:p>
      <w:pPr>
        <w:spacing w:after="0" w:line="193"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2017, the last day of fiscal 2017.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spacing w:after="0"/>
              <w:rPr>
                <w:sz w:val="14"/>
                <w:szCs w:val="14"/>
                <w:color w:val="auto"/>
              </w:rPr>
            </w:pPr>
          </w:p>
        </w:tc>
        <w:tc>
          <w:tcPr>
            <w:tcW w:w="1680" w:type="dxa"/>
            <w:vAlign w:val="bottom"/>
            <w:shd w:val="clear" w:color="auto" w:fill="C00000"/>
          </w:tcPr>
          <w:p>
            <w:pPr>
              <w:spacing w:after="0"/>
              <w:rPr>
                <w:sz w:val="14"/>
                <w:szCs w:val="14"/>
                <w:color w:val="auto"/>
              </w:rPr>
            </w:pP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jc w:val="center"/>
              <w:ind w:left="627"/>
              <w:spacing w:after="0"/>
              <w:rPr>
                <w:sz w:val="20"/>
                <w:szCs w:val="20"/>
                <w:color w:val="auto"/>
              </w:rPr>
            </w:pPr>
            <w:r>
              <w:rPr>
                <w:rFonts w:ascii="Arial" w:cs="Arial" w:eastAsia="Arial" w:hAnsi="Arial"/>
                <w:sz w:val="14"/>
                <w:szCs w:val="14"/>
                <w:b w:val="1"/>
                <w:bCs w:val="1"/>
                <w:color w:val="FFFFFF"/>
              </w:rPr>
              <w:t>Number of Securities to</w:t>
            </w:r>
          </w:p>
        </w:tc>
        <w:tc>
          <w:tcPr>
            <w:tcW w:w="1680" w:type="dxa"/>
            <w:vAlign w:val="bottom"/>
            <w:shd w:val="clear" w:color="auto" w:fill="C00000"/>
          </w:tcPr>
          <w:p>
            <w:pPr>
              <w:spacing w:after="0"/>
              <w:rPr>
                <w:sz w:val="14"/>
                <w:szCs w:val="14"/>
                <w:color w:val="auto"/>
              </w:rPr>
            </w:pP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jc w:val="center"/>
              <w:ind w:left="647"/>
              <w:spacing w:after="0"/>
              <w:rPr>
                <w:sz w:val="20"/>
                <w:szCs w:val="20"/>
                <w:color w:val="auto"/>
              </w:rPr>
            </w:pPr>
            <w:r>
              <w:rPr>
                <w:rFonts w:ascii="Arial" w:cs="Arial" w:eastAsia="Arial" w:hAnsi="Arial"/>
                <w:sz w:val="14"/>
                <w:szCs w:val="14"/>
                <w:b w:val="1"/>
                <w:bCs w:val="1"/>
                <w:color w:val="FFFFFF"/>
              </w:rPr>
              <w:t>be Issued Upon</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020" w:type="dxa"/>
            <w:vAlign w:val="bottom"/>
            <w:shd w:val="clear" w:color="auto" w:fill="C00000"/>
          </w:tcPr>
          <w:p>
            <w:pPr>
              <w:jc w:val="center"/>
              <w:ind w:left="27"/>
              <w:spacing w:after="0"/>
              <w:rPr>
                <w:sz w:val="20"/>
                <w:szCs w:val="20"/>
                <w:color w:val="auto"/>
              </w:rPr>
            </w:pPr>
            <w:r>
              <w:rPr>
                <w:rFonts w:ascii="Arial" w:cs="Arial" w:eastAsia="Arial" w:hAnsi="Arial"/>
                <w:sz w:val="14"/>
                <w:szCs w:val="14"/>
                <w:b w:val="1"/>
                <w:bCs w:val="1"/>
                <w:color w:val="FFFFFF"/>
              </w:rPr>
              <w:t>Future Issuance Under</w:t>
            </w:r>
          </w:p>
        </w:tc>
      </w:tr>
      <w:tr>
        <w:trPr>
          <w:trHeight w:val="162"/>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jc w:val="center"/>
              <w:ind w:left="647"/>
              <w:spacing w:after="0"/>
              <w:rPr>
                <w:sz w:val="20"/>
                <w:szCs w:val="20"/>
                <w:color w:val="auto"/>
              </w:rPr>
            </w:pPr>
            <w:r>
              <w:rPr>
                <w:rFonts w:ascii="Arial" w:cs="Arial" w:eastAsia="Arial" w:hAnsi="Arial"/>
                <w:sz w:val="14"/>
                <w:szCs w:val="14"/>
                <w:b w:val="1"/>
                <w:bCs w:val="1"/>
                <w:color w:val="FFFFFF"/>
              </w:rPr>
              <w:t>Exercise of</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Equity Compensation Plans</w:t>
            </w:r>
          </w:p>
        </w:tc>
      </w:tr>
      <w:tr>
        <w:trPr>
          <w:trHeight w:val="162"/>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jc w:val="center"/>
              <w:ind w:left="647"/>
              <w:spacing w:after="0"/>
              <w:rPr>
                <w:sz w:val="20"/>
                <w:szCs w:val="20"/>
                <w:color w:val="auto"/>
              </w:rPr>
            </w:pPr>
            <w:r>
              <w:rPr>
                <w:rFonts w:ascii="Arial" w:cs="Arial" w:eastAsia="Arial" w:hAnsi="Arial"/>
                <w:sz w:val="14"/>
                <w:szCs w:val="14"/>
                <w:b w:val="1"/>
                <w:bCs w:val="1"/>
                <w:color w:val="FFFFFF"/>
              </w:rPr>
              <w:t>Outstanding Options,</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(excluding securities</w:t>
            </w:r>
          </w:p>
        </w:tc>
      </w:tr>
      <w:tr>
        <w:trPr>
          <w:trHeight w:val="162"/>
        </w:trPr>
        <w:tc>
          <w:tcPr>
            <w:tcW w:w="5160" w:type="dxa"/>
            <w:vAlign w:val="bottom"/>
            <w:shd w:val="clear" w:color="auto" w:fill="C00000"/>
          </w:tcPr>
          <w:p>
            <w:pPr>
              <w:spacing w:after="0"/>
              <w:rPr>
                <w:sz w:val="14"/>
                <w:szCs w:val="14"/>
                <w:color w:val="auto"/>
              </w:rPr>
            </w:pPr>
          </w:p>
        </w:tc>
        <w:tc>
          <w:tcPr>
            <w:tcW w:w="2560" w:type="dxa"/>
            <w:vAlign w:val="bottom"/>
            <w:shd w:val="clear" w:color="auto" w:fill="C00000"/>
          </w:tcPr>
          <w:p>
            <w:pPr>
              <w:jc w:val="center"/>
              <w:ind w:left="647"/>
              <w:spacing w:after="0"/>
              <w:rPr>
                <w:sz w:val="20"/>
                <w:szCs w:val="20"/>
                <w:color w:val="auto"/>
              </w:rPr>
            </w:pPr>
            <w:r>
              <w:rPr>
                <w:rFonts w:ascii="Arial" w:cs="Arial" w:eastAsia="Arial" w:hAnsi="Arial"/>
                <w:sz w:val="14"/>
                <w:szCs w:val="14"/>
                <w:b w:val="1"/>
                <w:bCs w:val="1"/>
                <w:color w:val="FFFFFF"/>
              </w:rPr>
              <w:t>Warrants and Rights</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reflected in column (a))</w:t>
            </w:r>
          </w:p>
        </w:tc>
      </w:tr>
      <w:tr>
        <w:trPr>
          <w:trHeight w:val="189"/>
        </w:trPr>
        <w:tc>
          <w:tcPr>
            <w:tcW w:w="5160" w:type="dxa"/>
            <w:vAlign w:val="bottom"/>
            <w:shd w:val="clear" w:color="auto" w:fill="C00000"/>
          </w:tcPr>
          <w:p>
            <w:pPr>
              <w:spacing w:after="0"/>
              <w:rPr>
                <w:sz w:val="20"/>
                <w:szCs w:val="20"/>
                <w:color w:val="auto"/>
              </w:rPr>
            </w:pPr>
            <w:r>
              <w:rPr>
                <w:rFonts w:ascii="Arial" w:cs="Arial" w:eastAsia="Arial" w:hAnsi="Arial"/>
                <w:sz w:val="14"/>
                <w:szCs w:val="14"/>
                <w:b w:val="1"/>
                <w:bCs w:val="1"/>
                <w:color w:val="FFFFFF"/>
              </w:rPr>
              <w:t>Plan Category</w:t>
            </w:r>
          </w:p>
        </w:tc>
        <w:tc>
          <w:tcPr>
            <w:tcW w:w="2560" w:type="dxa"/>
            <w:vAlign w:val="bottom"/>
            <w:shd w:val="clear" w:color="auto" w:fill="C00000"/>
          </w:tcPr>
          <w:p>
            <w:pPr>
              <w:jc w:val="center"/>
              <w:ind w:left="627"/>
              <w:spacing w:after="0"/>
              <w:rPr>
                <w:sz w:val="20"/>
                <w:szCs w:val="20"/>
                <w:color w:val="auto"/>
              </w:rPr>
            </w:pPr>
            <w:r>
              <w:rPr>
                <w:rFonts w:ascii="Arial" w:cs="Arial" w:eastAsia="Arial" w:hAnsi="Arial"/>
                <w:sz w:val="14"/>
                <w:szCs w:val="14"/>
                <w:b w:val="1"/>
                <w:bCs w:val="1"/>
                <w:color w:val="FFFFFF"/>
              </w:rPr>
              <w:t>(a)</w:t>
            </w:r>
          </w:p>
        </w:tc>
        <w:tc>
          <w:tcPr>
            <w:tcW w:w="1680" w:type="dxa"/>
            <w:vAlign w:val="bottom"/>
            <w:shd w:val="clear" w:color="auto" w:fill="C00000"/>
          </w:tcPr>
          <w:p>
            <w:pPr>
              <w:jc w:val="center"/>
              <w:spacing w:after="0"/>
              <w:rPr>
                <w:sz w:val="20"/>
                <w:szCs w:val="20"/>
                <w:color w:val="auto"/>
              </w:rPr>
            </w:pPr>
            <w:r>
              <w:rPr>
                <w:rFonts w:ascii="Arial" w:cs="Arial" w:eastAsia="Arial" w:hAnsi="Arial"/>
                <w:sz w:val="14"/>
                <w:szCs w:val="14"/>
                <w:b w:val="1"/>
                <w:bCs w:val="1"/>
                <w:color w:val="FFFFFF"/>
              </w:rPr>
              <w:t>(b)</w:t>
            </w:r>
          </w:p>
        </w:tc>
        <w:tc>
          <w:tcPr>
            <w:tcW w:w="2020" w:type="dxa"/>
            <w:vAlign w:val="bottom"/>
            <w:shd w:val="clear" w:color="auto" w:fill="C00000"/>
          </w:tcPr>
          <w:p>
            <w:pPr>
              <w:jc w:val="center"/>
              <w:ind w:left="47"/>
              <w:spacing w:after="0"/>
              <w:rPr>
                <w:sz w:val="20"/>
                <w:szCs w:val="20"/>
                <w:color w:val="auto"/>
              </w:rPr>
            </w:pPr>
            <w:r>
              <w:rPr>
                <w:rFonts w:ascii="Arial" w:cs="Arial" w:eastAsia="Arial" w:hAnsi="Arial"/>
                <w:sz w:val="14"/>
                <w:szCs w:val="14"/>
                <w:b w:val="1"/>
                <w:bCs w:val="1"/>
                <w:color w:val="FFFFFF"/>
              </w:rPr>
              <w:t>(c)</w:t>
            </w: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2560" w:type="dxa"/>
            <w:vAlign w:val="bottom"/>
          </w:tcPr>
          <w:p>
            <w:pPr>
              <w:jc w:val="center"/>
              <w:ind w:left="647"/>
              <w:spacing w:after="0" w:line="189" w:lineRule="exact"/>
              <w:rPr>
                <w:sz w:val="20"/>
                <w:szCs w:val="20"/>
                <w:color w:val="auto"/>
              </w:rPr>
            </w:pPr>
            <w:r>
              <w:rPr>
                <w:rFonts w:ascii="Arial" w:cs="Arial" w:eastAsia="Arial" w:hAnsi="Arial"/>
                <w:sz w:val="13"/>
                <w:szCs w:val="13"/>
                <w:color w:val="auto"/>
              </w:rPr>
              <w:t>5,148,269</w:t>
            </w:r>
            <w:r>
              <w:rPr>
                <w:rFonts w:ascii="Arial" w:cs="Arial" w:eastAsia="Arial" w:hAnsi="Arial"/>
                <w:sz w:val="21"/>
                <w:szCs w:val="21"/>
                <w:color w:val="auto"/>
                <w:vertAlign w:val="superscript"/>
              </w:rPr>
              <w:t>(1)</w:t>
            </w:r>
          </w:p>
        </w:tc>
        <w:tc>
          <w:tcPr>
            <w:tcW w:w="1680" w:type="dxa"/>
            <w:vAlign w:val="bottom"/>
          </w:tcPr>
          <w:p>
            <w:pPr>
              <w:jc w:val="center"/>
              <w:spacing w:after="0" w:line="189" w:lineRule="exact"/>
              <w:rPr>
                <w:sz w:val="20"/>
                <w:szCs w:val="20"/>
                <w:color w:val="auto"/>
              </w:rPr>
            </w:pPr>
            <w:r>
              <w:rPr>
                <w:rFonts w:ascii="Arial" w:cs="Arial" w:eastAsia="Arial" w:hAnsi="Arial"/>
                <w:sz w:val="13"/>
                <w:szCs w:val="13"/>
                <w:color w:val="auto"/>
              </w:rPr>
              <w:t>$26.22</w:t>
            </w:r>
            <w:r>
              <w:rPr>
                <w:rFonts w:ascii="Arial" w:cs="Arial" w:eastAsia="Arial" w:hAnsi="Arial"/>
                <w:sz w:val="21"/>
                <w:szCs w:val="21"/>
                <w:color w:val="auto"/>
                <w:vertAlign w:val="superscript"/>
              </w:rPr>
              <w:t>(2)</w:t>
            </w:r>
          </w:p>
        </w:tc>
        <w:tc>
          <w:tcPr>
            <w:tcW w:w="2020" w:type="dxa"/>
            <w:vAlign w:val="bottom"/>
          </w:tcPr>
          <w:p>
            <w:pPr>
              <w:jc w:val="center"/>
              <w:ind w:left="47"/>
              <w:spacing w:after="0" w:line="189" w:lineRule="exact"/>
              <w:rPr>
                <w:sz w:val="20"/>
                <w:szCs w:val="20"/>
                <w:color w:val="auto"/>
              </w:rPr>
            </w:pPr>
            <w:r>
              <w:rPr>
                <w:rFonts w:ascii="Arial" w:cs="Arial" w:eastAsia="Arial" w:hAnsi="Arial"/>
                <w:sz w:val="13"/>
                <w:szCs w:val="13"/>
                <w:color w:val="auto"/>
              </w:rPr>
              <w:t>5,517,897</w:t>
            </w:r>
            <w:r>
              <w:rPr>
                <w:rFonts w:ascii="Arial" w:cs="Arial" w:eastAsia="Arial" w:hAnsi="Arial"/>
                <w:sz w:val="21"/>
                <w:szCs w:val="21"/>
                <w:color w:val="auto"/>
                <w:vertAlign w:val="superscript"/>
              </w:rPr>
              <w:t>(3)</w:t>
            </w:r>
          </w:p>
        </w:tc>
      </w:tr>
      <w:tr>
        <w:trPr>
          <w:trHeight w:val="189"/>
        </w:trPr>
        <w:tc>
          <w:tcPr>
            <w:tcW w:w="5160" w:type="dxa"/>
            <w:vAlign w:val="bottom"/>
            <w:shd w:val="clear" w:color="auto" w:fill="D9D9D9"/>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560" w:type="dxa"/>
            <w:vAlign w:val="bottom"/>
            <w:shd w:val="clear" w:color="auto" w:fill="D9D9D9"/>
          </w:tcPr>
          <w:p>
            <w:pPr>
              <w:jc w:val="center"/>
              <w:ind w:left="627"/>
              <w:spacing w:after="0"/>
              <w:rPr>
                <w:sz w:val="20"/>
                <w:szCs w:val="20"/>
                <w:color w:val="auto"/>
              </w:rPr>
            </w:pPr>
            <w:r>
              <w:rPr>
                <w:rFonts w:ascii="Arial" w:cs="Arial" w:eastAsia="Arial" w:hAnsi="Arial"/>
                <w:sz w:val="16"/>
                <w:szCs w:val="16"/>
                <w:color w:val="auto"/>
                <w:w w:val="97"/>
              </w:rPr>
              <w:t>N/A</w:t>
            </w:r>
          </w:p>
        </w:tc>
        <w:tc>
          <w:tcPr>
            <w:tcW w:w="16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N/A</w:t>
            </w:r>
          </w:p>
        </w:tc>
        <w:tc>
          <w:tcPr>
            <w:tcW w:w="2020" w:type="dxa"/>
            <w:vAlign w:val="bottom"/>
            <w:shd w:val="clear" w:color="auto" w:fill="D9D9D9"/>
          </w:tcPr>
          <w:p>
            <w:pPr>
              <w:jc w:val="center"/>
              <w:ind w:left="47"/>
              <w:spacing w:after="0"/>
              <w:rPr>
                <w:sz w:val="20"/>
                <w:szCs w:val="20"/>
                <w:color w:val="auto"/>
              </w:rPr>
            </w:pPr>
            <w:r>
              <w:rPr>
                <w:rFonts w:ascii="Arial" w:cs="Arial" w:eastAsia="Arial" w:hAnsi="Arial"/>
                <w:sz w:val="16"/>
                <w:szCs w:val="16"/>
                <w:color w:val="auto"/>
                <w:w w:val="97"/>
              </w:rPr>
              <w:t>N/A</w:t>
            </w:r>
          </w:p>
        </w:tc>
      </w:tr>
      <w:tr>
        <w:trPr>
          <w:trHeight w:val="352"/>
        </w:trPr>
        <w:tc>
          <w:tcPr>
            <w:tcW w:w="5160" w:type="dxa"/>
            <w:vAlign w:val="bottom"/>
          </w:tcPr>
          <w:p>
            <w:pPr>
              <w:spacing w:after="0"/>
              <w:rPr>
                <w:sz w:val="20"/>
                <w:szCs w:val="20"/>
                <w:color w:val="auto"/>
              </w:rPr>
            </w:pPr>
            <w:r>
              <w:rPr>
                <w:rFonts w:ascii="Arial" w:cs="Arial" w:eastAsia="Arial" w:hAnsi="Arial"/>
                <w:sz w:val="16"/>
                <w:szCs w:val="16"/>
                <w:color w:val="auto"/>
              </w:rPr>
              <w:t>Total</w:t>
            </w:r>
          </w:p>
        </w:tc>
        <w:tc>
          <w:tcPr>
            <w:tcW w:w="2560" w:type="dxa"/>
            <w:vAlign w:val="bottom"/>
          </w:tcPr>
          <w:p>
            <w:pPr>
              <w:jc w:val="center"/>
              <w:ind w:left="647"/>
              <w:spacing w:after="0"/>
              <w:rPr>
                <w:sz w:val="20"/>
                <w:szCs w:val="20"/>
                <w:color w:val="auto"/>
              </w:rPr>
            </w:pPr>
            <w:r>
              <w:rPr>
                <w:rFonts w:ascii="Arial" w:cs="Arial" w:eastAsia="Arial" w:hAnsi="Arial"/>
                <w:sz w:val="16"/>
                <w:szCs w:val="16"/>
                <w:color w:val="auto"/>
                <w:w w:val="94"/>
              </w:rPr>
              <w:t>5,148,269</w:t>
            </w:r>
            <w:r>
              <w:rPr>
                <w:rFonts w:ascii="Arial" w:cs="Arial" w:eastAsia="Arial" w:hAnsi="Arial"/>
                <w:sz w:val="27"/>
                <w:szCs w:val="27"/>
                <w:color w:val="auto"/>
                <w:w w:val="94"/>
                <w:vertAlign w:val="superscript"/>
              </w:rPr>
              <w:t>(1)</w:t>
            </w: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$26.22</w:t>
            </w:r>
            <w:r>
              <w:rPr>
                <w:rFonts w:ascii="Arial" w:cs="Arial" w:eastAsia="Arial" w:hAnsi="Arial"/>
                <w:sz w:val="27"/>
                <w:szCs w:val="27"/>
                <w:color w:val="auto"/>
                <w:w w:val="92"/>
                <w:vertAlign w:val="superscript"/>
              </w:rPr>
              <w:t>(2)</w:t>
            </w:r>
          </w:p>
        </w:tc>
        <w:tc>
          <w:tcPr>
            <w:tcW w:w="2020" w:type="dxa"/>
            <w:vAlign w:val="bottom"/>
          </w:tcPr>
          <w:p>
            <w:pPr>
              <w:jc w:val="center"/>
              <w:ind w:left="47"/>
              <w:spacing w:after="0"/>
              <w:rPr>
                <w:sz w:val="20"/>
                <w:szCs w:val="20"/>
                <w:color w:val="auto"/>
              </w:rPr>
            </w:pPr>
            <w:r>
              <w:rPr>
                <w:rFonts w:ascii="Arial" w:cs="Arial" w:eastAsia="Arial" w:hAnsi="Arial"/>
                <w:sz w:val="16"/>
                <w:szCs w:val="16"/>
                <w:color w:val="auto"/>
                <w:w w:val="96"/>
              </w:rPr>
              <w:t>5,517,897</w:t>
            </w:r>
            <w:r>
              <w:rPr>
                <w:rFonts w:ascii="Arial" w:cs="Arial" w:eastAsia="Arial" w:hAnsi="Arial"/>
                <w:sz w:val="27"/>
                <w:szCs w:val="27"/>
                <w:color w:val="auto"/>
                <w:w w:val="9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886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6" w:lineRule="exact"/>
        <w:rPr>
          <w:sz w:val="20"/>
          <w:szCs w:val="20"/>
          <w:color w:val="auto"/>
        </w:rPr>
      </w:pPr>
    </w:p>
    <w:p>
      <w:pPr>
        <w:ind w:left="460" w:right="180" w:hanging="452"/>
        <w:spacing w:after="0" w:line="23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 includes: 579,664 outstanding stock options under the 2000 Plan; 76,128 outstanding stock options under the 2000 Directors Stock Plan; 3,803,903 outstanding stock options under the Amended and Restated 2010 Plan; 124,272 outstanding restricted stock unit awards under the Amended and Restated 2010 Plan, including share dividend equivalents that have been issued on such outstanding restricted stock units; and 564,302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70" w:lineRule="exact"/>
        <w:rPr>
          <w:rFonts w:ascii="Arial" w:cs="Arial" w:eastAsia="Arial" w:hAnsi="Arial"/>
          <w:sz w:val="18"/>
          <w:szCs w:val="18"/>
          <w:color w:val="auto"/>
        </w:rPr>
      </w:pPr>
    </w:p>
    <w:p>
      <w:pPr>
        <w:ind w:left="460" w:right="100" w:hanging="452"/>
        <w:spacing w:after="0" w:line="24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spacing w:after="0" w:line="61" w:lineRule="exact"/>
        <w:rPr>
          <w:rFonts w:ascii="Arial" w:cs="Arial" w:eastAsia="Arial" w:hAnsi="Arial"/>
          <w:sz w:val="18"/>
          <w:szCs w:val="18"/>
          <w:color w:val="auto"/>
        </w:rPr>
      </w:pPr>
    </w:p>
    <w:p>
      <w:pPr>
        <w:ind w:left="460" w:right="40" w:hanging="452"/>
        <w:spacing w:after="0" w:line="23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Amended and Restated 2010 Plan, which includes: 11,000,000 shares approved by our shareholders at the Annual Meeting of Shareholders held on March 16, 2010; 600,000 shares approved by our shareholders at the Annual Meeting of Shareholders held on March 17, 2015; and 796,486 shares that were subject to outstanding awards under the 2000 Plan, The Toro Company Performance Share Plan and the 2000 Directors Stock Plan (collectively, the “Prior Plans”) as of March 16, 2010, the date of adoption of the 2010 Plan, but only to the extent such outstanding awards under the Prior Plans were forfeited, expired or otherwise terminated without the issuance of such shares (the “Carryover Shares”) consisting of (a) 52,632 shares that were previously subject to awards under the 2000 Plan plus (b) 738,818 shares that were previously subject to awards under The Toro Company Performance Share Plan plus (c) 5,036 shares that were previously subject to awards under the 2000 Directors Stock Plan, less any shares issued or surrendered and not again available for issuance under the Amended and Restated 2010 Plan. The Carryover Shares may now be issued under the Amended and Restated 2010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2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FFFFFF"/>
        </w:rPr>
        <w:t>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Shareholder Proposals and Director Nominations for the 2019 Annual Meeting</w:t>
      </w:r>
    </w:p>
    <w:p>
      <w:pPr>
        <w:spacing w:after="0" w:line="126" w:lineRule="exact"/>
        <w:rPr>
          <w:sz w:val="20"/>
          <w:szCs w:val="20"/>
          <w:color w:val="auto"/>
        </w:rPr>
      </w:pPr>
    </w:p>
    <w:p>
      <w:pPr>
        <w:ind w:firstLine="456"/>
        <w:spacing w:after="0" w:line="234" w:lineRule="auto"/>
        <w:rPr>
          <w:sz w:val="20"/>
          <w:szCs w:val="20"/>
          <w:color w:val="auto"/>
        </w:rPr>
      </w:pPr>
      <w:r>
        <w:rPr>
          <w:rFonts w:ascii="Arial" w:cs="Arial" w:eastAsia="Arial" w:hAnsi="Arial"/>
          <w:sz w:val="18"/>
          <w:szCs w:val="18"/>
          <w:color w:val="auto"/>
        </w:rPr>
        <w:t>The 2019 Annual Meeting of Shareholders is expected to be held on March 19, 2019. In order for a shareholder proposal to be included in our proxy statement for the 2019 Annual Meeting, (i) our Vice President, Secretary and General Counsel must receive such proposal no later than the close of business on October 9, 2018, unless the date of the 2019 Annual Meeting is delayed by more than 30 calendar days; and</w:t>
      </w:r>
    </w:p>
    <w:p>
      <w:pPr>
        <w:spacing w:after="0" w:line="2" w:lineRule="exact"/>
        <w:rPr>
          <w:sz w:val="20"/>
          <w:szCs w:val="20"/>
          <w:color w:val="auto"/>
        </w:rPr>
      </w:pPr>
    </w:p>
    <w:p>
      <w:pPr>
        <w:ind w:right="120" w:firstLine="8"/>
        <w:spacing w:after="0" w:line="246" w:lineRule="auto"/>
        <w:tabs>
          <w:tab w:leader="none" w:pos="2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proposal must satisfy all of the requirements of, and not otherwise be permitted to be excluded under, Rule 14a-8 promulgated by the SEC and our Amended and Restated Bylaws.</w:t>
      </w:r>
    </w:p>
    <w:p>
      <w:pPr>
        <w:spacing w:after="0" w:line="8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Under our current Amended and Restated Bylaws, in order for a shareholder to nominate one or more persons for election to the Board at the 2019 Annual Meeting of Shareholders or propose any other business to be brought before the 2019 Annual Meeting, complete and timely notice must be given in writing and in proper form to our Vice President, Secretary and General Counsel not later than December 20, 2018, nor earlier than November 20, 2018. However, if the date of the 2019 Annual Meeting is advanced by more than 30 days or delayed by more than 60 days from the first anniversary date of the 2018 Annual Meeting of Shareholders, such notice must be delivered not earlier than the 120th day prior to the date of the rescheduled 2019 Annual Meeting and not later than the close of business on the later of the 90th day prior to the date of the rescheduled 2019 Annual Meeting or the 10th day following the day on which we first make a public announcement of the date of the rescheduled 2019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2019 Annual Meeting and as of the date that is 10 business days prior to the date of the 2019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2019 Annual Meeting. If a nomination or proposal is nonetheless brought before the 2019 Annual Meeting and the Chairman does not exercise the power and duty to declare the nomination or proposal defective, the persons named in the proxy may use their discretionary voting with respect to such nomination or proposal.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Householding of Annual Meeting Materials</w:t>
      </w:r>
    </w:p>
    <w:p>
      <w:pPr>
        <w:spacing w:after="0" w:line="126"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Annual Report</w:t>
      </w:r>
    </w:p>
    <w:p>
      <w:pPr>
        <w:spacing w:after="0" w:line="104"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b w:val="1"/>
          <w:bCs w:val="1"/>
          <w:color w:val="auto"/>
        </w:rPr>
        <w:t>A copy of Toro’s Annual Report on Form 10-K for the fiscal year ended October 31, 2017,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2017 Annual Report, which contains information about our business but is not part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60"/>
        <w:spacing w:after="0" w:line="372" w:lineRule="auto"/>
        <w:rPr>
          <w:sz w:val="20"/>
          <w:szCs w:val="20"/>
          <w:color w:val="auto"/>
        </w:rPr>
      </w:pPr>
      <w:r>
        <w:rPr>
          <w:rFonts w:ascii="Arial" w:cs="Arial" w:eastAsia="Arial" w:hAnsi="Arial"/>
          <w:sz w:val="18"/>
          <w:szCs w:val="18"/>
          <w:b w:val="1"/>
          <w:bCs w:val="1"/>
          <w:color w:val="auto"/>
        </w:rPr>
        <w:t xml:space="preserve">our disclosure deemed to be filed with the SEC, also is available on our website at www.thetorocompany.com/proxy. </w:t>
      </w:r>
      <w:r>
        <w:rPr>
          <w:rFonts w:ascii="Arial" w:cs="Arial" w:eastAsia="Arial" w:hAnsi="Arial"/>
          <w:sz w:val="18"/>
          <w:szCs w:val="18"/>
          <w:b w:val="1"/>
          <w:bCs w:val="1"/>
          <w:color w:val="C00000"/>
        </w:rPr>
        <w:t>Cost and Method of Solicitation</w:t>
      </w:r>
    </w:p>
    <w:p>
      <w:pPr>
        <w:spacing w:after="0" w:line="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 -employee directors, executive officers and other employees will not receive compensation for such services other than regular non-employee director or employee compensation. We have retained Morrow Sodali LLC, 470 West Avenue, Stamford, Connecticut, 06902, for an estimated fee of $8,000, plus out of pocket expenses, to assist in distributing proxy materials and soliciting proxies in connection with our 2018 Annual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2018</w:t>
      </w:r>
    </w:p>
    <w:p>
      <w:pPr>
        <w:spacing w:after="0" w:line="23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74930</wp:posOffset>
            </wp:positionV>
            <wp:extent cx="1440815" cy="3689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TIMOTHY P. DORDELL</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Secretary</w:t>
      </w:r>
    </w:p>
    <w:p>
      <w:pPr>
        <w:ind w:left="7280"/>
        <w:spacing w:after="0"/>
        <w:rPr>
          <w:sz w:val="20"/>
          <w:szCs w:val="20"/>
          <w:color w:val="auto"/>
        </w:rPr>
      </w:pPr>
      <w:r>
        <w:rPr>
          <w:rFonts w:ascii="Arial" w:cs="Arial" w:eastAsia="Arial" w:hAnsi="Arial"/>
          <w:sz w:val="18"/>
          <w:szCs w:val="18"/>
          <w:color w:val="auto"/>
        </w:rPr>
        <w:t>and General Counsel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090" cy="4889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09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TORO COMPANY</w:t>
      </w:r>
    </w:p>
    <w:p>
      <w:pPr>
        <w:spacing w:after="0" w:line="25" w:lineRule="exact"/>
        <w:rPr>
          <w:sz w:val="20"/>
          <w:szCs w:val="20"/>
          <w:color w:val="auto"/>
        </w:rPr>
      </w:pPr>
    </w:p>
    <w:p>
      <w:pPr>
        <w:ind w:right="1320"/>
        <w:spacing w:after="0" w:line="260" w:lineRule="auto"/>
        <w:rPr>
          <w:sz w:val="20"/>
          <w:szCs w:val="20"/>
          <w:color w:val="auto"/>
        </w:rPr>
      </w:pPr>
      <w:r>
        <w:rPr>
          <w:rFonts w:ascii="Arial" w:cs="Arial" w:eastAsia="Arial" w:hAnsi="Arial"/>
          <w:sz w:val="16"/>
          <w:szCs w:val="16"/>
          <w:b w:val="1"/>
          <w:bCs w:val="1"/>
          <w:i w:val="1"/>
          <w:iCs w:val="1"/>
          <w:color w:val="auto"/>
        </w:rPr>
        <w:t>8111 LYNDALE AVENUE SOUTH BLOOMINGTON, MN 55420-1196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 xml:space="preserve"> or scan the QR 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-1151255</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835660</wp:posOffset>
            </wp:positionH>
            <wp:positionV relativeFrom="paragraph">
              <wp:posOffset>-610870</wp:posOffset>
            </wp:positionV>
            <wp:extent cx="1878330" cy="4889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78330" cy="488950"/>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2"/>
          <w:szCs w:val="12"/>
          <w:color w:val="auto"/>
        </w:rPr>
        <w:t>Use the Internet to transmit your voting instructions up until 11:59 P.M. Eastern Time on March 19, 2018. Have your proxy card in hand when you access the web site and follow the instructions to obtain your records and to create an electronic voting instruction form.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11"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25" w:lineRule="exact"/>
        <w:rPr>
          <w:sz w:val="20"/>
          <w:szCs w:val="20"/>
          <w:color w:val="auto"/>
        </w:rPr>
      </w:pPr>
    </w:p>
    <w:p>
      <w:pPr>
        <w:jc w:val="both"/>
        <w:ind w:right="20"/>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March 19, 2018. Have your proxy card in hand when you call and then follow the instructions.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25"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820" w:space="720"/>
            <w:col w:w="688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60" w:type="dxa"/>
            <w:vAlign w:val="bottom"/>
            <w:gridSpan w:val="3"/>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vMerge w:val="restart"/>
          </w:tcPr>
          <w:p>
            <w:pPr>
              <w:ind w:left="320"/>
              <w:spacing w:after="0"/>
              <w:rPr>
                <w:sz w:val="20"/>
                <w:szCs w:val="20"/>
                <w:color w:val="auto"/>
              </w:rPr>
            </w:pPr>
            <w:r>
              <w:rPr>
                <w:rFonts w:ascii="Arial" w:cs="Arial" w:eastAsia="Arial" w:hAnsi="Arial"/>
                <w:sz w:val="13"/>
                <w:szCs w:val="13"/>
                <w:color w:val="auto"/>
              </w:rPr>
              <w:t>E35737-P00772-Z71588</w:t>
            </w:r>
          </w:p>
        </w:tc>
        <w:tc>
          <w:tcPr>
            <w:tcW w:w="280" w:type="dxa"/>
            <w:vAlign w:val="bottom"/>
          </w:tcPr>
          <w:p>
            <w:pPr>
              <w:spacing w:after="0"/>
              <w:rPr>
                <w:sz w:val="13"/>
                <w:szCs w:val="13"/>
                <w:color w:val="auto"/>
              </w:rPr>
            </w:pPr>
          </w:p>
        </w:tc>
        <w:tc>
          <w:tcPr>
            <w:tcW w:w="2660" w:type="dxa"/>
            <w:vAlign w:val="bottom"/>
            <w:gridSpan w:val="7"/>
            <w:vMerge w:val="restart"/>
          </w:tcPr>
          <w:p>
            <w:pPr>
              <w:jc w:val="right"/>
              <w:spacing w:after="0"/>
              <w:rPr>
                <w:sz w:val="20"/>
                <w:szCs w:val="20"/>
                <w:color w:val="auto"/>
              </w:rPr>
            </w:pPr>
            <w:r>
              <w:rPr>
                <w:rFonts w:ascii="Arial" w:cs="Arial" w:eastAsia="Arial" w:hAnsi="Arial"/>
                <w:sz w:val="13"/>
                <w:szCs w:val="13"/>
                <w:color w:val="auto"/>
                <w:w w:val="97"/>
              </w:rPr>
              <w:t>KEEP THIS PORTION FOR YOUR RECORDS</w:t>
            </w:r>
          </w:p>
        </w:tc>
        <w:tc>
          <w:tcPr>
            <w:tcW w:w="0" w:type="dxa"/>
            <w:vAlign w:val="bottom"/>
          </w:tcPr>
          <w:p>
            <w:pPr>
              <w:spacing w:after="0"/>
              <w:rPr>
                <w:sz w:val="1"/>
                <w:szCs w:val="1"/>
                <w:color w:val="auto"/>
              </w:rPr>
            </w:pPr>
          </w:p>
        </w:tc>
      </w:tr>
      <w:tr>
        <w:trPr>
          <w:trHeight w:val="123"/>
        </w:trPr>
        <w:tc>
          <w:tcPr>
            <w:tcW w:w="5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10100" w:type="dxa"/>
            <w:vAlign w:val="bottom"/>
            <w:gridSpan w:val="11"/>
          </w:tcPr>
          <w:p>
            <w:pPr>
              <w:ind w:left="360"/>
              <w:spacing w:after="0" w:line="197" w:lineRule="exact"/>
              <w:rPr>
                <w:sz w:val="20"/>
                <w:szCs w:val="20"/>
                <w:color w:val="auto"/>
              </w:rPr>
            </w:pPr>
            <w:r>
              <w:rPr>
                <w:rFonts w:ascii="Arial" w:cs="Arial" w:eastAsia="Arial" w:hAnsi="Arial"/>
                <w:sz w:val="18"/>
                <w:szCs w:val="18"/>
                <w:color w:val="auto"/>
              </w:rPr>
              <w:t>— — — — — — — — — — — — — — — — — — — — — — — — — — — — — — — — — —— — — — — — — —</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020" w:type="dxa"/>
            <w:vAlign w:val="bottom"/>
            <w:gridSpan w:val="4"/>
          </w:tcPr>
          <w:p>
            <w:pPr>
              <w:ind w:left="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80" w:type="dxa"/>
            <w:vAlign w:val="bottom"/>
          </w:tcPr>
          <w:p>
            <w:pPr>
              <w:spacing w:after="0"/>
              <w:rPr>
                <w:sz w:val="17"/>
                <w:szCs w:val="17"/>
                <w:color w:val="auto"/>
              </w:rPr>
            </w:pPr>
          </w:p>
        </w:tc>
        <w:tc>
          <w:tcPr>
            <w:tcW w:w="2660" w:type="dxa"/>
            <w:vAlign w:val="bottom"/>
            <w:gridSpan w:val="7"/>
          </w:tcPr>
          <w:p>
            <w:pPr>
              <w:jc w:val="right"/>
              <w:spacing w:after="0"/>
              <w:rPr>
                <w:sz w:val="20"/>
                <w:szCs w:val="20"/>
                <w:color w:val="auto"/>
              </w:rPr>
            </w:pPr>
            <w:r>
              <w:rPr>
                <w:rFonts w:ascii="Arial" w:cs="Arial" w:eastAsia="Arial" w:hAnsi="Arial"/>
                <w:sz w:val="13"/>
                <w:szCs w:val="13"/>
                <w:color w:val="auto"/>
                <w:w w:val="95"/>
              </w:rPr>
              <w:t>DETACH AND RETURN THIS PORTION ONLY</w:t>
            </w:r>
          </w:p>
        </w:tc>
        <w:tc>
          <w:tcPr>
            <w:tcW w:w="0" w:type="dxa"/>
            <w:vAlign w:val="bottom"/>
          </w:tcPr>
          <w:p>
            <w:pPr>
              <w:spacing w:after="0"/>
              <w:rPr>
                <w:sz w:val="1"/>
                <w:szCs w:val="1"/>
                <w:color w:val="auto"/>
              </w:rPr>
            </w:pPr>
          </w:p>
        </w:tc>
      </w:tr>
      <w:tr>
        <w:trPr>
          <w:trHeight w:val="195"/>
        </w:trPr>
        <w:tc>
          <w:tcPr>
            <w:tcW w:w="34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THE TORO COMPANY</w:t>
            </w:r>
          </w:p>
        </w:tc>
        <w:tc>
          <w:tcPr>
            <w:tcW w:w="1300" w:type="dxa"/>
            <w:vAlign w:val="bottom"/>
            <w:vMerge w:val="restart"/>
          </w:tcPr>
          <w:p>
            <w:pPr>
              <w:jc w:val="center"/>
              <w:ind w:left="830"/>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920" w:type="dxa"/>
            <w:vAlign w:val="bottom"/>
            <w:vMerge w:val="restart"/>
          </w:tcPr>
          <w:p>
            <w:pPr>
              <w:jc w:val="center"/>
              <w:ind w:right="291"/>
              <w:spacing w:after="0"/>
              <w:rPr>
                <w:sz w:val="20"/>
                <w:szCs w:val="20"/>
                <w:color w:val="auto"/>
              </w:rPr>
            </w:pPr>
            <w:r>
              <w:rPr>
                <w:rFonts w:ascii="Arial" w:cs="Arial" w:eastAsia="Arial" w:hAnsi="Arial"/>
                <w:sz w:val="13"/>
                <w:szCs w:val="13"/>
                <w:b w:val="1"/>
                <w:bCs w:val="1"/>
                <w:color w:val="auto"/>
                <w:w w:val="97"/>
              </w:rPr>
              <w:t>For All</w:t>
            </w:r>
          </w:p>
        </w:tc>
        <w:tc>
          <w:tcPr>
            <w:tcW w:w="2080" w:type="dxa"/>
            <w:vAlign w:val="bottom"/>
            <w:vMerge w:val="restart"/>
          </w:tcPr>
          <w:p>
            <w:pPr>
              <w:spacing w:after="0"/>
              <w:rPr>
                <w:sz w:val="20"/>
                <w:szCs w:val="20"/>
                <w:color w:val="auto"/>
              </w:rPr>
            </w:pPr>
            <w:r>
              <w:rPr>
                <w:rFonts w:ascii="Arial" w:cs="Arial" w:eastAsia="Arial" w:hAnsi="Arial"/>
                <w:sz w:val="13"/>
                <w:szCs w:val="13"/>
                <w:color w:val="auto"/>
              </w:rPr>
              <w:t>To  withhold  authority  to  vote  for</w:t>
            </w: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any</w:t>
            </w:r>
          </w:p>
        </w:tc>
        <w:tc>
          <w:tcPr>
            <w:tcW w:w="1180" w:type="dxa"/>
            <w:vAlign w:val="bottom"/>
            <w:gridSpan w:val="3"/>
            <w:vMerge w:val="restart"/>
          </w:tcPr>
          <w:p>
            <w:pPr>
              <w:jc w:val="right"/>
              <w:ind w:right="551"/>
              <w:spacing w:after="0"/>
              <w:rPr>
                <w:sz w:val="20"/>
                <w:szCs w:val="20"/>
                <w:color w:val="auto"/>
              </w:rPr>
            </w:pPr>
            <w:r>
              <w:rPr>
                <w:rFonts w:ascii="Arial" w:cs="Arial" w:eastAsia="Arial" w:hAnsi="Arial"/>
                <w:sz w:val="13"/>
                <w:szCs w:val="13"/>
                <w:color w:val="auto"/>
                <w:w w:val="99"/>
              </w:rPr>
              <w:t>individual</w:t>
            </w:r>
          </w:p>
        </w:tc>
        <w:tc>
          <w:tcPr>
            <w:tcW w:w="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346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00" w:type="dxa"/>
            <w:vAlign w:val="bottom"/>
          </w:tcPr>
          <w:p>
            <w:pPr>
              <w:jc w:val="center"/>
              <w:ind w:left="830"/>
              <w:spacing w:after="0"/>
              <w:rPr>
                <w:sz w:val="20"/>
                <w:szCs w:val="20"/>
                <w:color w:val="auto"/>
              </w:rPr>
            </w:pPr>
            <w:r>
              <w:rPr>
                <w:rFonts w:ascii="Arial" w:cs="Arial" w:eastAsia="Arial" w:hAnsi="Arial"/>
                <w:sz w:val="13"/>
                <w:szCs w:val="13"/>
                <w:b w:val="1"/>
                <w:bCs w:val="1"/>
                <w:color w:val="auto"/>
                <w:w w:val="96"/>
              </w:rPr>
              <w:t>All</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920" w:type="dxa"/>
            <w:vAlign w:val="bottom"/>
          </w:tcPr>
          <w:p>
            <w:pPr>
              <w:jc w:val="center"/>
              <w:ind w:right="271"/>
              <w:spacing w:after="0"/>
              <w:rPr>
                <w:sz w:val="20"/>
                <w:szCs w:val="20"/>
                <w:color w:val="auto"/>
              </w:rPr>
            </w:pPr>
            <w:r>
              <w:rPr>
                <w:rFonts w:ascii="Arial" w:cs="Arial" w:eastAsia="Arial" w:hAnsi="Arial"/>
                <w:sz w:val="13"/>
                <w:szCs w:val="13"/>
                <w:b w:val="1"/>
                <w:bCs w:val="1"/>
                <w:color w:val="auto"/>
                <w:w w:val="98"/>
              </w:rPr>
              <w:t>Except</w:t>
            </w:r>
          </w:p>
        </w:tc>
        <w:tc>
          <w:tcPr>
            <w:tcW w:w="2080" w:type="dxa"/>
            <w:vAlign w:val="bottom"/>
          </w:tcPr>
          <w:p>
            <w:pPr>
              <w:spacing w:after="0"/>
              <w:rPr>
                <w:sz w:val="20"/>
                <w:szCs w:val="20"/>
                <w:color w:val="auto"/>
              </w:rPr>
            </w:pPr>
            <w:r>
              <w:rPr>
                <w:rFonts w:ascii="Arial" w:cs="Arial" w:eastAsia="Arial" w:hAnsi="Arial"/>
                <w:sz w:val="13"/>
                <w:szCs w:val="13"/>
                <w:color w:val="auto"/>
              </w:rPr>
              <w:t>nominee(s), mark “For All Except”</w:t>
            </w:r>
          </w:p>
        </w:tc>
        <w:tc>
          <w:tcPr>
            <w:tcW w:w="280" w:type="dxa"/>
            <w:vAlign w:val="bottom"/>
          </w:tcPr>
          <w:p>
            <w:pPr>
              <w:ind w:left="60"/>
              <w:spacing w:after="0"/>
              <w:rPr>
                <w:sz w:val="20"/>
                <w:szCs w:val="20"/>
                <w:color w:val="auto"/>
              </w:rPr>
            </w:pPr>
            <w:r>
              <w:rPr>
                <w:rFonts w:ascii="Arial" w:cs="Arial" w:eastAsia="Arial" w:hAnsi="Arial"/>
                <w:sz w:val="13"/>
                <w:szCs w:val="13"/>
                <w:color w:val="auto"/>
                <w:w w:val="92"/>
              </w:rPr>
              <w:t>and</w:t>
            </w:r>
          </w:p>
        </w:tc>
        <w:tc>
          <w:tcPr>
            <w:tcW w:w="360" w:type="dxa"/>
            <w:vAlign w:val="bottom"/>
          </w:tcPr>
          <w:p>
            <w:pPr>
              <w:ind w:left="60"/>
              <w:spacing w:after="0"/>
              <w:rPr>
                <w:sz w:val="20"/>
                <w:szCs w:val="20"/>
                <w:color w:val="auto"/>
              </w:rPr>
            </w:pPr>
            <w:r>
              <w:rPr>
                <w:rFonts w:ascii="Arial" w:cs="Arial" w:eastAsia="Arial" w:hAnsi="Arial"/>
                <w:sz w:val="13"/>
                <w:szCs w:val="13"/>
                <w:color w:val="auto"/>
              </w:rPr>
              <w:t>write</w:t>
            </w:r>
          </w:p>
        </w:tc>
        <w:tc>
          <w:tcPr>
            <w:tcW w:w="820" w:type="dxa"/>
            <w:vAlign w:val="bottom"/>
            <w:gridSpan w:val="2"/>
          </w:tcPr>
          <w:p>
            <w:pPr>
              <w:jc w:val="right"/>
              <w:ind w:right="531"/>
              <w:spacing w:after="0"/>
              <w:rPr>
                <w:sz w:val="20"/>
                <w:szCs w:val="20"/>
                <w:color w:val="auto"/>
              </w:rPr>
            </w:pPr>
            <w:r>
              <w:rPr>
                <w:rFonts w:ascii="Arial" w:cs="Arial" w:eastAsia="Arial" w:hAnsi="Arial"/>
                <w:sz w:val="13"/>
                <w:szCs w:val="13"/>
                <w:color w:val="auto"/>
              </w:rPr>
              <w:t>the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The Board of Directors recommends you vote</w:t>
            </w: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gridSpan w:val="3"/>
          </w:tcPr>
          <w:p>
            <w:pPr>
              <w:spacing w:after="0" w:line="141" w:lineRule="exact"/>
              <w:rPr>
                <w:sz w:val="20"/>
                <w:szCs w:val="20"/>
                <w:color w:val="auto"/>
              </w:rPr>
            </w:pPr>
            <w:r>
              <w:rPr>
                <w:rFonts w:ascii="Arial" w:cs="Arial" w:eastAsia="Arial" w:hAnsi="Arial"/>
                <w:sz w:val="13"/>
                <w:szCs w:val="13"/>
                <w:color w:val="auto"/>
              </w:rPr>
              <w:t>number(s) of the nominee(s) on the line below.</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ind w:left="300"/>
              <w:spacing w:after="0"/>
              <w:rPr>
                <w:sz w:val="20"/>
                <w:szCs w:val="20"/>
                <w:color w:val="auto"/>
              </w:rPr>
            </w:pPr>
            <w:r>
              <w:rPr>
                <w:rFonts w:ascii="Arial" w:cs="Arial" w:eastAsia="Arial" w:hAnsi="Arial"/>
                <w:sz w:val="14"/>
                <w:szCs w:val="14"/>
                <w:b w:val="1"/>
                <w:bCs w:val="1"/>
                <w:color w:val="auto"/>
              </w:rPr>
              <w:t>FOR the following:</w:t>
            </w:r>
          </w:p>
        </w:tc>
        <w:tc>
          <w:tcPr>
            <w:tcW w:w="1300" w:type="dxa"/>
            <w:vAlign w:val="bottom"/>
            <w:vMerge w:val="restart"/>
          </w:tcPr>
          <w:p>
            <w:pPr>
              <w:jc w:val="center"/>
              <w:ind w:left="850"/>
              <w:spacing w:after="0" w:line="161" w:lineRule="exact"/>
              <w:rPr>
                <w:sz w:val="20"/>
                <w:szCs w:val="20"/>
                <w:color w:val="auto"/>
              </w:rPr>
            </w:pPr>
            <w:r>
              <w:rPr>
                <w:rFonts w:ascii="MS PGothic" w:cs="MS PGothic" w:eastAsia="MS PGothic" w:hAnsi="MS PGothic"/>
                <w:sz w:val="16"/>
                <w:szCs w:val="16"/>
                <w:color w:val="auto"/>
                <w:w w:val="87"/>
              </w:rPr>
              <w:t>☐</w:t>
            </w:r>
          </w:p>
        </w:tc>
        <w:tc>
          <w:tcPr>
            <w:tcW w:w="7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vMerge w:val="restart"/>
          </w:tcPr>
          <w:p>
            <w:pPr>
              <w:jc w:val="center"/>
              <w:ind w:right="311"/>
              <w:spacing w:after="0" w:line="161" w:lineRule="exact"/>
              <w:rPr>
                <w:sz w:val="20"/>
                <w:szCs w:val="20"/>
                <w:color w:val="auto"/>
              </w:rPr>
            </w:pPr>
            <w:r>
              <w:rPr>
                <w:rFonts w:ascii="MS PGothic" w:cs="MS PGothic" w:eastAsia="MS PGothic" w:hAnsi="MS PGothic"/>
                <w:sz w:val="16"/>
                <w:szCs w:val="16"/>
                <w:color w:val="auto"/>
                <w:w w:val="87"/>
              </w:rPr>
              <w:t>☐</w:t>
            </w:r>
          </w:p>
        </w:tc>
        <w:tc>
          <w:tcPr>
            <w:tcW w:w="2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 w:type="dxa"/>
            <w:vAlign w:val="bottom"/>
          </w:tcPr>
          <w:p>
            <w:pPr>
              <w:ind w:left="300"/>
              <w:spacing w:after="0"/>
              <w:rPr>
                <w:sz w:val="20"/>
                <w:szCs w:val="20"/>
                <w:color w:val="auto"/>
              </w:rPr>
            </w:pPr>
            <w:r>
              <w:rPr>
                <w:rFonts w:ascii="Arial" w:cs="Arial" w:eastAsia="Arial" w:hAnsi="Arial"/>
                <w:sz w:val="14"/>
                <w:szCs w:val="14"/>
                <w:color w:val="auto"/>
              </w:rPr>
              <w:t>1.</w:t>
            </w:r>
          </w:p>
        </w:tc>
        <w:tc>
          <w:tcPr>
            <w:tcW w:w="294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13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34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Nominees:</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460" w:type="dxa"/>
            <w:vAlign w:val="bottom"/>
            <w:gridSpan w:val="2"/>
          </w:tcPr>
          <w:p>
            <w:pPr>
              <w:ind w:left="300"/>
              <w:spacing w:after="0"/>
              <w:rPr>
                <w:sz w:val="20"/>
                <w:szCs w:val="20"/>
                <w:color w:val="auto"/>
              </w:rPr>
            </w:pPr>
            <w:r>
              <w:rPr>
                <w:rFonts w:ascii="Arial" w:cs="Arial" w:eastAsia="Arial" w:hAnsi="Arial"/>
                <w:sz w:val="14"/>
                <w:szCs w:val="14"/>
                <w:color w:val="auto"/>
              </w:rPr>
              <w:t>01) Janet K. Cooper</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00"/>
              <w:spacing w:after="0"/>
              <w:rPr>
                <w:sz w:val="20"/>
                <w:szCs w:val="20"/>
                <w:color w:val="auto"/>
              </w:rPr>
            </w:pPr>
            <w:r>
              <w:rPr>
                <w:rFonts w:ascii="Arial" w:cs="Arial" w:eastAsia="Arial" w:hAnsi="Arial"/>
                <w:sz w:val="14"/>
                <w:szCs w:val="14"/>
                <w:color w:val="auto"/>
                <w:w w:val="98"/>
              </w:rPr>
              <w:t>02)</w:t>
            </w:r>
          </w:p>
        </w:tc>
        <w:tc>
          <w:tcPr>
            <w:tcW w:w="2940" w:type="dxa"/>
            <w:vAlign w:val="bottom"/>
          </w:tcPr>
          <w:p>
            <w:pPr>
              <w:ind w:left="60"/>
              <w:spacing w:after="0"/>
              <w:rPr>
                <w:sz w:val="20"/>
                <w:szCs w:val="20"/>
                <w:color w:val="auto"/>
              </w:rPr>
            </w:pPr>
            <w:r>
              <w:rPr>
                <w:rFonts w:ascii="Arial" w:cs="Arial" w:eastAsia="Arial" w:hAnsi="Arial"/>
                <w:sz w:val="14"/>
                <w:szCs w:val="14"/>
                <w:color w:val="auto"/>
              </w:rPr>
              <w:t>Gary L. Ellis</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ind w:left="300"/>
              <w:spacing w:after="0"/>
              <w:rPr>
                <w:sz w:val="20"/>
                <w:szCs w:val="20"/>
                <w:color w:val="auto"/>
              </w:rPr>
            </w:pPr>
            <w:r>
              <w:rPr>
                <w:rFonts w:ascii="Arial" w:cs="Arial" w:eastAsia="Arial" w:hAnsi="Arial"/>
                <w:sz w:val="14"/>
                <w:szCs w:val="14"/>
                <w:color w:val="auto"/>
                <w:w w:val="98"/>
              </w:rPr>
              <w:t>03)</w:t>
            </w:r>
          </w:p>
        </w:tc>
        <w:tc>
          <w:tcPr>
            <w:tcW w:w="2940" w:type="dxa"/>
            <w:vAlign w:val="bottom"/>
          </w:tcPr>
          <w:p>
            <w:pPr>
              <w:ind w:left="60"/>
              <w:spacing w:after="0"/>
              <w:rPr>
                <w:sz w:val="20"/>
                <w:szCs w:val="20"/>
                <w:color w:val="auto"/>
              </w:rPr>
            </w:pPr>
            <w:r>
              <w:rPr>
                <w:rFonts w:ascii="Arial" w:cs="Arial" w:eastAsia="Arial" w:hAnsi="Arial"/>
                <w:sz w:val="14"/>
                <w:szCs w:val="14"/>
                <w:color w:val="auto"/>
              </w:rPr>
              <w:t>Gregg W. Steinhafel</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ind w:left="300"/>
              <w:spacing w:after="0"/>
              <w:rPr>
                <w:sz w:val="20"/>
                <w:szCs w:val="20"/>
                <w:color w:val="auto"/>
              </w:rPr>
            </w:pPr>
            <w:r>
              <w:rPr>
                <w:rFonts w:ascii="Arial" w:cs="Arial" w:eastAsia="Arial" w:hAnsi="Arial"/>
                <w:sz w:val="14"/>
                <w:szCs w:val="14"/>
                <w:color w:val="auto"/>
                <w:w w:val="98"/>
              </w:rPr>
              <w:t>04)</w:t>
            </w:r>
          </w:p>
        </w:tc>
        <w:tc>
          <w:tcPr>
            <w:tcW w:w="2940" w:type="dxa"/>
            <w:vAlign w:val="bottom"/>
          </w:tcPr>
          <w:p>
            <w:pPr>
              <w:ind w:left="60"/>
              <w:spacing w:after="0"/>
              <w:rPr>
                <w:sz w:val="20"/>
                <w:szCs w:val="20"/>
                <w:color w:val="auto"/>
              </w:rPr>
            </w:pPr>
            <w:r>
              <w:rPr>
                <w:rFonts w:ascii="Arial" w:cs="Arial" w:eastAsia="Arial" w:hAnsi="Arial"/>
                <w:sz w:val="14"/>
                <w:szCs w:val="14"/>
                <w:color w:val="auto"/>
              </w:rPr>
              <w:t>Michael G. Vale, Ph.D.</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3"/>
        </w:trPr>
        <w:tc>
          <w:tcPr>
            <w:tcW w:w="4760" w:type="dxa"/>
            <w:vAlign w:val="bottom"/>
            <w:gridSpan w:val="3"/>
          </w:tcPr>
          <w:p>
            <w:pPr>
              <w:ind w:left="300"/>
              <w:spacing w:after="0"/>
              <w:rPr>
                <w:sz w:val="20"/>
                <w:szCs w:val="20"/>
                <w:color w:val="auto"/>
              </w:rPr>
            </w:pPr>
            <w:r>
              <w:rPr>
                <w:rFonts w:ascii="Arial" w:cs="Arial" w:eastAsia="Arial" w:hAnsi="Arial"/>
                <w:sz w:val="13"/>
                <w:szCs w:val="13"/>
                <w:b w:val="1"/>
                <w:bCs w:val="1"/>
                <w:color w:val="auto"/>
              </w:rPr>
              <w:t>The Board of Directors recommends you vote FOR proposals 2 and 3.</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ind w:left="131"/>
              <w:spacing w:after="0"/>
              <w:rPr>
                <w:sz w:val="20"/>
                <w:szCs w:val="20"/>
                <w:color w:val="auto"/>
              </w:rPr>
            </w:pPr>
            <w:r>
              <w:rPr>
                <w:rFonts w:ascii="Arial" w:cs="Arial" w:eastAsia="Arial" w:hAnsi="Arial"/>
                <w:sz w:val="13"/>
                <w:szCs w:val="13"/>
                <w:b w:val="1"/>
                <w:bCs w:val="1"/>
                <w:color w:val="auto"/>
                <w:w w:val="95"/>
              </w:rPr>
              <w:t>For</w:t>
            </w:r>
          </w:p>
        </w:tc>
        <w:tc>
          <w:tcPr>
            <w:tcW w:w="6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Against</w:t>
            </w: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372"/>
        </w:trPr>
        <w:tc>
          <w:tcPr>
            <w:tcW w:w="9120" w:type="dxa"/>
            <w:vAlign w:val="bottom"/>
            <w:gridSpan w:val="8"/>
          </w:tcPr>
          <w:p>
            <w:pPr>
              <w:ind w:left="300"/>
              <w:spacing w:after="0"/>
              <w:rPr>
                <w:sz w:val="20"/>
                <w:szCs w:val="20"/>
                <w:color w:val="auto"/>
              </w:rPr>
            </w:pPr>
            <w:r>
              <w:rPr>
                <w:rFonts w:ascii="Arial" w:cs="Arial" w:eastAsia="Arial" w:hAnsi="Arial"/>
                <w:sz w:val="14"/>
                <w:szCs w:val="14"/>
                <w:color w:val="auto"/>
              </w:rPr>
              <w:t>2.  Ratification of the selection of KPMG LLP as our independent registered public accounting firm for our fiscal year ending October 31,</w:t>
            </w:r>
          </w:p>
        </w:tc>
        <w:tc>
          <w:tcPr>
            <w:tcW w:w="220" w:type="dxa"/>
            <w:vAlign w:val="bottom"/>
          </w:tcPr>
          <w:p>
            <w:pPr>
              <w:spacing w:after="0"/>
              <w:rPr>
                <w:sz w:val="24"/>
                <w:szCs w:val="24"/>
                <w:color w:val="auto"/>
              </w:rPr>
            </w:pPr>
          </w:p>
        </w:tc>
        <w:tc>
          <w:tcPr>
            <w:tcW w:w="600" w:type="dxa"/>
            <w:vAlign w:val="bottom"/>
          </w:tcPr>
          <w:p>
            <w:pPr>
              <w:jc w:val="center"/>
              <w:ind w:left="131"/>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gridSpan w:val="2"/>
          </w:tcPr>
          <w:p>
            <w:pPr>
              <w:jc w:val="center"/>
              <w:ind w:right="2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940" w:type="dxa"/>
            <w:vAlign w:val="bottom"/>
          </w:tcPr>
          <w:p>
            <w:pPr>
              <w:ind w:left="60"/>
              <w:spacing w:after="0"/>
              <w:rPr>
                <w:sz w:val="20"/>
                <w:szCs w:val="20"/>
                <w:color w:val="auto"/>
              </w:rPr>
            </w:pPr>
            <w:r>
              <w:rPr>
                <w:rFonts w:ascii="Arial" w:cs="Arial" w:eastAsia="Arial" w:hAnsi="Arial"/>
                <w:sz w:val="14"/>
                <w:szCs w:val="14"/>
                <w:color w:val="auto"/>
              </w:rPr>
              <w:t>2018.</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520" w:type="dxa"/>
            <w:vAlign w:val="bottom"/>
          </w:tcPr>
          <w:p>
            <w:pPr>
              <w:ind w:left="300"/>
              <w:spacing w:after="0"/>
              <w:rPr>
                <w:sz w:val="20"/>
                <w:szCs w:val="20"/>
                <w:color w:val="auto"/>
              </w:rPr>
            </w:pPr>
            <w:r>
              <w:rPr>
                <w:rFonts w:ascii="Arial" w:cs="Arial" w:eastAsia="Arial" w:hAnsi="Arial"/>
                <w:sz w:val="14"/>
                <w:szCs w:val="14"/>
                <w:color w:val="auto"/>
              </w:rPr>
              <w:t>3.</w:t>
            </w:r>
          </w:p>
        </w:tc>
        <w:tc>
          <w:tcPr>
            <w:tcW w:w="4240" w:type="dxa"/>
            <w:vAlign w:val="bottom"/>
            <w:gridSpan w:val="2"/>
          </w:tcPr>
          <w:p>
            <w:pPr>
              <w:ind w:left="40"/>
              <w:spacing w:after="0"/>
              <w:rPr>
                <w:sz w:val="20"/>
                <w:szCs w:val="20"/>
                <w:color w:val="auto"/>
              </w:rPr>
            </w:pPr>
            <w:r>
              <w:rPr>
                <w:rFonts w:ascii="Arial" w:cs="Arial" w:eastAsia="Arial" w:hAnsi="Arial"/>
                <w:sz w:val="14"/>
                <w:szCs w:val="14"/>
                <w:color w:val="auto"/>
              </w:rPr>
              <w:t>Approval of, on an advisory basis, our executive compensation.</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ind w:left="131"/>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gridSpan w:val="2"/>
          </w:tcPr>
          <w:p>
            <w:pPr>
              <w:jc w:val="center"/>
              <w:ind w:right="2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-2244090</wp:posOffset>
            </wp:positionV>
            <wp:extent cx="7254875" cy="41675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41675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156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any other business properly brought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of the annual meeting.</w:t>
      </w:r>
    </w:p>
    <w:p>
      <w:pPr>
        <w:spacing w:after="0" w:line="30" w:lineRule="exact"/>
        <w:rPr>
          <w:sz w:val="20"/>
          <w:szCs w:val="20"/>
          <w:color w:val="auto"/>
        </w:rPr>
      </w:pPr>
    </w:p>
    <w:p>
      <w:pPr>
        <w:ind w:left="300"/>
        <w:spacing w:after="0" w:line="161" w:lineRule="exact"/>
        <w:tabs>
          <w:tab w:leader="none" w:pos="5540" w:val="left"/>
        </w:tabs>
        <w:rPr>
          <w:sz w:val="20"/>
          <w:szCs w:val="20"/>
          <w:color w:val="auto"/>
        </w:rPr>
      </w:pPr>
      <w:r>
        <w:rPr>
          <w:rFonts w:ascii="Arial" w:cs="Arial" w:eastAsia="Arial" w:hAnsi="Arial"/>
          <w:sz w:val="14"/>
          <w:szCs w:val="14"/>
          <w:color w:val="auto"/>
        </w:rPr>
        <w:t>For address changes, mark here. (see reverse for instructions)</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right="2080"/>
        <w:spacing w:after="0" w:line="258" w:lineRule="auto"/>
        <w:rPr>
          <w:sz w:val="20"/>
          <w:szCs w:val="20"/>
          <w:color w:val="auto"/>
        </w:rPr>
      </w:pPr>
      <w:r>
        <w:rPr>
          <w:rFonts w:ascii="Arial" w:cs="Arial" w:eastAsia="Arial" w:hAnsi="Arial"/>
          <w:sz w:val="14"/>
          <w:szCs w:val="14"/>
          <w:color w:val="auto"/>
        </w:rPr>
        <w:t>Please sign exactly as your name(s) appear(s) on this proxy. If held in joint tenancy, all persons must sign. Trustees, administrators, etc., should include title and authority. Corporations should provide full name of corporation and title of authorized officer signing the Proxy.</w:t>
      </w:r>
    </w:p>
    <w:p>
      <w:pPr>
        <w:spacing w:after="0" w:line="200" w:lineRule="exact"/>
        <w:rPr>
          <w:sz w:val="20"/>
          <w:szCs w:val="20"/>
          <w:color w:val="auto"/>
        </w:rPr>
      </w:pPr>
    </w:p>
    <w:p>
      <w:pPr>
        <w:spacing w:after="0" w:line="334" w:lineRule="exact"/>
        <w:rPr>
          <w:sz w:val="20"/>
          <w:szCs w:val="20"/>
          <w:color w:val="auto"/>
        </w:rPr>
      </w:pPr>
    </w:p>
    <w:p>
      <w:pPr>
        <w:ind w:left="300"/>
        <w:spacing w:after="0"/>
        <w:tabs>
          <w:tab w:leader="none" w:pos="3440" w:val="left"/>
          <w:tab w:leader="none" w:pos="6380" w:val="left"/>
          <w:tab w:leader="none" w:pos="85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March 20,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 p.m. CDT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12" w:lineRule="exact"/>
        <w:rPr>
          <w:sz w:val="20"/>
          <w:szCs w:val="20"/>
          <w:color w:val="auto"/>
        </w:rPr>
      </w:pPr>
    </w:p>
    <w:p>
      <w:pPr>
        <w:jc w:val="center"/>
        <w:ind w:left="260" w:right="19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for the Annual Meeting of Shareholders on March 20, 2018, and our 2017 Annual Report are available at www.thetorocompany.com/proxy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w:t>
      </w:r>
    </w:p>
    <w:p>
      <w:pPr>
        <w:ind w:left="10240"/>
        <w:spacing w:after="0"/>
        <w:rPr>
          <w:sz w:val="20"/>
          <w:szCs w:val="20"/>
          <w:color w:val="auto"/>
        </w:rPr>
      </w:pPr>
      <w:r>
        <w:rPr>
          <w:rFonts w:ascii="Arial" w:cs="Arial" w:eastAsia="Arial" w:hAnsi="Arial"/>
          <w:sz w:val="10"/>
          <w:szCs w:val="10"/>
          <w:color w:val="auto"/>
        </w:rPr>
        <w:t>E35738-P00772-Z71588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254875" cy="37560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375602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Toro Company</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8111 Lyndale Ave South</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Bloomington, MN 55420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w:t>
      </w:r>
    </w:p>
    <w:p>
      <w:pPr>
        <w:spacing w:after="0" w:line="208" w:lineRule="exact"/>
        <w:rPr>
          <w:sz w:val="20"/>
          <w:szCs w:val="20"/>
          <w:color w:val="auto"/>
        </w:rPr>
      </w:pPr>
    </w:p>
    <w:p>
      <w:pPr>
        <w:sectPr>
          <w:pgSz w:w="11900" w:h="16838" w:orient="portrait"/>
          <w:cols w:equalWidth="0" w:num="2">
            <w:col w:w="9960" w:space="720"/>
            <w:col w:w="740"/>
          </w:cols>
          <w:pgMar w:left="240" w:top="459" w:right="239" w:bottom="1440" w:gutter="0" w:footer="0" w:header="0"/>
          <w:type w:val="continuous"/>
        </w:sectPr>
      </w:pPr>
    </w:p>
    <w:p>
      <w:pPr>
        <w:spacing w:after="0" w:line="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20, 2018.</w:t>
      </w:r>
    </w:p>
    <w:p>
      <w:pPr>
        <w:spacing w:after="0" w:line="139" w:lineRule="exact"/>
        <w:rPr>
          <w:sz w:val="20"/>
          <w:szCs w:val="20"/>
          <w:color w:val="auto"/>
        </w:rPr>
      </w:pPr>
    </w:p>
    <w:p>
      <w:pPr>
        <w:jc w:val="both"/>
        <w:ind w:left="260" w:right="240"/>
        <w:spacing w:after="0"/>
        <w:rPr>
          <w:sz w:val="20"/>
          <w:szCs w:val="20"/>
          <w:color w:val="auto"/>
        </w:rPr>
      </w:pPr>
      <w:r>
        <w:rPr>
          <w:rFonts w:ascii="Arial" w:cs="Arial" w:eastAsia="Arial" w:hAnsi="Arial"/>
          <w:sz w:val="18"/>
          <w:szCs w:val="18"/>
          <w:color w:val="auto"/>
        </w:rPr>
        <w:t>The shares of stock held in this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and 3.</w:t>
      </w:r>
    </w:p>
    <w:p>
      <w:pPr>
        <w:spacing w:after="0" w:line="139" w:lineRule="exact"/>
        <w:rPr>
          <w:sz w:val="20"/>
          <w:szCs w:val="20"/>
          <w:color w:val="auto"/>
        </w:rPr>
      </w:pPr>
    </w:p>
    <w:p>
      <w:pPr>
        <w:jc w:val="both"/>
        <w:ind w:left="260" w:right="260"/>
        <w:spacing w:after="0" w:line="239"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R. M. Olson and T. P. Dordell, or either of them, with full power of substitution, to vote these shares on the matters shown on the reverse side and on any other business properly brought before the annual meeting or any adjournment or postponement of the annual meeting.</w:t>
      </w:r>
    </w:p>
    <w:p>
      <w:pPr>
        <w:spacing w:after="0" w:line="203"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Address Changes:</w:t>
      </w: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(If you noted any Address Changes above, please mark corresponding box on the reverse side.)</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V.1.1</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lvl w:ilvl="1">
      <w:lvlJc w:val="left"/>
      <w:lvlText w:val="(%2)"/>
      <w:numFmt w:val="decimal"/>
      <w:start w:val="1"/>
    </w:lvl>
  </w:abstractNum>
  <w:abstractNum w:abstractNumId="3">
    <w:nsid w:val="77465F01"/>
    <w:multiLevelType w:val="hybridMultilevel"/>
    <w:lvl w:ilvl="0">
      <w:lvlJc w:val="left"/>
      <w:lvlText w:val="(%1)"/>
      <w:numFmt w:val="decimal"/>
      <w:start w:val="4"/>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lowerRoman"/>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3"/>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lowerLetter"/>
      <w:start w:val="2"/>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lvl w:ilvl="1">
      <w:lvlJc w:val="left"/>
      <w:lvlText w:val="\endash "/>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3"/>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lvl w:ilvl="1">
      <w:lvlJc w:val="left"/>
      <w:lvlText w:val="\endash "/>
      <w:numFmt w:val="bullet"/>
      <w:start w:val="1"/>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3"/>
    </w:lvl>
  </w:abstractNum>
  <w:abstractNum w:abstractNumId="51">
    <w:nsid w:val="10233C99"/>
    <w:multiLevelType w:val="hybridMultilevel"/>
    <w:lvl w:ilvl="0">
      <w:lvlJc w:val="left"/>
      <w:lvlText w:val="(%1)"/>
      <w:numFmt w:val="decimal"/>
      <w:start w:val="4"/>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2"/>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2"/>
    </w:lvl>
  </w:abstractNum>
  <w:abstractNum w:abstractNumId="59">
    <w:nsid w:val="2F305DEF"/>
    <w:multiLevelType w:val="hybridMultilevel"/>
    <w:lvl w:ilvl="0">
      <w:lvlJc w:val="left"/>
      <w:lvlText w:val="(%1)"/>
      <w:numFmt w:val="decimal"/>
      <w:start w:val="4"/>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2019-12-05T13:34:55Z</dcterms:created>
  <dcterms:modified xsi:type="dcterms:W3CDTF">2019-12-05T13:34:55Z</dcterms:modified>
</cp:coreProperties>
</file>