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BUHRMASTER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10/27/2008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8"/>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4,000</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25.35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26,865.924</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10/27/2008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8"/>
              <w:spacing w:after="0"/>
              <w:rPr>
                <w:sz w:val="20"/>
                <w:szCs w:val="20"/>
                <w:color w:val="auto"/>
              </w:rPr>
            </w:pPr>
            <w:r>
              <w:rPr>
                <w:rFonts w:ascii="Arial" w:cs="Arial" w:eastAsia="Arial" w:hAnsi="Arial"/>
                <w:sz w:val="12"/>
                <w:szCs w:val="12"/>
                <w:color w:val="0000FF"/>
                <w:w w:val="81"/>
              </w:rPr>
              <w:t>F</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3,572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28.38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23,293.924</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3,983.021</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25.35</w:t>
            </w:r>
          </w:p>
        </w:tc>
        <w:tc>
          <w:tcPr>
            <w:tcW w:w="1080" w:type="dxa"/>
            <w:vAlign w:val="bottom"/>
            <w:vMerge w:val="restart"/>
          </w:tcPr>
          <w:p>
            <w:pPr>
              <w:ind w:left="200"/>
              <w:spacing w:after="0"/>
              <w:rPr>
                <w:sz w:val="20"/>
                <w:szCs w:val="20"/>
                <w:color w:val="auto"/>
              </w:rPr>
            </w:pPr>
            <w:r>
              <w:rPr>
                <w:rFonts w:ascii="Arial" w:cs="Arial" w:eastAsia="Arial" w:hAnsi="Arial"/>
                <w:sz w:val="14"/>
                <w:szCs w:val="14"/>
                <w:color w:val="0000FF"/>
              </w:rPr>
              <w:t>10/27/2008</w:t>
            </w:r>
          </w:p>
        </w:tc>
        <w:tc>
          <w:tcPr>
            <w:tcW w:w="114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4,000</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05/01/2004</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0000FF"/>
                <w:w w:val="99"/>
              </w:rPr>
              <w:t>11/01/2008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16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32.231 shares of common stock acquired by the reporting person on January 11, 2008, 38.05 shares of common stock acquired by the reporting person, 51.91 shares of common stock acquired by the reporting person, and 49.59 shares of common stock acquired by the reporting person under The Toro Company Dividend Reinvestment Plan.</w:t>
      </w:r>
    </w:p>
    <w:p>
      <w:pPr>
        <w:spacing w:after="0" w:line="30"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12.506 Common Stock Units acquired by the reporting person on January 11, 2008, 14.195 Common Stock Units acquired by the reporting person on April 11, 2008, 19.492 Common Stock Units acquired by the reporting person, and 18.366 Common Stock Units acquired by the reporting person under the dividend reinvestment feature of The Toro Company Deferred Compensation Plan for Non-Employee Directors. Also includes an account adjustment of .0339 Common Stock Units.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10/29/2008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2019-12-16T04:24:58Z</dcterms:created>
  <dcterms:modified xsi:type="dcterms:W3CDTF">2019-12-16T04:24:58Z</dcterms:modified>
</cp:coreProperties>
</file>