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85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Rodier Richard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Group VP, Construction &amp; RLC</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09/12/2022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24,325.668</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09/12/2022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91.481</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22,325.668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09/12/2022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24,325.668</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09/12/2022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91.384</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22,325.668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2,816.45</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6,121.011</w:t>
            </w:r>
            <w:r>
              <w:rPr>
                <w:rFonts w:ascii="Times New Roman" w:cs="Times New Roman" w:eastAsia="Times New Roman" w:hAnsi="Times New Roman"/>
                <w:sz w:val="21"/>
                <w:szCs w:val="21"/>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09/12/2022</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2,000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12/06/2023</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09/12/2022</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2,000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12/05/2024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0000FF"/>
              </w:rPr>
              <w:t>4,400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$91.475 to $91.490,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$91.370 to $91.395,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10.662 net shares of common stock acquired by the reporting person since the date of his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23.433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6, 2013.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December 5, 2014.</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09/14/2022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2022-09-14T12:28:01Z</dcterms:created>
  <dcterms:modified xsi:type="dcterms:W3CDTF">2022-09-14T12:28:01Z</dcterms:modified>
</cp:coreProperties>
</file>