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Residential &amp; LCB</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12/07/2010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0000FF"/>
              </w:rPr>
              <w:t>632</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12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54"/>
              <w:spacing w:after="0"/>
              <w:rPr>
                <w:sz w:val="20"/>
                <w:szCs w:val="20"/>
                <w:color w:val="auto"/>
              </w:rPr>
            </w:pPr>
            <w:r>
              <w:rPr>
                <w:rFonts w:ascii="Arial" w:cs="Arial" w:eastAsia="Arial" w:hAnsi="Arial"/>
                <w:sz w:val="18"/>
                <w:szCs w:val="18"/>
                <w:color w:val="0000FF"/>
                <w:w w:val="86"/>
              </w:rPr>
              <w:t>632</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12/07/2010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206</w:t>
            </w:r>
          </w:p>
        </w:tc>
        <w:tc>
          <w:tcPr>
            <w:tcW w:w="6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64.38</w:t>
            </w:r>
          </w:p>
        </w:tc>
        <w:tc>
          <w:tcPr>
            <w:tcW w:w="20" w:type="dxa"/>
            <w:vAlign w:val="bottom"/>
          </w:tcPr>
          <w:p>
            <w:pPr>
              <w:spacing w:after="0"/>
              <w:rPr>
                <w:sz w:val="23"/>
                <w:szCs w:val="23"/>
                <w:color w:val="auto"/>
              </w:rPr>
            </w:pPr>
          </w:p>
        </w:tc>
        <w:tc>
          <w:tcPr>
            <w:tcW w:w="760" w:type="dxa"/>
            <w:vAlign w:val="bottom"/>
          </w:tcPr>
          <w:p>
            <w:pPr>
              <w:jc w:val="center"/>
              <w:ind w:left="354"/>
              <w:spacing w:after="0"/>
              <w:rPr>
                <w:sz w:val="20"/>
                <w:szCs w:val="20"/>
                <w:color w:val="auto"/>
              </w:rPr>
            </w:pPr>
            <w:r>
              <w:rPr>
                <w:rFonts w:ascii="Arial" w:cs="Arial" w:eastAsia="Arial" w:hAnsi="Arial"/>
                <w:sz w:val="18"/>
                <w:szCs w:val="18"/>
                <w:color w:val="0000FF"/>
                <w:w w:val="86"/>
              </w:rPr>
              <w:t>426</w:t>
            </w: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4,079.519</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1"/>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16"/>
                <w:szCs w:val="16"/>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20" w:type="dxa"/>
            <w:vAlign w:val="bottom"/>
          </w:tcPr>
          <w:p>
            <w:pPr>
              <w:spacing w:after="0"/>
              <w:rPr>
                <w:sz w:val="16"/>
                <w:szCs w:val="16"/>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6,500</w:t>
            </w:r>
          </w:p>
        </w:tc>
        <w:tc>
          <w:tcPr>
            <w:tcW w:w="34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12/08/2020</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8"/>
                <w:szCs w:val="18"/>
                <w:color w:val="0000FF"/>
                <w:w w:val="93"/>
              </w:rPr>
              <w:t>6,500</w:t>
            </w:r>
          </w:p>
        </w:tc>
        <w:tc>
          <w:tcPr>
            <w:tcW w:w="2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6,500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30" w:lineRule="exact"/>
        <w:rPr>
          <w:rFonts w:ascii="Arial" w:cs="Arial" w:eastAsia="Arial" w:hAnsi="Arial"/>
          <w:sz w:val="14"/>
          <w:szCs w:val="14"/>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26.489 shares acquired under the dividend reinvestment feature of The Toro Company Investment, Savings &amp; ESOP (IS&amp;ESOP); and 197.446 shares acquired through individual and issuer matching contributions to the IS&amp;ESOP.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2019-12-17T00:24:10Z</dcterms:created>
  <dcterms:modified xsi:type="dcterms:W3CDTF">2019-12-17T00:24:10Z</dcterms:modified>
</cp:coreProperties>
</file>