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360" w:right="80"/>
        <w:spacing w:after="0" w:line="23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-226060</wp:posOffset>
            </wp:positionV>
            <wp:extent cx="122555" cy="1225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34290</wp:posOffset>
            </wp:positionH>
            <wp:positionV relativeFrom="paragraph">
              <wp:posOffset>-657860</wp:posOffset>
            </wp:positionV>
            <wp:extent cx="122555" cy="1225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555" cy="122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5253990</wp:posOffset>
            </wp:positionH>
            <wp:positionV relativeFrom="paragraph">
              <wp:posOffset>-624840</wp:posOffset>
            </wp:positionV>
            <wp:extent cx="57785" cy="63817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3979545</wp:posOffset>
            </wp:positionH>
            <wp:positionV relativeFrom="paragraph">
              <wp:posOffset>-624840</wp:posOffset>
            </wp:positionV>
            <wp:extent cx="57785" cy="6381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81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741680</wp:posOffset>
            </wp:positionV>
            <wp:extent cx="6993890" cy="6332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890" cy="6332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3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391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Svendsen Kurt D</w:t>
        </w:r>
      </w:hyperlink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TTC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12/22/2025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2" w:right="640" w:firstLine="2"/>
        <w:spacing w:after="0" w:line="257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18"/>
        <w:spacing w:after="0"/>
        <w:tabs>
          <w:tab w:leader="none" w:pos="209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58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VP, Technology</w:t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2" w:space="720"/>
            <w:col w:w="3358"/>
          </w:cols>
          <w:pgMar w:left="460" w:top="217" w:right="359" w:bottom="391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720" w:type="dxa"/>
            <w:vAlign w:val="bottom"/>
            <w:gridSpan w:val="10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2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Form filed by One Reporting 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40" w:type="dxa"/>
            <w:vAlign w:val="bottom"/>
            <w:gridSpan w:val="8"/>
          </w:tcPr>
          <w:p>
            <w:pPr>
              <w:ind w:left="2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7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40" w:type="dxa"/>
            <w:vAlign w:val="bottom"/>
            <w:gridSpan w:val="4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Beneficially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6,353.64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jc w:val="right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11,763.317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11,479.94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2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right="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1,178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1,178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1,178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78.47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jc w:val="right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12/22/2025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3,345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12/22/2035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3,345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3,345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jc w:val="center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473.887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jc w:val="center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473.887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-2797810</wp:posOffset>
            </wp:positionV>
            <wp:extent cx="29210" cy="2802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80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TTC common stock.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and become non-forfeitable in three equal annual installments commencing on the first anniversary of the December 22, 2025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vests in three equal annual installments commencing on the first anniversary of the December 22, 2025 grant date.</w:t>
      </w:r>
    </w:p>
    <w:p>
      <w:pPr>
        <w:spacing w:after="0" w:line="43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and related dividend equivalents vest and become non-forfeitable in three equal annual installments commencing on the first anniversary of the March 1, 2023 grant date.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12/23/2025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423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23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-20955</wp:posOffset>
            </wp:positionV>
            <wp:extent cx="3009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9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5581650</wp:posOffset>
            </wp:positionH>
            <wp:positionV relativeFrom="paragraph">
              <wp:posOffset>-86360</wp:posOffset>
            </wp:positionV>
            <wp:extent cx="48387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3" w:lineRule="exact"/>
        <w:rPr>
          <w:sz w:val="24"/>
          <w:szCs w:val="24"/>
          <w:color w:val="auto"/>
        </w:rPr>
      </w:pPr>
    </w:p>
    <w:p>
      <w:pPr>
        <w:jc w:val="both"/>
        <w:ind w:left="40" w:right="36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391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581944" TargetMode="External"/><Relationship Id="rId14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2025-12-23T11:56:07Z</dcterms:created>
  <dcterms:modified xsi:type="dcterms:W3CDTF">2025-12-23T11:56:07Z</dcterms:modified>
</cp:coreProperties>
</file>