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Rodier Richard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VP, Commercial</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74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12/06/2018</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5"/>
              </w:rPr>
              <w:t>2,596</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jc w:val="right"/>
              <w:ind w:right="156"/>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4,773.048</w:t>
            </w:r>
            <w:r>
              <w:rPr>
                <w:rFonts w:ascii="Arial" w:cs="Arial" w:eastAsia="Arial" w:hAnsi="Arial"/>
                <w:sz w:val="22"/>
                <w:szCs w:val="22"/>
                <w:color w:val="008000"/>
                <w:w w:val="83"/>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8"/>
                <w:szCs w:val="18"/>
                <w:color w:val="0000FF"/>
                <w:w w:val="87"/>
              </w:rPr>
              <w:t>26,122</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4,626.824</w:t>
            </w:r>
            <w:r>
              <w:rPr>
                <w:rFonts w:ascii="Arial" w:cs="Arial" w:eastAsia="Arial" w:hAnsi="Arial"/>
                <w:sz w:val="22"/>
                <w:szCs w:val="22"/>
                <w:color w:val="008000"/>
                <w:w w:val="83"/>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7"/>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58.53</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12/07/2018</w:t>
            </w:r>
          </w:p>
        </w:tc>
        <w:tc>
          <w:tcPr>
            <w:tcW w:w="114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4"/>
                <w:szCs w:val="14"/>
                <w:color w:val="0000FF"/>
              </w:rPr>
              <w:t>9,000</w:t>
            </w:r>
          </w:p>
        </w:tc>
        <w:tc>
          <w:tcPr>
            <w:tcW w:w="30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40"/>
              <w:spacing w:after="0"/>
              <w:rPr>
                <w:sz w:val="20"/>
                <w:szCs w:val="20"/>
                <w:color w:val="auto"/>
              </w:rPr>
            </w:pPr>
            <w:r>
              <w:rPr>
                <w:rFonts w:ascii="Arial" w:cs="Arial" w:eastAsia="Arial" w:hAnsi="Arial"/>
                <w:sz w:val="14"/>
                <w:szCs w:val="14"/>
                <w:color w:val="0000FF"/>
                <w:w w:val="99"/>
              </w:rPr>
              <w:t>12/07/2028</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9,000</w:t>
            </w:r>
          </w:p>
        </w:tc>
        <w:tc>
          <w:tcPr>
            <w:tcW w:w="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80"/>
              <w:spacing w:after="0"/>
              <w:rPr>
                <w:sz w:val="20"/>
                <w:szCs w:val="20"/>
                <w:color w:val="auto"/>
              </w:rPr>
            </w:pPr>
            <w:r>
              <w:rPr>
                <w:rFonts w:ascii="Arial" w:cs="Arial" w:eastAsia="Arial" w:hAnsi="Arial"/>
                <w:sz w:val="14"/>
                <w:szCs w:val="14"/>
                <w:color w:val="0000FF"/>
              </w:rPr>
              <w:t>9,000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jc w:val="right"/>
              <w:ind w:right="156"/>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2016 to Fiscal 2018 Performance Period under The Toro Company Amended and Restated 2010 Equity and Incentive Plan, as amended and restated, as approved by the issuer's Compensation &amp; Human Resources Committee of its Board of Directors on December 4, 2018, and which was conditioned upon and subject to confirmation by the issuer's Fiscal 2018 financial results that were released on December 6, 2018.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21.691 performance share units acquired by the reporting person since the date of his last report under the dividend reinvestment feature of the Deferred Plan.</w:t>
      </w:r>
    </w:p>
    <w:p>
      <w:pPr>
        <w:spacing w:after="0" w:line="41"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45.798 net shares acquired under the dividend reinvestment feature of The Toro Company Investment, Savings &amp; ESOP (the "IS&amp;ESOP") less quarterly non-discretionary administrative fees; and 65.985 shares acquired through issuer annual investment fund contributions to and revenue credit allocations in the IS&amp;ESOP.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12/10/2018</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2019-12-23T21:18:48Z</dcterms:created>
  <dcterms:modified xsi:type="dcterms:W3CDTF">2019-12-23T21:18:48Z</dcterms:modified>
</cp:coreProperties>
</file>