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003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00392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631"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Happe Michael J</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12/11/2012</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06"/>
        <w:spacing w:after="0"/>
        <w:rPr>
          <w:sz w:val="20"/>
          <w:szCs w:val="20"/>
          <w:color w:val="auto"/>
        </w:rPr>
      </w:pPr>
      <w:r>
        <w:rPr>
          <w:rFonts w:ascii="Arial" w:cs="Arial" w:eastAsia="Arial" w:hAnsi="Arial"/>
          <w:sz w:val="17"/>
          <w:szCs w:val="17"/>
          <w:color w:val="0000FF"/>
        </w:rPr>
        <w:t>Group VP, Res. &amp; Cont.</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631"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ind w:left="460"/>
              <w:spacing w:after="0"/>
              <w:rPr>
                <w:sz w:val="20"/>
                <w:szCs w:val="20"/>
                <w:color w:val="auto"/>
              </w:rPr>
            </w:pPr>
            <w:r>
              <w:rPr>
                <w:rFonts w:ascii="Arial" w:cs="Arial" w:eastAsia="Arial" w:hAnsi="Arial"/>
                <w:sz w:val="17"/>
                <w:szCs w:val="17"/>
                <w:color w:val="0000FF"/>
              </w:rPr>
              <w:t>55420-1196</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631"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3"/>
                <w:szCs w:val="13"/>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380" w:type="dxa"/>
            <w:vAlign w:val="bottom"/>
            <w:gridSpan w:val="2"/>
          </w:tcPr>
          <w:p>
            <w:pPr>
              <w:ind w:left="48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20"/>
              <w:spacing w:after="0" w:line="132"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10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10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7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Securities</w:t>
            </w:r>
          </w:p>
        </w:tc>
        <w:tc>
          <w:tcPr>
            <w:tcW w:w="1380" w:type="dxa"/>
            <w:vAlign w:val="bottom"/>
            <w:gridSpan w:val="2"/>
          </w:tcPr>
          <w:p>
            <w:pPr>
              <w:ind w:left="480"/>
              <w:spacing w:after="0" w:line="132"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2"/>
          </w:tcPr>
          <w:p>
            <w:pPr>
              <w:ind w:left="7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Beneficially</w:t>
            </w:r>
          </w:p>
        </w:tc>
        <w:tc>
          <w:tcPr>
            <w:tcW w:w="1380" w:type="dxa"/>
            <w:vAlign w:val="bottom"/>
            <w:gridSpan w:val="2"/>
          </w:tcPr>
          <w:p>
            <w:pPr>
              <w:jc w:val="center"/>
              <w:ind w:left="299"/>
              <w:spacing w:after="0" w:line="134" w:lineRule="exact"/>
              <w:rPr>
                <w:sz w:val="20"/>
                <w:szCs w:val="20"/>
                <w:color w:val="auto"/>
              </w:rPr>
            </w:pPr>
            <w:r>
              <w:rPr>
                <w:rFonts w:ascii="Arial" w:cs="Arial" w:eastAsia="Arial" w:hAnsi="Arial"/>
                <w:sz w:val="12"/>
                <w:szCs w:val="12"/>
                <w:b w:val="1"/>
                <w:bCs w:val="1"/>
                <w:color w:val="auto"/>
                <w:w w:val="99"/>
              </w:rPr>
              <w:t>(D) or Indirect</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Owned Following   (I) (Instr. 4)</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80" w:type="dxa"/>
            <w:vAlign w:val="bottom"/>
            <w:vMerge w:val="restart"/>
          </w:tcPr>
          <w:p>
            <w:pPr>
              <w:ind w:left="40"/>
              <w:spacing w:after="0" w:line="134" w:lineRule="exact"/>
              <w:rPr>
                <w:sz w:val="20"/>
                <w:szCs w:val="20"/>
                <w:color w:val="auto"/>
              </w:rPr>
            </w:pPr>
            <w:r>
              <w:rPr>
                <w:rFonts w:ascii="Arial" w:cs="Arial" w:eastAsia="Arial" w:hAnsi="Arial"/>
                <w:sz w:val="12"/>
                <w:szCs w:val="12"/>
                <w:b w:val="1"/>
                <w:bCs w:val="1"/>
                <w:color w:val="auto"/>
              </w:rPr>
              <w:t>Reported</w:t>
            </w: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5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56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Performance Share Units</w:t>
            </w: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7"/>
                <w:szCs w:val="17"/>
                <w:color w:val="0000FF"/>
              </w:rPr>
              <w:t>12/11/2012</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92"/>
              </w:rPr>
              <w:t>9,000</w:t>
            </w:r>
            <w:r>
              <w:rPr>
                <w:rFonts w:ascii="Arial" w:cs="Arial" w:eastAsia="Arial" w:hAnsi="Arial"/>
                <w:sz w:val="22"/>
                <w:szCs w:val="22"/>
                <w:color w:val="008000"/>
                <w:w w:val="92"/>
                <w:vertAlign w:val="superscript"/>
              </w:rPr>
              <w:t>(1)</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580" w:type="dxa"/>
            <w:vAlign w:val="bottom"/>
            <w:tcBorders>
              <w:bottom w:val="single" w:sz="8" w:color="2C2C2C"/>
            </w:tcBorders>
            <w:gridSpan w:val="3"/>
          </w:tcPr>
          <w:p>
            <w:pPr>
              <w:jc w:val="center"/>
              <w:ind w:right="299"/>
              <w:spacing w:after="0"/>
              <w:rPr>
                <w:sz w:val="20"/>
                <w:szCs w:val="20"/>
                <w:color w:val="auto"/>
              </w:rPr>
            </w:pPr>
            <w:r>
              <w:rPr>
                <w:rFonts w:ascii="Arial" w:cs="Arial" w:eastAsia="Arial" w:hAnsi="Arial"/>
                <w:sz w:val="17"/>
                <w:szCs w:val="17"/>
                <w:color w:val="0000FF"/>
                <w:w w:val="87"/>
              </w:rPr>
              <w:t>11,328.375</w:t>
            </w:r>
            <w:r>
              <w:rPr>
                <w:rFonts w:ascii="Arial" w:cs="Arial" w:eastAsia="Arial" w:hAnsi="Arial"/>
                <w:sz w:val="22"/>
                <w:szCs w:val="22"/>
                <w:color w:val="008000"/>
                <w:w w:val="87"/>
                <w:vertAlign w:val="superscript"/>
              </w:rPr>
              <w:t>(2)</w:t>
            </w:r>
          </w:p>
        </w:tc>
        <w:tc>
          <w:tcPr>
            <w:tcW w:w="600" w:type="dxa"/>
            <w:vAlign w:val="bottom"/>
            <w:tcBorders>
              <w:bottom w:val="single" w:sz="8" w:color="2C2C2C"/>
            </w:tcBorders>
          </w:tcPr>
          <w:p>
            <w:pPr>
              <w:jc w:val="center"/>
              <w:ind w:right="331"/>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center"/>
              <w:ind w:right="299"/>
              <w:spacing w:after="0"/>
              <w:rPr>
                <w:sz w:val="20"/>
                <w:szCs w:val="20"/>
                <w:color w:val="auto"/>
              </w:rPr>
            </w:pPr>
            <w:r>
              <w:rPr>
                <w:rFonts w:ascii="Arial" w:cs="Arial" w:eastAsia="Arial" w:hAnsi="Arial"/>
                <w:sz w:val="17"/>
                <w:szCs w:val="17"/>
                <w:color w:val="0000FF"/>
                <w:w w:val="87"/>
              </w:rPr>
              <w:t>6,140.326</w:t>
            </w:r>
            <w:r>
              <w:rPr>
                <w:rFonts w:ascii="Arial" w:cs="Arial" w:eastAsia="Arial" w:hAnsi="Arial"/>
                <w:sz w:val="22"/>
                <w:szCs w:val="22"/>
                <w:color w:val="008000"/>
                <w:w w:val="87"/>
                <w:vertAlign w:val="superscript"/>
              </w:rPr>
              <w:t>(3)</w:t>
            </w:r>
          </w:p>
        </w:tc>
        <w:tc>
          <w:tcPr>
            <w:tcW w:w="600" w:type="dxa"/>
            <w:vAlign w:val="bottom"/>
            <w:tcBorders>
              <w:bottom w:val="single" w:sz="8" w:color="2C2C2C"/>
            </w:tcBorders>
          </w:tcPr>
          <w:p>
            <w:pPr>
              <w:jc w:val="center"/>
              <w:ind w:right="331"/>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80" w:type="dxa"/>
            <w:vAlign w:val="bottom"/>
            <w:gridSpan w:val="3"/>
          </w:tcPr>
          <w:p>
            <w:pPr>
              <w:jc w:val="center"/>
              <w:ind w:right="319"/>
              <w:spacing w:after="0" w:line="214" w:lineRule="exact"/>
              <w:rPr>
                <w:sz w:val="20"/>
                <w:szCs w:val="20"/>
                <w:color w:val="auto"/>
              </w:rPr>
            </w:pPr>
            <w:r>
              <w:rPr>
                <w:rFonts w:ascii="Arial" w:cs="Arial" w:eastAsia="Arial" w:hAnsi="Arial"/>
                <w:sz w:val="17"/>
                <w:szCs w:val="17"/>
                <w:color w:val="0000FF"/>
                <w:w w:val="89"/>
              </w:rPr>
              <w:t>10,893.918</w:t>
            </w:r>
            <w:r>
              <w:rPr>
                <w:rFonts w:ascii="Arial" w:cs="Arial" w:eastAsia="Arial" w:hAnsi="Arial"/>
                <w:sz w:val="22"/>
                <w:szCs w:val="22"/>
                <w:color w:val="008000"/>
                <w:w w:val="89"/>
                <w:vertAlign w:val="superscript"/>
              </w:rPr>
              <w:t>(4)</w:t>
            </w:r>
          </w:p>
        </w:tc>
        <w:tc>
          <w:tcPr>
            <w:tcW w:w="600" w:type="dxa"/>
            <w:vAlign w:val="bottom"/>
          </w:tcPr>
          <w:p>
            <w:pPr>
              <w:jc w:val="center"/>
              <w:ind w:right="311"/>
              <w:spacing w:after="0"/>
              <w:rPr>
                <w:sz w:val="20"/>
                <w:szCs w:val="20"/>
                <w:color w:val="auto"/>
              </w:rPr>
            </w:pPr>
            <w:r>
              <w:rPr>
                <w:rFonts w:ascii="Arial" w:cs="Arial" w:eastAsia="Arial" w:hAnsi="Arial"/>
                <w:sz w:val="17"/>
                <w:szCs w:val="17"/>
                <w:color w:val="0000FF"/>
              </w:rPr>
              <w:t>I</w:t>
            </w: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Investment,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Savings &amp;</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ESOP</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5680" w:type="dxa"/>
            <w:vAlign w:val="bottom"/>
            <w:tcBorders>
              <w:bottom w:val="single" w:sz="8" w:color="2C2C2C"/>
            </w:tcBorders>
            <w:gridSpan w:val="10"/>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1"/>
          </w:tcPr>
          <w:p>
            <w:pPr>
              <w:jc w:val="center"/>
              <w:ind w:righ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60" w:type="dxa"/>
            <w:vAlign w:val="bottom"/>
            <w:gridSpan w:val="9"/>
          </w:tcPr>
          <w:p>
            <w:pPr>
              <w:jc w:val="center"/>
              <w:ind w:left="57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 Amount</w:t>
            </w:r>
          </w:p>
        </w:tc>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5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of Securities</w:t>
            </w:r>
          </w:p>
        </w:tc>
        <w:tc>
          <w:tcPr>
            <w:tcW w:w="2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42.06</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12/11/2012</w:t>
            </w:r>
          </w:p>
        </w:tc>
        <w:tc>
          <w:tcPr>
            <w:tcW w:w="1180" w:type="dxa"/>
            <w:vAlign w:val="bottom"/>
          </w:tcPr>
          <w:p>
            <w:pPr>
              <w:spacing w:after="0"/>
              <w:rPr>
                <w:sz w:val="17"/>
                <w:szCs w:val="17"/>
                <w:color w:val="auto"/>
              </w:rPr>
            </w:pPr>
          </w:p>
        </w:tc>
        <w:tc>
          <w:tcPr>
            <w:tcW w:w="620" w:type="dxa"/>
            <w:vAlign w:val="bottom"/>
          </w:tcPr>
          <w:p>
            <w:pPr>
              <w:ind w:left="180"/>
              <w:spacing w:after="0"/>
              <w:rPr>
                <w:sz w:val="20"/>
                <w:szCs w:val="20"/>
                <w:color w:val="auto"/>
              </w:rPr>
            </w:pPr>
            <w:r>
              <w:rPr>
                <w:rFonts w:ascii="Arial" w:cs="Arial" w:eastAsia="Arial" w:hAnsi="Arial"/>
                <w:sz w:val="13"/>
                <w:szCs w:val="13"/>
                <w:color w:val="0000FF"/>
              </w:rPr>
              <w:t>A</w:t>
            </w:r>
          </w:p>
        </w:tc>
        <w:tc>
          <w:tcPr>
            <w:tcW w:w="220" w:type="dxa"/>
            <w:vAlign w:val="bottom"/>
          </w:tcPr>
          <w:p>
            <w:pPr>
              <w:spacing w:after="0"/>
              <w:rPr>
                <w:sz w:val="17"/>
                <w:szCs w:val="17"/>
                <w:color w:val="auto"/>
              </w:rPr>
            </w:pPr>
          </w:p>
        </w:tc>
        <w:tc>
          <w:tcPr>
            <w:tcW w:w="540" w:type="dxa"/>
            <w:vAlign w:val="bottom"/>
          </w:tcPr>
          <w:p>
            <w:pPr>
              <w:ind w:left="80"/>
              <w:spacing w:after="0"/>
              <w:rPr>
                <w:sz w:val="20"/>
                <w:szCs w:val="20"/>
                <w:color w:val="auto"/>
              </w:rPr>
            </w:pPr>
            <w:r>
              <w:rPr>
                <w:rFonts w:ascii="Arial" w:cs="Arial" w:eastAsia="Arial" w:hAnsi="Arial"/>
                <w:sz w:val="13"/>
                <w:szCs w:val="13"/>
                <w:color w:val="0000FF"/>
              </w:rPr>
              <w:t>16,800</w:t>
            </w:r>
          </w:p>
        </w:tc>
        <w:tc>
          <w:tcPr>
            <w:tcW w:w="340" w:type="dxa"/>
            <w:vAlign w:val="bottom"/>
          </w:tcPr>
          <w:p>
            <w:pPr>
              <w:spacing w:after="0"/>
              <w:rPr>
                <w:sz w:val="17"/>
                <w:szCs w:val="17"/>
                <w:color w:val="auto"/>
              </w:rPr>
            </w:pPr>
          </w:p>
        </w:tc>
        <w:tc>
          <w:tcPr>
            <w:tcW w:w="780" w:type="dxa"/>
            <w:vAlign w:val="bottom"/>
          </w:tcPr>
          <w:p>
            <w:pPr>
              <w:ind w:left="280"/>
              <w:spacing w:after="0"/>
              <w:rPr>
                <w:sz w:val="20"/>
                <w:szCs w:val="20"/>
                <w:color w:val="auto"/>
              </w:rPr>
            </w:pPr>
            <w:r>
              <w:rPr>
                <w:rFonts w:ascii="Arial" w:cs="Arial" w:eastAsia="Arial" w:hAnsi="Arial"/>
                <w:sz w:val="11"/>
                <w:szCs w:val="11"/>
                <w:color w:val="008000"/>
              </w:rPr>
              <w:t>(5)</w:t>
            </w:r>
          </w:p>
        </w:tc>
        <w:tc>
          <w:tcPr>
            <w:tcW w:w="760" w:type="dxa"/>
            <w:vAlign w:val="bottom"/>
          </w:tcPr>
          <w:p>
            <w:pPr>
              <w:ind w:left="60"/>
              <w:spacing w:after="0"/>
              <w:rPr>
                <w:sz w:val="20"/>
                <w:szCs w:val="20"/>
                <w:color w:val="auto"/>
              </w:rPr>
            </w:pPr>
            <w:r>
              <w:rPr>
                <w:rFonts w:ascii="Arial" w:cs="Arial" w:eastAsia="Arial" w:hAnsi="Arial"/>
                <w:sz w:val="13"/>
                <w:szCs w:val="13"/>
                <w:color w:val="0000FF"/>
              </w:rPr>
              <w:t>12/11/2022</w:t>
            </w:r>
          </w:p>
        </w:tc>
        <w:tc>
          <w:tcPr>
            <w:tcW w:w="68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rPr>
                <w:sz w:val="20"/>
                <w:szCs w:val="20"/>
                <w:color w:val="auto"/>
              </w:rPr>
            </w:pPr>
            <w:r>
              <w:rPr>
                <w:rFonts w:ascii="Arial" w:cs="Arial" w:eastAsia="Arial" w:hAnsi="Arial"/>
                <w:sz w:val="17"/>
                <w:szCs w:val="17"/>
                <w:color w:val="0000FF"/>
                <w:w w:val="99"/>
              </w:rPr>
              <w:t>16,800</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80" w:type="dxa"/>
            <w:vAlign w:val="bottom"/>
          </w:tcPr>
          <w:p>
            <w:pPr>
              <w:ind w:left="240"/>
              <w:spacing w:after="0"/>
              <w:rPr>
                <w:sz w:val="20"/>
                <w:szCs w:val="20"/>
                <w:color w:val="auto"/>
              </w:rPr>
            </w:pPr>
            <w:r>
              <w:rPr>
                <w:rFonts w:ascii="Arial" w:cs="Arial" w:eastAsia="Arial" w:hAnsi="Arial"/>
                <w:sz w:val="13"/>
                <w:szCs w:val="13"/>
                <w:color w:val="0000FF"/>
              </w:rPr>
              <w:t>16,800</w:t>
            </w:r>
          </w:p>
        </w:tc>
        <w:tc>
          <w:tcPr>
            <w:tcW w:w="600" w:type="dxa"/>
            <w:vAlign w:val="bottom"/>
          </w:tcPr>
          <w:p>
            <w:pPr>
              <w:ind w:left="460"/>
              <w:spacing w:after="0"/>
              <w:rPr>
                <w:sz w:val="20"/>
                <w:szCs w:val="20"/>
                <w:color w:val="auto"/>
              </w:rPr>
            </w:pPr>
            <w:r>
              <w:rPr>
                <w:rFonts w:ascii="Arial" w:cs="Arial" w:eastAsia="Arial" w:hAnsi="Arial"/>
                <w:sz w:val="13"/>
                <w:szCs w:val="13"/>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Stock</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ind w:left="140"/>
              <w:spacing w:after="0" w:line="109"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40" w:firstLine="8"/>
        <w:spacing w:after="0" w:line="285"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payout of a Performance Share Award for the Fiscal 2010 to Fiscal 2012 Performance Period under The Toro Company Performance Share Plan, as approved by the registrant's Compensation &amp; Human Resources Committee of its Board of Directors on December 11, 2012. The reporting person has deferred the payout of his Performance Share Award under The Toro Company Deferred Compensation Plan for Officers (the "Deferred Plan") and, accordingly, the reporting person's Performance Share Award is paid in performance share units under the Deferred Plan.</w:t>
      </w:r>
    </w:p>
    <w:p>
      <w:pPr>
        <w:spacing w:after="0" w:line="4" w:lineRule="exact"/>
        <w:rPr>
          <w:rFonts w:ascii="Arial" w:cs="Arial" w:eastAsia="Arial" w:hAnsi="Arial"/>
          <w:sz w:val="12"/>
          <w:szCs w:val="12"/>
          <w:color w:val="008000"/>
        </w:rPr>
      </w:pPr>
    </w:p>
    <w:p>
      <w:pPr>
        <w:ind w:left="40" w:right="20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June 29, 2012, the common stock of the issuer split two-for-one (the "Stock Split"), resulting in the reporting person's ownership of 1,160.994 additional performance share units. Also includes 6.387 post-split performance share units acquired by the reporting person under the dividend reinvestment feature of the Deferred Plan since the date of his last report. All future Form 4 and 5 filings made by the reporting person will include adjustments, as necessary, to reflect the Stock Split.</w:t>
      </w:r>
    </w:p>
    <w:p>
      <w:pPr>
        <w:spacing w:after="0" w:line="21" w:lineRule="exact"/>
        <w:rPr>
          <w:rFonts w:ascii="Arial" w:cs="Arial" w:eastAsia="Arial" w:hAnsi="Arial"/>
          <w:sz w:val="13"/>
          <w:szCs w:val="13"/>
          <w:color w:val="008000"/>
        </w:rPr>
      </w:pPr>
    </w:p>
    <w:p>
      <w:pPr>
        <w:ind w:left="40" w:right="160" w:firstLine="8"/>
        <w:spacing w:after="0" w:line="248"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ownership of 1,509.075 additional shares of common stock subject to restriction and 1,552.654 additional shares of common stock not subject to restriction acquired as a result of the Stock Split. Also includes 8.314 post-split dividend reinvestment shares acquired by the reporting person under The Toro Company Dividend Reinvestment Plan ("DRIP") from dividends paid on the restricted stock and 8.554 shares of post-split common stock not subject to restriction acquired under the DRIP since the date of his last report. 3,026.464 shares of restricted stock and related DRIP shares vest in full on the third anniversary of the date of grant, which was March 20, 2012.</w:t>
      </w:r>
    </w:p>
    <w:p>
      <w:pPr>
        <w:spacing w:after="0" w:line="25" w:lineRule="exact"/>
        <w:rPr>
          <w:rFonts w:ascii="Arial" w:cs="Arial" w:eastAsia="Arial" w:hAnsi="Arial"/>
          <w:sz w:val="13"/>
          <w:szCs w:val="13"/>
          <w:color w:val="008000"/>
        </w:rPr>
      </w:pPr>
    </w:p>
    <w:p>
      <w:pPr>
        <w:ind w:left="40" w:right="16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the following shares of common stock acquired by the reporting person since the date of his last report: 29.842 post-split shares acquired under the dividend reinvestment feature of The Toro Company Investment, Savings &amp; ESOP ("IS&amp;ESOP"); 180.533 post-split shares acquired through regular individual and issuer matching contributions to the IS&amp;ESOP; and 5,332.121 additional shares acquired as a result of the Stock Split.</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Nancy A. McGrath,</w:t>
            </w:r>
          </w:p>
        </w:tc>
        <w:tc>
          <w:tcPr>
            <w:tcW w:w="7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12/13/2012</w:t>
            </w:r>
          </w:p>
        </w:tc>
        <w:tc>
          <w:tcPr>
            <w:tcW w:w="0" w:type="dxa"/>
            <w:vAlign w:val="bottom"/>
          </w:tcPr>
          <w:p>
            <w:pPr>
              <w:spacing w:after="0"/>
              <w:rPr>
                <w:sz w:val="1"/>
                <w:szCs w:val="1"/>
                <w:color w:val="auto"/>
              </w:rPr>
            </w:pPr>
          </w:p>
        </w:tc>
      </w:tr>
      <w:tr>
        <w:trPr>
          <w:trHeight w:val="92"/>
        </w:trPr>
        <w:tc>
          <w:tcPr>
            <w:tcW w:w="1180" w:type="dxa"/>
            <w:vAlign w:val="bottom"/>
            <w:vMerge w:val="restart"/>
          </w:tcPr>
          <w:p>
            <w:pPr>
              <w:spacing w:after="0"/>
              <w:rPr>
                <w:sz w:val="20"/>
                <w:szCs w:val="20"/>
                <w:color w:val="auto"/>
              </w:rPr>
            </w:pPr>
            <w:r>
              <w:rPr>
                <w:rFonts w:ascii="Arial" w:cs="Arial" w:eastAsia="Arial" w:hAnsi="Arial"/>
                <w:sz w:val="17"/>
                <w:szCs w:val="17"/>
                <w:color w:val="0000FF"/>
                <w:w w:val="95"/>
              </w:rPr>
              <w:t>Attorney-in-Fact</w:t>
            </w:r>
          </w:p>
        </w:tc>
        <w:tc>
          <w:tcPr>
            <w:tcW w:w="112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63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2452"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2019-12-17T01:41:29Z</dcterms:created>
  <dcterms:modified xsi:type="dcterms:W3CDTF">2019-12-17T01:41:29Z</dcterms:modified>
</cp:coreProperties>
</file>