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59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598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Global Micro Irrigation</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06/27/2013</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4"/>
                <w:szCs w:val="14"/>
                <w:color w:val="0000FF"/>
              </w:rPr>
              <w:t>M</w:t>
            </w:r>
          </w:p>
        </w:tc>
        <w:tc>
          <w:tcPr>
            <w:tcW w:w="740" w:type="dxa"/>
            <w:vAlign w:val="bottom"/>
          </w:tcPr>
          <w:p>
            <w:pPr>
              <w:ind w:left="220"/>
              <w:spacing w:after="0"/>
              <w:rPr>
                <w:sz w:val="20"/>
                <w:szCs w:val="20"/>
                <w:color w:val="auto"/>
              </w:rPr>
            </w:pPr>
            <w:r>
              <w:rPr>
                <w:rFonts w:ascii="Arial" w:cs="Arial" w:eastAsia="Arial" w:hAnsi="Arial"/>
                <w:sz w:val="18"/>
                <w:szCs w:val="18"/>
                <w:color w:val="0000FF"/>
              </w:rPr>
              <w:t>2,750</w:t>
            </w:r>
          </w:p>
        </w:tc>
        <w:tc>
          <w:tcPr>
            <w:tcW w:w="66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12.8</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52,983</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06/27/2013</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Pr>
          <w:p>
            <w:pPr>
              <w:ind w:left="220"/>
              <w:spacing w:after="0"/>
              <w:rPr>
                <w:sz w:val="20"/>
                <w:szCs w:val="20"/>
                <w:color w:val="auto"/>
              </w:rPr>
            </w:pPr>
            <w:r>
              <w:rPr>
                <w:rFonts w:ascii="Arial" w:cs="Arial" w:eastAsia="Arial" w:hAnsi="Arial"/>
                <w:sz w:val="18"/>
                <w:szCs w:val="18"/>
                <w:color w:val="0000FF"/>
              </w:rPr>
              <w:t>2,750</w:t>
            </w:r>
          </w:p>
        </w:tc>
        <w:tc>
          <w:tcPr>
            <w:tcW w:w="6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45.75</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50,233</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4,409.621</w:t>
            </w:r>
            <w:r>
              <w:rPr>
                <w:rFonts w:ascii="Arial" w:cs="Arial" w:eastAsia="Arial" w:hAnsi="Arial"/>
                <w:sz w:val="22"/>
                <w:szCs w:val="22"/>
                <w:color w:val="008000"/>
                <w:w w:val="83"/>
                <w:vertAlign w:val="superscript"/>
              </w:rPr>
              <w:t>(1)</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26,922.348</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0"/>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2,750</w:t>
            </w: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12.08</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06/27/2013</w:t>
            </w:r>
          </w:p>
        </w:tc>
        <w:tc>
          <w:tcPr>
            <w:tcW w:w="1140" w:type="dxa"/>
            <w:vAlign w:val="bottom"/>
          </w:tcPr>
          <w:p>
            <w:pPr>
              <w:spacing w:after="0"/>
              <w:rPr>
                <w:sz w:val="11"/>
                <w:szCs w:val="11"/>
                <w:color w:val="auto"/>
              </w:rPr>
            </w:pPr>
          </w:p>
        </w:tc>
        <w:tc>
          <w:tcPr>
            <w:tcW w:w="46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40" w:type="dxa"/>
            <w:vAlign w:val="bottom"/>
          </w:tcPr>
          <w:p>
            <w:pPr>
              <w:ind w:left="320"/>
              <w:spacing w:after="0" w:line="133" w:lineRule="exact"/>
              <w:rPr>
                <w:sz w:val="20"/>
                <w:szCs w:val="20"/>
                <w:color w:val="auto"/>
              </w:rPr>
            </w:pPr>
            <w:r>
              <w:rPr>
                <w:rFonts w:ascii="Arial" w:cs="Arial" w:eastAsia="Arial" w:hAnsi="Arial"/>
                <w:sz w:val="14"/>
                <w:szCs w:val="14"/>
                <w:color w:val="0000FF"/>
              </w:rPr>
              <w:t>2,750</w:t>
            </w:r>
          </w:p>
        </w:tc>
        <w:tc>
          <w:tcPr>
            <w:tcW w:w="800" w:type="dxa"/>
            <w:vAlign w:val="bottom"/>
          </w:tcPr>
          <w:p>
            <w:pPr>
              <w:ind w:left="60"/>
              <w:spacing w:after="0" w:line="133" w:lineRule="exact"/>
              <w:rPr>
                <w:sz w:val="20"/>
                <w:szCs w:val="20"/>
                <w:color w:val="auto"/>
              </w:rPr>
            </w:pPr>
            <w:r>
              <w:rPr>
                <w:rFonts w:ascii="Arial" w:cs="Arial" w:eastAsia="Arial" w:hAnsi="Arial"/>
                <w:sz w:val="14"/>
                <w:szCs w:val="14"/>
                <w:color w:val="0000FF"/>
              </w:rPr>
              <w:t>12/04/2004</w:t>
            </w:r>
          </w:p>
        </w:tc>
        <w:tc>
          <w:tcPr>
            <w:tcW w:w="740" w:type="dxa"/>
            <w:vAlign w:val="bottom"/>
          </w:tcPr>
          <w:p>
            <w:pPr>
              <w:ind w:left="60"/>
              <w:spacing w:after="0" w:line="133" w:lineRule="exact"/>
              <w:rPr>
                <w:sz w:val="20"/>
                <w:szCs w:val="20"/>
                <w:color w:val="auto"/>
              </w:rPr>
            </w:pPr>
            <w:r>
              <w:rPr>
                <w:rFonts w:ascii="Arial" w:cs="Arial" w:eastAsia="Arial" w:hAnsi="Arial"/>
                <w:sz w:val="14"/>
                <w:szCs w:val="14"/>
                <w:color w:val="0000FF"/>
                <w:w w:val="94"/>
              </w:rPr>
              <w:t>12/04/2013</w:t>
            </w:r>
          </w:p>
        </w:tc>
        <w:tc>
          <w:tcPr>
            <w:tcW w:w="6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60" w:type="dxa"/>
            <w:vAlign w:val="bottom"/>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tcPr>
          <w:p>
            <w:pPr>
              <w:ind w:left="420"/>
              <w:spacing w:after="0" w:line="133" w:lineRule="exact"/>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1"/>
                <w:szCs w:val="11"/>
                <w:color w:val="auto"/>
              </w:rPr>
            </w:pPr>
          </w:p>
        </w:tc>
        <w:tc>
          <w:tcPr>
            <w:tcW w:w="600" w:type="dxa"/>
            <w:vAlign w:val="bottom"/>
          </w:tcPr>
          <w:p>
            <w:pPr>
              <w:ind w:left="460"/>
              <w:spacing w:after="0" w:line="133" w:lineRule="exact"/>
              <w:rPr>
                <w:sz w:val="20"/>
                <w:szCs w:val="20"/>
                <w:color w:val="auto"/>
              </w:rPr>
            </w:pPr>
            <w:r>
              <w:rPr>
                <w:rFonts w:ascii="Arial" w:cs="Arial" w:eastAsia="Arial" w:hAnsi="Arial"/>
                <w:sz w:val="14"/>
                <w:szCs w:val="14"/>
                <w:color w:val="0000FF"/>
              </w:rPr>
              <w:t>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14.088 shares of common stock acquired under the dividend reinvestment feature of The Toro Company Investment, Savings &amp; ESOP (IS&amp;ESOP) and revenue credit allocations in the IS&amp;ESOP.</w:t>
      </w:r>
    </w:p>
    <w:p>
      <w:pPr>
        <w:spacing w:after="0" w:line="64"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81.026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07/01/2013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2019-12-17T02:15:41Z</dcterms:created>
  <dcterms:modified xsi:type="dcterms:W3CDTF">2019-12-17T02:15:41Z</dcterms:modified>
</cp:coreProperties>
</file>