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Larson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12/05/2013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Corporate Controller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12/05/2013</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1,614</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3,637.344</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12/05/2013</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1,614</w:t>
            </w:r>
            <w:r>
              <w:rPr>
                <w:rFonts w:ascii="Arial" w:cs="Arial" w:eastAsia="Arial" w:hAnsi="Arial"/>
                <w:sz w:val="22"/>
                <w:szCs w:val="22"/>
                <w:color w:val="008000"/>
                <w:vertAlign w:val="superscript"/>
              </w:rPr>
              <w:t>(3)</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15,774.67</w:t>
            </w:r>
            <w:r>
              <w:rPr>
                <w:rFonts w:ascii="Arial" w:cs="Arial" w:eastAsia="Arial" w:hAnsi="Arial"/>
                <w:sz w:val="22"/>
                <w:szCs w:val="22"/>
                <w:color w:val="008000"/>
                <w:w w:val="85"/>
                <w:vertAlign w:val="superscript"/>
              </w:rPr>
              <w:t>(4)</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680"/>
              <w:spacing w:after="0"/>
              <w:rPr>
                <w:sz w:val="20"/>
                <w:szCs w:val="20"/>
                <w:color w:val="auto"/>
              </w:rPr>
            </w:pPr>
            <w:r>
              <w:rPr>
                <w:rFonts w:ascii="Arial" w:cs="Arial" w:eastAsia="Arial" w:hAnsi="Arial"/>
                <w:sz w:val="18"/>
                <w:szCs w:val="18"/>
                <w:color w:val="0000FF"/>
              </w:rPr>
              <w:t>12/05/2013</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Pr>
          <w:p>
            <w:pPr>
              <w:jc w:val="right"/>
              <w:ind w:right="110"/>
              <w:spacing w:after="0"/>
              <w:rPr>
                <w:sz w:val="20"/>
                <w:szCs w:val="20"/>
                <w:color w:val="auto"/>
              </w:rPr>
            </w:pPr>
            <w:r>
              <w:rPr>
                <w:rFonts w:ascii="Arial" w:cs="Arial" w:eastAsia="Arial" w:hAnsi="Arial"/>
                <w:sz w:val="18"/>
                <w:szCs w:val="18"/>
                <w:color w:val="0000FF"/>
              </w:rPr>
              <w:t>543</w:t>
            </w:r>
          </w:p>
        </w:tc>
        <w:tc>
          <w:tcPr>
            <w:tcW w:w="660" w:type="dxa"/>
            <w:vAlign w:val="bottom"/>
          </w:tcPr>
          <w:p>
            <w:pPr>
              <w:ind w:left="2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59.31</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15,231.67</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3,453.364</w:t>
            </w:r>
            <w:r>
              <w:rPr>
                <w:rFonts w:ascii="Arial" w:cs="Arial" w:eastAsia="Arial" w:hAnsi="Arial"/>
                <w:sz w:val="22"/>
                <w:szCs w:val="22"/>
                <w:color w:val="008000"/>
                <w:w w:val="85"/>
                <w:vertAlign w:val="superscript"/>
              </w:rPr>
              <w:t>(5)</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11"/>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12/06/2013</w:t>
            </w:r>
          </w:p>
        </w:tc>
        <w:tc>
          <w:tcPr>
            <w:tcW w:w="1140" w:type="dxa"/>
            <w:vAlign w:val="bottom"/>
          </w:tcPr>
          <w:p>
            <w:pPr>
              <w:spacing w:after="0"/>
              <w:rPr>
                <w:sz w:val="12"/>
                <w:szCs w:val="12"/>
                <w:color w:val="auto"/>
              </w:rPr>
            </w:pPr>
          </w:p>
        </w:tc>
        <w:tc>
          <w:tcPr>
            <w:tcW w:w="48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42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Arial" w:cs="Arial" w:eastAsia="Arial" w:hAnsi="Arial"/>
                <w:sz w:val="14"/>
                <w:szCs w:val="14"/>
                <w:color w:val="0000FF"/>
              </w:rPr>
              <w:t>4,700</w:t>
            </w:r>
          </w:p>
        </w:tc>
        <w:tc>
          <w:tcPr>
            <w:tcW w:w="34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ind w:left="60"/>
              <w:spacing w:after="0"/>
              <w:rPr>
                <w:sz w:val="20"/>
                <w:szCs w:val="20"/>
                <w:color w:val="auto"/>
              </w:rPr>
            </w:pPr>
            <w:r>
              <w:rPr>
                <w:rFonts w:ascii="Arial" w:cs="Arial" w:eastAsia="Arial" w:hAnsi="Arial"/>
                <w:sz w:val="14"/>
                <w:szCs w:val="14"/>
                <w:color w:val="0000FF"/>
                <w:w w:val="96"/>
              </w:rPr>
              <w:t>12/06/2023</w:t>
            </w:r>
          </w:p>
        </w:tc>
        <w:tc>
          <w:tcPr>
            <w:tcW w:w="66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2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4,700</w:t>
            </w:r>
          </w:p>
        </w:tc>
        <w:tc>
          <w:tcPr>
            <w:tcW w:w="40" w:type="dxa"/>
            <w:vAlign w:val="bottom"/>
          </w:tcPr>
          <w:p>
            <w:pPr>
              <w:spacing w:after="0"/>
              <w:rPr>
                <w:sz w:val="12"/>
                <w:szCs w:val="12"/>
                <w:color w:val="auto"/>
              </w:rPr>
            </w:pPr>
          </w:p>
        </w:tc>
        <w:tc>
          <w:tcPr>
            <w:tcW w:w="7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vMerge w:val="restart"/>
          </w:tcPr>
          <w:p>
            <w:pPr>
              <w:ind w:left="280"/>
              <w:spacing w:after="0"/>
              <w:rPr>
                <w:sz w:val="20"/>
                <w:szCs w:val="20"/>
                <w:color w:val="auto"/>
              </w:rPr>
            </w:pPr>
            <w:r>
              <w:rPr>
                <w:rFonts w:ascii="Arial" w:cs="Arial" w:eastAsia="Arial" w:hAnsi="Arial"/>
                <w:sz w:val="14"/>
                <w:szCs w:val="14"/>
                <w:color w:val="0000FF"/>
              </w:rPr>
              <w:t>4,700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one-half of a Performance Share Award for the Fiscal 2011 to Fiscal 2013 Performance Period under The Toro Company 2010 Equity and Incentive Plan, as amended (the "2010 Plan"), as approved by the registrant's Compensation &amp; Human Resources Committee of its Board of Directors on December 3, 2013, and which was conditioned upon and subject to confirmation by the registrant's Fiscal 2013 financial results that were released on December 5, 2013. The reporting person has deferred the payout of this portion of his Performance Share Award under The Toro Company Deferred Compensation Plan for Officers (the "Deferred Plan") and, accordingly, this portion of the reporting person's Performance Share Award is paid in performance share units under the Deferred Plan.</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16.797 performance share units acquired by the reporting person under the dividend reinvestment feature of the Deferred Plan since the date of his last report.</w:t>
      </w:r>
    </w:p>
    <w:p>
      <w:pPr>
        <w:spacing w:after="0" w:line="41" w:lineRule="exact"/>
        <w:rPr>
          <w:rFonts w:ascii="Arial" w:cs="Arial" w:eastAsia="Arial" w:hAnsi="Arial"/>
          <w:sz w:val="14"/>
          <w:szCs w:val="14"/>
          <w:color w:val="008000"/>
        </w:rPr>
      </w:pPr>
    </w:p>
    <w:p>
      <w:pPr>
        <w:jc w:val="both"/>
        <w:ind w:left="40" w:right="6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one-half of a Performance Share Award for the Fiscal 2011 to Fiscal 2013 Performance Period under the 2010 Plan, as approved by the registrant's Compensation &amp; Human Resources Committee of its Board of Directors on December 3, 2013, and which was conditioned upon and subject to confirmation by the registrant's Fiscal 2013 financial results that were released on December 5, 2013. Performance Share Awards are paid in shares of common stock under the 2010 Plan.</w:t>
      </w:r>
    </w:p>
    <w:p>
      <w:pPr>
        <w:spacing w:after="0" w:line="30" w:lineRule="exact"/>
        <w:rPr>
          <w:rFonts w:ascii="Arial" w:cs="Arial" w:eastAsia="Arial" w:hAnsi="Arial"/>
          <w:sz w:val="14"/>
          <w:szCs w:val="14"/>
          <w:color w:val="008000"/>
        </w:rPr>
      </w:pPr>
    </w:p>
    <w:p>
      <w:pPr>
        <w:ind w:left="40" w:right="42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34.337 shares of common stock acquired by the reporting person since the date of his last report under The Toro Company Dividend Reinvestment Plan (the "DRIP") on 4,091.571 shares of restricted stock and related DRIP shares. The restricted stock and all related DRIP shares vest in full on the third anniversary of the date of grant, which was March 30, 2011. Also includes 26.497 shares of common stock acquired by the reporting person under the DRIP on shares not subject to restriction since the date of his last report.</w:t>
      </w:r>
    </w:p>
    <w:p>
      <w:pPr>
        <w:spacing w:after="0" w:line="2" w:lineRule="exact"/>
        <w:rPr>
          <w:rFonts w:ascii="Arial" w:cs="Arial" w:eastAsia="Arial" w:hAnsi="Arial"/>
          <w:sz w:val="12"/>
          <w:szCs w:val="12"/>
          <w:color w:val="008000"/>
        </w:rPr>
      </w:pPr>
    </w:p>
    <w:p>
      <w:pPr>
        <w:ind w:left="40" w:right="5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28.711 shares acquired under the dividend reinvestment feature of The Toro Company Investment, Savings &amp; ESOP (IS&amp;ESOP); and 78.649 shares acquired through issuer annual investment fund contributions to and revenue credit allocations in the IS&amp;ESOP.</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12/09/2013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238" w:lineRule="auto"/>
        <w:rPr>
          <w:sz w:val="20"/>
          <w:szCs w:val="20"/>
          <w:color w:val="auto"/>
        </w:rPr>
      </w:pPr>
      <w:r>
        <w:rPr>
          <w:rFonts w:ascii="Courier New" w:cs="Courier New" w:eastAsia="Courier New" w:hAnsi="Courier New"/>
          <w:sz w:val="18"/>
          <w:szCs w:val="18"/>
          <w:color w:val="auto"/>
        </w:rPr>
        <w:t>and appoints each of Timothy P. Dordell, Nancy A. McGrath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Angela D. Snavely, signing singly, true and lawful attorneys-in-fact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relative to the filings identified below in connection with the</w:t>
      </w:r>
    </w:p>
    <w:p>
      <w:pPr>
        <w:spacing w:after="0" w:line="238" w:lineRule="auto"/>
        <w:rPr>
          <w:sz w:val="20"/>
          <w:szCs w:val="20"/>
          <w:color w:val="auto"/>
        </w:rPr>
      </w:pPr>
      <w:r>
        <w:rPr>
          <w:rFonts w:ascii="Courier New" w:cs="Courier New" w:eastAsia="Courier New" w:hAnsi="Courier New"/>
          <w:sz w:val="18"/>
          <w:szCs w:val="18"/>
          <w:color w:val="auto"/>
        </w:rPr>
        <w:t>undersigned's derivative and non-derivative securities of</w:t>
      </w:r>
    </w:p>
    <w:p>
      <w:pPr>
        <w:spacing w:after="0"/>
        <w:rPr>
          <w:sz w:val="20"/>
          <w:szCs w:val="20"/>
          <w:color w:val="auto"/>
        </w:rPr>
      </w:pPr>
      <w:r>
        <w:rPr>
          <w:rFonts w:ascii="Courier New" w:cs="Courier New" w:eastAsia="Courier New" w:hAnsi="Courier New"/>
          <w:sz w:val="18"/>
          <w:szCs w:val="18"/>
          <w:color w:val="auto"/>
        </w:rPr>
        <w:t>The Toro Company (the ?Company?) to:</w:t>
      </w:r>
    </w:p>
    <w:p>
      <w:pPr>
        <w:spacing w:after="0" w:line="206" w:lineRule="exact"/>
        <w:rPr>
          <w:sz w:val="20"/>
          <w:szCs w:val="20"/>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Thomas J. Larson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J. Larson</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11/17/2013</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81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2019-12-17T01:46:31Z</dcterms:created>
  <dcterms:modified xsi:type="dcterms:W3CDTF">2019-12-17T01:46:31Z</dcterms:modified>
</cp:coreProperties>
</file>