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left="3360" w:right="380"/>
        <w:spacing w:after="0" w:line="247" w:lineRule="auto"/>
        <w:rPr>
          <w:sz w:val="20"/>
          <w:szCs w:val="20"/>
          <w:color w:val="auto"/>
        </w:rPr>
      </w:pPr>
      <w:r>
        <w:rPr>
          <w:rFonts w:ascii="Arial" w:cs="Arial" w:eastAsia="Arial" w:hAnsi="Arial"/>
          <w:sz w:val="32"/>
          <w:szCs w:val="32"/>
          <w:b w:val="1"/>
          <w:bCs w:val="1"/>
          <w:color w:val="auto"/>
        </w:rPr>
        <w:t>UNITED STATES SECURITIES AND EXCHANGE COMMISSION</w:t>
      </w:r>
    </w:p>
    <w:p>
      <w:pPr>
        <w:spacing w:after="0" w:line="1"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30"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left="2980"/>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-215900</wp:posOffset>
            </wp:positionV>
            <wp:extent cx="1449070" cy="1269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126936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OMB Number: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3235-0145</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Expires: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February 28, 2009</w:t>
      </w:r>
    </w:p>
    <w:p>
      <w:pPr>
        <w:spacing w:after="0" w:line="9" w:lineRule="exact"/>
        <w:rPr>
          <w:sz w:val="24"/>
          <w:szCs w:val="24"/>
          <w:color w:val="auto"/>
        </w:rPr>
      </w:pPr>
    </w:p>
    <w:p>
      <w:pPr>
        <w:ind w:right="380"/>
        <w:spacing w:after="0" w:line="341" w:lineRule="auto"/>
        <w:rPr>
          <w:sz w:val="20"/>
          <w:szCs w:val="20"/>
          <w:color w:val="auto"/>
        </w:rPr>
      </w:pPr>
      <w:r>
        <w:rPr>
          <w:rFonts w:ascii="Arial" w:cs="Arial" w:eastAsia="Arial" w:hAnsi="Arial"/>
          <w:sz w:val="16"/>
          <w:szCs w:val="16"/>
          <w:color w:val="auto"/>
        </w:rPr>
        <w:t>Estimated average burden hours per response. . 10.4</w:t>
      </w:r>
    </w:p>
    <w:p>
      <w:pPr>
        <w:spacing w:after="0" w:line="759" w:lineRule="exact"/>
        <w:rPr>
          <w:sz w:val="24"/>
          <w:szCs w:val="24"/>
          <w:color w:val="auto"/>
        </w:rPr>
      </w:pPr>
    </w:p>
    <w:p>
      <w:pPr>
        <w:sectPr>
          <w:pgSz w:w="11900" w:h="16843" w:orient="portrait"/>
          <w:cols w:equalWidth="0" w:num="2">
            <w:col w:w="8440" w:space="720"/>
            <w:col w:w="2260"/>
          </w:cols>
          <w:pgMar w:left="240" w:top="422" w:right="239" w:bottom="0" w:gutter="0" w:footer="0" w:header="0"/>
        </w:sect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left="660" w:right="160"/>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left="660" w:right="28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3" w:lineRule="exact"/>
        <w:rPr>
          <w:sz w:val="24"/>
          <w:szCs w:val="24"/>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Names of Reporting Persons. I.R.S. Identification Nos. of above persons (entities only) </w:t>
      </w:r>
      <w:r>
        <w:rPr>
          <w:rFonts w:ascii="Arial" w:cs="Arial" w:eastAsia="Arial" w:hAnsi="Arial"/>
          <w:sz w:val="17"/>
          <w:szCs w:val="17"/>
          <w:color w:val="auto"/>
        </w:rPr>
        <w:t>Mairs and Power, Inc. 41 - 0844499</w:t>
      </w:r>
    </w:p>
    <w:p>
      <w:pPr>
        <w:spacing w:after="0" w:line="389"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40" w:hanging="620"/>
        <w:spacing w:after="0" w:line="275"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Citizenship or Place of Organization </w:t>
      </w:r>
      <w:r>
        <w:rPr>
          <w:rFonts w:ascii="Arial" w:cs="Arial" w:eastAsia="Arial" w:hAnsi="Arial"/>
          <w:sz w:val="17"/>
          <w:szCs w:val="17"/>
          <w:color w:val="auto"/>
        </w:rPr>
        <w:t>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-531495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-942975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-1157605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-1774825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4"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1,933,500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422" w:right="239" w:bottom="0" w:gutter="0" w:footer="0" w:header="0"/>
          <w:type w:val="continuous"/>
        </w:sectPr>
      </w:pPr>
    </w:p>
    <w:bookmarkStart w:id="1" w:name="page2"/>
    <w:bookmarkEnd w:id="1"/>
    <w:p>
      <w:pPr>
        <w:ind w:left="2700" w:right="6800" w:hanging="1091"/>
        <w:spacing w:after="0" w:line="275"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Sole Dispositive Power </w:t>
      </w:r>
      <w:r>
        <w:rPr>
          <w:rFonts w:ascii="Arial" w:cs="Arial" w:eastAsia="Arial" w:hAnsi="Arial"/>
          <w:sz w:val="17"/>
          <w:szCs w:val="17"/>
          <w:color w:val="auto"/>
        </w:rPr>
        <w:t>2,215,783</w:t>
      </w:r>
    </w:p>
    <w:p>
      <w:pPr>
        <w:spacing w:after="0" w:line="389"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7"/>
          <w:szCs w:val="17"/>
          <w:color w:val="auto"/>
        </w:rPr>
        <w:t>2,215,783</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0" w:right="6400" w:hanging="620"/>
        <w:spacing w:after="0" w:line="27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7"/>
          <w:szCs w:val="17"/>
          <w:color w:val="auto"/>
        </w:rPr>
        <w:t>5.1%</w:t>
      </w:r>
    </w:p>
    <w:p>
      <w:pPr>
        <w:spacing w:after="0" w:line="38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440" w:right="8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jc w:val="both"/>
        <w:ind w:left="1440" w:right="812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440" w:right="78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71"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ectPr>
          <w:pgSz w:w="11900" w:h="16838" w:orient="portrait"/>
          <w:cols w:equalWidth="0" w:num="1">
            <w:col w:w="11200"/>
          </w:cols>
          <w:pgMar w:left="300" w:top="503" w:right="399" w:bottom="0" w:gutter="0" w:footer="0" w:header="0"/>
        </w:sectPr>
      </w:pPr>
    </w:p>
    <w:bookmarkStart w:id="2" w:name="page3"/>
    <w:bookmarkEnd w:id="2"/>
    <w:p>
      <w:pPr>
        <w:ind w:left="1440" w:hanging="4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60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600" w:right="7640" w:hanging="394"/>
        <w:spacing w:after="0" w:line="340"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2,215,783</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80" w:hanging="45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1,933,500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100" w:hanging="47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60" w:hanging="503"/>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2,215,783</w:t>
      </w:r>
    </w:p>
    <w:p>
      <w:pPr>
        <w:spacing w:after="0" w:line="129" w:lineRule="exact"/>
        <w:rPr>
          <w:rFonts w:ascii="Arial" w:cs="Arial" w:eastAsia="Arial" w:hAnsi="Arial"/>
          <w:sz w:val="18"/>
          <w:szCs w:val="18"/>
          <w:color w:val="auto"/>
        </w:rPr>
      </w:pPr>
    </w:p>
    <w:p>
      <w:pPr>
        <w:ind w:left="2220" w:right="5180" w:hanging="498"/>
        <w:spacing w:after="0" w:line="340" w:lineRule="auto"/>
        <w:tabs>
          <w:tab w:leader="none" w:pos="2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**Note 1** Mairs and Power, Inc. (“Mairs and Power”), an investment adviser registered under Section 203 of the Investment Advisers Act of 1940, furnishes investment advice to two investment companies registered under the Investment Company Act of 1940 and serves as investment manager to certain other commingled group trusts and separate accounts. These investment companies, trusts and accounts are the “Funds”. In its role as investment advisor or manager, Mairs and Power possesses investment and/or voting power over the securities of the Issuer described in this schedule that are owned by the Funds, and may be deemed to be the beneficial owner of the shares of the Issuer held by the Funds. All of the securities reported in this schedule are owned by the Funds. Mairs and Power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Various persons have the right to receive or the power to direct the receipt of dividends from, or the proceeds from the sale of, the Common Stock of the The Toro Company.</w:t>
      </w:r>
    </w:p>
    <w:p>
      <w:pPr>
        <w:spacing w:after="0" w:line="265" w:lineRule="exact"/>
        <w:rPr>
          <w:sz w:val="20"/>
          <w:szCs w:val="20"/>
          <w:color w:val="auto"/>
        </w:rPr>
      </w:pPr>
    </w:p>
    <w:p>
      <w:pPr>
        <w:ind w:left="1120" w:right="440" w:hanging="1120"/>
        <w:spacing w:after="0" w:line="277" w:lineRule="auto"/>
        <w:tabs>
          <w:tab w:leader="none" w:pos="11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w:t>
      </w:r>
    </w:p>
    <w:p>
      <w:pPr>
        <w:spacing w:after="0" w:line="32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117" w:lineRule="exact"/>
        <w:rPr>
          <w:sz w:val="20"/>
          <w:szCs w:val="20"/>
          <w:color w:val="auto"/>
        </w:rPr>
      </w:pPr>
    </w:p>
    <w:p>
      <w:pPr>
        <w:ind w:left="1060" w:hanging="698"/>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ectPr>
          <w:pgSz w:w="11900" w:h="16838" w:orient="portrait"/>
          <w:cols w:equalWidth="0" w:num="1">
            <w:col w:w="11300"/>
          </w:cols>
          <w:pgMar w:left="300" w:top="125" w:right="299" w:bottom="0" w:gutter="0" w:footer="0" w:header="0"/>
        </w:sectPr>
      </w:pPr>
    </w:p>
    <w:bookmarkStart w:id="3" w:name="page4"/>
    <w:bookmarkEnd w:id="3"/>
    <w:p>
      <w:pPr>
        <w:ind w:left="150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9" w:lineRule="exact"/>
        <w:rPr>
          <w:sz w:val="20"/>
          <w:szCs w:val="20"/>
          <w:color w:val="auto"/>
        </w:rPr>
      </w:pPr>
    </w:p>
    <w:p>
      <w:pPr>
        <w:ind w:left="1120" w:hanging="69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117" w:lineRule="exact"/>
        <w:rPr>
          <w:sz w:val="20"/>
          <w:szCs w:val="20"/>
          <w:color w:val="auto"/>
        </w:rPr>
      </w:pPr>
    </w:p>
    <w:p>
      <w:pPr>
        <w:jc w:val="both"/>
        <w:ind w:left="1500" w:right="2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December 14, 2006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William B. Frels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William B. Frels/President</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1"/>
    </w:lvl>
    <w:lvl w:ilvl="1">
      <w:lvlJc w:val="left"/>
      <w:lvlText w:val="%2."/>
      <w:numFmt w:val="decimal"/>
      <w:start w:val="7"/>
    </w:lvl>
  </w:abstractNum>
  <w:abstractNum w:abstractNumId="3">
    <w:nsid w:val="5BD062C2"/>
    <w:multiLevelType w:val="hybridMultilevel"/>
    <w:lvl w:ilvl="0">
      <w:lvlJc w:val="left"/>
      <w:lvlText w:val="%1."/>
      <w:numFmt w:val="decimal"/>
      <w:start w:val="9"/>
    </w:lvl>
    <w:lvl w:ilvl="1">
      <w:lvlJc w:val="left"/>
      <w:lvlText w:val="%2"/>
      <w:numFmt w:val="decimal"/>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0"/>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2019-12-13T13:41:45Z</dcterms:created>
  <dcterms:modified xsi:type="dcterms:W3CDTF">2019-12-13T13:41:45Z</dcterms:modified>
</cp:coreProperties>
</file>