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627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627126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62"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Funk Edric C</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8111 LYNDALE AVENUE SOUTH</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06"/>
        <w:spacing w:after="0"/>
        <w:rPr>
          <w:sz w:val="20"/>
          <w:szCs w:val="20"/>
          <w:color w:val="auto"/>
        </w:rPr>
      </w:pPr>
      <w:r>
        <w:rPr>
          <w:rFonts w:ascii="Times New Roman" w:cs="Times New Roman" w:eastAsia="Times New Roman" w:hAnsi="Times New Roman"/>
          <w:sz w:val="16"/>
          <w:szCs w:val="16"/>
          <w:color w:val="0000FF"/>
        </w:rPr>
        <w:t>President &amp; COO</w:t>
      </w:r>
    </w:p>
    <w:p>
      <w:pPr>
        <w:spacing w:after="0" w:line="312" w:lineRule="exact"/>
        <w:rPr>
          <w:sz w:val="24"/>
          <w:szCs w:val="24"/>
          <w:color w:val="auto"/>
        </w:rPr>
      </w:pPr>
    </w:p>
    <w:p>
      <w:pPr>
        <w:sectPr>
          <w:pgSz w:w="11900" w:h="16838" w:orient="portrait"/>
          <w:cols w:equalWidth="0" w:num="3">
            <w:col w:w="3180" w:space="720"/>
            <w:col w:w="3114" w:space="720"/>
            <w:col w:w="3346"/>
          </w:cols>
          <w:pgMar w:left="460" w:top="216" w:right="359" w:bottom="62"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3460" w:type="dxa"/>
            <w:vAlign w:val="bottom"/>
            <w:gridSpan w:val="8"/>
            <w:vMerge w:val="restart"/>
          </w:tcPr>
          <w:p>
            <w:pPr>
              <w:ind w:left="140"/>
              <w:spacing w:after="0"/>
              <w:rPr>
                <w:sz w:val="20"/>
                <w:szCs w:val="20"/>
                <w:color w:val="auto"/>
              </w:rPr>
            </w:pPr>
            <w:r>
              <w:rPr>
                <w:rFonts w:ascii="Arial" w:cs="Arial" w:eastAsia="Arial" w:hAnsi="Arial"/>
                <w:sz w:val="13"/>
                <w:szCs w:val="13"/>
                <w:color w:val="auto"/>
                <w:w w:val="99"/>
              </w:rPr>
              <w:t>4. If Amendment, Date of Original Filed (Month/Day/Year)</w:t>
            </w:r>
          </w:p>
        </w:tc>
        <w:tc>
          <w:tcPr>
            <w:tcW w:w="60" w:type="dxa"/>
            <w:vAlign w:val="bottom"/>
          </w:tcPr>
          <w:p>
            <w:pPr>
              <w:spacing w:after="0"/>
              <w:rPr>
                <w:sz w:val="3"/>
                <w:szCs w:val="3"/>
                <w:color w:val="auto"/>
              </w:rPr>
            </w:pPr>
          </w:p>
        </w:tc>
        <w:tc>
          <w:tcPr>
            <w:tcW w:w="3800" w:type="dxa"/>
            <w:vAlign w:val="bottom"/>
            <w:gridSpan w:val="10"/>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6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38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BLOOMINGTON MN</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55420</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gridSpan w:val="5"/>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20" w:type="dxa"/>
            <w:vAlign w:val="bottom"/>
            <w:gridSpan w:val="8"/>
          </w:tcPr>
          <w:p>
            <w:pPr>
              <w:ind w:left="20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198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tcPr>
          <w:p>
            <w:pPr>
              <w:ind w:left="380"/>
              <w:spacing w:after="0"/>
              <w:rPr>
                <w:sz w:val="20"/>
                <w:szCs w:val="20"/>
                <w:color w:val="auto"/>
              </w:rPr>
            </w:pPr>
            <w:r>
              <w:rPr>
                <w:rFonts w:ascii="Arial" w:cs="Arial" w:eastAsia="Arial" w:hAnsi="Arial"/>
                <w:sz w:val="11"/>
                <w:szCs w:val="11"/>
                <w:b w:val="1"/>
                <w:bCs w:val="1"/>
                <w:color w:val="auto"/>
                <w:w w:val="95"/>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vMerge w:val="restart"/>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97.975</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Health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780" w:type="dxa"/>
            <w:vAlign w:val="bottom"/>
            <w:gridSpan w:val="3"/>
          </w:tcPr>
          <w:p>
            <w:pPr>
              <w:jc w:val="center"/>
              <w:ind w:left="532"/>
              <w:spacing w:after="0"/>
              <w:rPr>
                <w:sz w:val="20"/>
                <w:szCs w:val="20"/>
                <w:color w:val="auto"/>
              </w:rPr>
            </w:pPr>
            <w:r>
              <w:rPr>
                <w:rFonts w:ascii="Times New Roman" w:cs="Times New Roman" w:eastAsia="Times New Roman" w:hAnsi="Times New Roman"/>
                <w:sz w:val="16"/>
                <w:szCs w:val="16"/>
                <w:color w:val="0000FF"/>
              </w:rPr>
              <w:t>06/26/2026</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17"/>
                <w:szCs w:val="17"/>
                <w:color w:val="auto"/>
              </w:rPr>
            </w:pPr>
          </w:p>
        </w:tc>
        <w:tc>
          <w:tcPr>
            <w:tcW w:w="520" w:type="dxa"/>
            <w:vAlign w:val="bottom"/>
          </w:tcPr>
          <w:p>
            <w:pPr>
              <w:jc w:val="center"/>
              <w:ind w:left="215"/>
              <w:spacing w:after="0"/>
              <w:rPr>
                <w:sz w:val="20"/>
                <w:szCs w:val="20"/>
                <w:color w:val="auto"/>
              </w:rPr>
            </w:pPr>
            <w:r>
              <w:rPr>
                <w:rFonts w:ascii="Times New Roman" w:cs="Times New Roman" w:eastAsia="Times New Roman" w:hAnsi="Times New Roman"/>
                <w:sz w:val="16"/>
                <w:szCs w:val="16"/>
                <w:color w:val="0000FF"/>
                <w:w w:val="99"/>
              </w:rPr>
              <w:t>280</w:t>
            </w:r>
          </w:p>
        </w:tc>
        <w:tc>
          <w:tcPr>
            <w:tcW w:w="4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center"/>
              <w:ind w:left="355"/>
              <w:spacing w:after="0"/>
              <w:rPr>
                <w:sz w:val="20"/>
                <w:szCs w:val="20"/>
                <w:color w:val="auto"/>
              </w:rPr>
            </w:pPr>
            <w:r>
              <w:rPr>
                <w:rFonts w:ascii="Times New Roman" w:cs="Times New Roman" w:eastAsia="Times New Roman" w:hAnsi="Times New Roman"/>
                <w:sz w:val="16"/>
                <w:szCs w:val="16"/>
                <w:color w:val="0000FF"/>
                <w:w w:val="99"/>
              </w:rPr>
              <w:t>0</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Savings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Account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532"/>
              <w:spacing w:after="0"/>
              <w:rPr>
                <w:sz w:val="20"/>
                <w:szCs w:val="20"/>
                <w:color w:val="auto"/>
              </w:rPr>
            </w:pPr>
            <w:r>
              <w:rPr>
                <w:rFonts w:ascii="Times New Roman" w:cs="Times New Roman" w:eastAsia="Times New Roman" w:hAnsi="Times New Roman"/>
                <w:sz w:val="16"/>
                <w:szCs w:val="16"/>
                <w:color w:val="0000FF"/>
              </w:rPr>
              <w:t>06/26/2026</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2"/>
                <w:szCs w:val="22"/>
                <w:color w:val="auto"/>
              </w:rPr>
            </w:pPr>
          </w:p>
        </w:tc>
        <w:tc>
          <w:tcPr>
            <w:tcW w:w="100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color w:val="0000FF"/>
                <w:w w:val="99"/>
              </w:rPr>
              <w:t>856.051</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Pr>
          <w:p>
            <w:pPr>
              <w:spacing w:after="0"/>
              <w:rPr>
                <w:sz w:val="22"/>
                <w:szCs w:val="22"/>
                <w:color w:val="auto"/>
              </w:rPr>
            </w:pPr>
          </w:p>
        </w:tc>
        <w:tc>
          <w:tcPr>
            <w:tcW w:w="740" w:type="dxa"/>
            <w:vAlign w:val="bottom"/>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97.975</w:t>
            </w:r>
          </w:p>
        </w:tc>
        <w:tc>
          <w:tcPr>
            <w:tcW w:w="40" w:type="dxa"/>
            <w:vAlign w:val="bottom"/>
          </w:tcPr>
          <w:p>
            <w:pPr>
              <w:spacing w:after="0"/>
              <w:rPr>
                <w:sz w:val="22"/>
                <w:szCs w:val="22"/>
                <w:color w:val="auto"/>
              </w:rPr>
            </w:pPr>
          </w:p>
        </w:tc>
        <w:tc>
          <w:tcPr>
            <w:tcW w:w="700" w:type="dxa"/>
            <w:vAlign w:val="bottom"/>
          </w:tcPr>
          <w:p>
            <w:pPr>
              <w:jc w:val="center"/>
              <w:ind w:left="355"/>
              <w:spacing w:after="0"/>
              <w:rPr>
                <w:sz w:val="20"/>
                <w:szCs w:val="20"/>
                <w:color w:val="auto"/>
              </w:rPr>
            </w:pPr>
            <w:r>
              <w:rPr>
                <w:rFonts w:ascii="Times New Roman" w:cs="Times New Roman" w:eastAsia="Times New Roman" w:hAnsi="Times New Roman"/>
                <w:sz w:val="16"/>
                <w:szCs w:val="16"/>
                <w:color w:val="0000FF"/>
                <w:w w:val="99"/>
              </w:rPr>
              <w:t>0</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4"/>
                <w:szCs w:val="24"/>
                <w:color w:val="auto"/>
              </w:rPr>
            </w:pPr>
          </w:p>
        </w:tc>
        <w:tc>
          <w:tcPr>
            <w:tcW w:w="1780" w:type="dxa"/>
            <w:vAlign w:val="bottom"/>
            <w:gridSpan w:val="3"/>
          </w:tcPr>
          <w:p>
            <w:pPr>
              <w:jc w:val="center"/>
              <w:ind w:left="532"/>
              <w:spacing w:after="0"/>
              <w:rPr>
                <w:sz w:val="20"/>
                <w:szCs w:val="20"/>
                <w:color w:val="auto"/>
              </w:rPr>
            </w:pPr>
            <w:r>
              <w:rPr>
                <w:rFonts w:ascii="Times New Roman" w:cs="Times New Roman" w:eastAsia="Times New Roman" w:hAnsi="Times New Roman"/>
                <w:sz w:val="16"/>
                <w:szCs w:val="16"/>
                <w:color w:val="0000FF"/>
              </w:rPr>
              <w:t>06/26/2026</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4"/>
                <w:szCs w:val="24"/>
                <w:color w:val="auto"/>
              </w:rPr>
            </w:pPr>
          </w:p>
        </w:tc>
        <w:tc>
          <w:tcPr>
            <w:tcW w:w="100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color w:val="0000FF"/>
                <w:w w:val="96"/>
              </w:rPr>
              <w:t>247.408</w:t>
            </w:r>
            <w:r>
              <w:rPr>
                <w:rFonts w:ascii="Times New Roman" w:cs="Times New Roman" w:eastAsia="Times New Roman" w:hAnsi="Times New Roman"/>
                <w:sz w:val="21"/>
                <w:szCs w:val="21"/>
                <w:color w:val="008000"/>
                <w:w w:val="96"/>
                <w:vertAlign w:val="superscript"/>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Pr>
          <w:p>
            <w:pPr>
              <w:spacing w:after="0"/>
              <w:rPr>
                <w:sz w:val="24"/>
                <w:szCs w:val="24"/>
                <w:color w:val="auto"/>
              </w:rPr>
            </w:pPr>
          </w:p>
        </w:tc>
        <w:tc>
          <w:tcPr>
            <w:tcW w:w="740" w:type="dxa"/>
            <w:vAlign w:val="bottom"/>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97.97</w:t>
            </w:r>
          </w:p>
        </w:tc>
        <w:tc>
          <w:tcPr>
            <w:tcW w:w="40" w:type="dxa"/>
            <w:vAlign w:val="bottom"/>
          </w:tcPr>
          <w:p>
            <w:pPr>
              <w:spacing w:after="0"/>
              <w:rPr>
                <w:sz w:val="24"/>
                <w:szCs w:val="24"/>
                <w:color w:val="auto"/>
              </w:rPr>
            </w:pPr>
          </w:p>
        </w:tc>
        <w:tc>
          <w:tcPr>
            <w:tcW w:w="700" w:type="dxa"/>
            <w:vAlign w:val="bottom"/>
          </w:tcPr>
          <w:p>
            <w:pPr>
              <w:jc w:val="center"/>
              <w:ind w:left="355"/>
              <w:spacing w:after="0"/>
              <w:rPr>
                <w:sz w:val="20"/>
                <w:szCs w:val="20"/>
                <w:color w:val="auto"/>
              </w:rPr>
            </w:pPr>
            <w:r>
              <w:rPr>
                <w:rFonts w:ascii="Times New Roman" w:cs="Times New Roman" w:eastAsia="Times New Roman" w:hAnsi="Times New Roman"/>
                <w:sz w:val="16"/>
                <w:szCs w:val="16"/>
                <w:color w:val="0000FF"/>
                <w:w w:val="99"/>
              </w:rPr>
              <w:t>0</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Roth IRA</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0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7"/>
              </w:rPr>
              <w:t>2,115.094</w:t>
            </w:r>
            <w:r>
              <w:rPr>
                <w:rFonts w:ascii="Times New Roman" w:cs="Times New Roman" w:eastAsia="Times New Roman" w:hAnsi="Times New Roman"/>
                <w:sz w:val="21"/>
                <w:szCs w:val="21"/>
                <w:color w:val="008000"/>
                <w:w w:val="97"/>
                <w:vertAlign w:val="superscript"/>
              </w:rPr>
              <w:t>(2)</w:t>
            </w: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TTC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6"/>
                <w:szCs w:val="16"/>
                <w:color w:val="0000FF"/>
                <w:w w:val="97"/>
              </w:rPr>
              <w:t>6,296.787</w:t>
            </w:r>
            <w:r>
              <w:rPr>
                <w:rFonts w:ascii="Times New Roman" w:cs="Times New Roman" w:eastAsia="Times New Roman" w:hAnsi="Times New Roman"/>
                <w:sz w:val="21"/>
                <w:szCs w:val="21"/>
                <w:color w:val="008000"/>
                <w:w w:val="97"/>
                <w:vertAlign w:val="superscript"/>
              </w:rPr>
              <w:t>(3)</w:t>
            </w:r>
          </w:p>
        </w:tc>
        <w:tc>
          <w:tcPr>
            <w:tcW w:w="340" w:type="dxa"/>
            <w:vAlign w:val="bottom"/>
          </w:tcPr>
          <w:p>
            <w:pPr>
              <w:spacing w:after="0"/>
              <w:rPr>
                <w:sz w:val="17"/>
                <w:szCs w:val="17"/>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20" w:type="dxa"/>
            <w:vAlign w:val="bottom"/>
            <w:tcBorders>
              <w:bottom w:val="single" w:sz="8" w:color="2C2C2C"/>
            </w:tcBorders>
            <w:gridSpan w:val="12"/>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3"/>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jc w:val="center"/>
              <w:ind w:left="3"/>
              <w:spacing w:after="0"/>
              <w:rPr>
                <w:sz w:val="20"/>
                <w:szCs w:val="20"/>
                <w:color w:val="auto"/>
              </w:rPr>
            </w:pPr>
            <w:r>
              <w:rPr>
                <w:rFonts w:ascii="Arial" w:cs="Arial" w:eastAsia="Arial" w:hAnsi="Arial"/>
                <w:sz w:val="11"/>
                <w:szCs w:val="11"/>
                <w:b w:val="1"/>
                <w:bCs w:val="1"/>
                <w:color w:val="auto"/>
                <w:w w:val="86"/>
              </w:rPr>
              <w:t>4.</w:t>
            </w:r>
          </w:p>
        </w:tc>
        <w:tc>
          <w:tcPr>
            <w:tcW w:w="5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460" w:type="dxa"/>
            <w:vAlign w:val="bottom"/>
            <w:gridSpan w:val="5"/>
          </w:tcPr>
          <w:p>
            <w:pPr>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1"/>
                <w:szCs w:val="11"/>
                <w:color w:val="auto"/>
              </w:rPr>
            </w:pPr>
          </w:p>
        </w:tc>
        <w:tc>
          <w:tcPr>
            <w:tcW w:w="146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jc w:val="center"/>
              <w:ind w:left="23"/>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5"/>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300" w:type="dxa"/>
            <w:vAlign w:val="bottom"/>
          </w:tcPr>
          <w:p>
            <w:pPr>
              <w:spacing w:after="0"/>
              <w:rPr>
                <w:sz w:val="15"/>
                <w:szCs w:val="15"/>
                <w:color w:val="auto"/>
              </w:rPr>
            </w:pPr>
          </w:p>
        </w:tc>
        <w:tc>
          <w:tcPr>
            <w:tcW w:w="52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color w:val="008000"/>
                <w:w w:val="93"/>
              </w:rPr>
              <w:t>(5)</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0"/>
              </w:rPr>
              <w:t>Common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rPr>
              <w:t>5,568.13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jc w:val="right"/>
              <w:ind w:right="143"/>
              <w:spacing w:after="0" w:line="139" w:lineRule="exact"/>
              <w:rPr>
                <w:sz w:val="20"/>
                <w:szCs w:val="20"/>
                <w:color w:val="auto"/>
              </w:rPr>
            </w:pPr>
            <w:r>
              <w:rPr>
                <w:rFonts w:ascii="Times New Roman" w:cs="Times New Roman" w:eastAsia="Times New Roman" w:hAnsi="Times New Roman"/>
                <w:sz w:val="13"/>
                <w:szCs w:val="13"/>
                <w:color w:val="0000FF"/>
              </w:rPr>
              <w:t>5,568.13</w:t>
            </w:r>
          </w:p>
        </w:tc>
        <w:tc>
          <w:tcPr>
            <w:tcW w:w="52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5"/>
                <w:szCs w:val="15"/>
                <w:color w:val="auto"/>
              </w:rPr>
            </w:pPr>
          </w:p>
        </w:tc>
        <w:tc>
          <w:tcPr>
            <w:tcW w:w="52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color w:val="008000"/>
                <w:w w:val="93"/>
              </w:rPr>
              <w:t>(6)</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0"/>
              </w:rPr>
              <w:t>Common</w:t>
            </w:r>
          </w:p>
        </w:tc>
        <w:tc>
          <w:tcPr>
            <w:tcW w:w="14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18,665.637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jc w:val="right"/>
              <w:ind w:right="63"/>
              <w:spacing w:after="0" w:line="127" w:lineRule="exact"/>
              <w:rPr>
                <w:sz w:val="20"/>
                <w:szCs w:val="20"/>
                <w:color w:val="auto"/>
              </w:rPr>
            </w:pPr>
            <w:r>
              <w:rPr>
                <w:rFonts w:ascii="Times New Roman" w:cs="Times New Roman" w:eastAsia="Times New Roman" w:hAnsi="Times New Roman"/>
                <w:sz w:val="13"/>
                <w:szCs w:val="13"/>
                <w:color w:val="0000FF"/>
              </w:rPr>
              <w:t>18,665.637</w:t>
            </w:r>
          </w:p>
        </w:tc>
        <w:tc>
          <w:tcPr>
            <w:tcW w:w="520" w:type="dxa"/>
            <w:vAlign w:val="bottom"/>
          </w:tcPr>
          <w:p>
            <w:pPr>
              <w:ind w:left="36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-2241550</wp:posOffset>
            </wp:positionV>
            <wp:extent cx="28575" cy="224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472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2.064 shares acquired by the reporting person since the date of his last report under a dividend reinvestment feature of the account in which the shares are held.</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14.973 performance share units acquired by the reporting person since the date of his last report under the dividend reinvestment feature of The Toro Company Deferred Compensation Plan for Officers.</w:t>
      </w:r>
    </w:p>
    <w:p>
      <w:pPr>
        <w:spacing w:after="0" w:line="52" w:lineRule="exact"/>
        <w:rPr>
          <w:rFonts w:ascii="Times New Roman" w:cs="Times New Roman" w:eastAsia="Times New Roman" w:hAnsi="Times New Roman"/>
          <w:sz w:val="12"/>
          <w:szCs w:val="12"/>
          <w:color w:val="008000"/>
        </w:rPr>
      </w:pPr>
    </w:p>
    <w:p>
      <w:pPr>
        <w:ind w:left="40" w:right="6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195.686 net shares acquired through regular individual and issuer matching contributions to The Toro Company Retirement Plan (the "Retirement Plan") and shares acquired under the dividend reinvestment feature of the Retirement Plan less quarterly non-discretionary administrative fees.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in three equal annual installments commencing on the first anniversary of the December 22, 2025 grant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in three equal annual installments commencing on the first anniversary of the September 2, 2025 grant date.</w:t>
      </w:r>
    </w:p>
    <w:p>
      <w:pPr>
        <w:sectPr>
          <w:pgSz w:w="11900" w:h="16838" w:orient="portrait"/>
          <w:cols w:equalWidth="0" w:num="1">
            <w:col w:w="11080"/>
          </w:cols>
          <w:pgMar w:left="460" w:top="216" w:right="359" w:bottom="62"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296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680" w:space="120"/>
            <w:col w:w="2280"/>
          </w:cols>
          <w:pgMar w:left="460" w:top="216" w:right="359" w:bottom="62"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2026-06-29T15:50:31Z</dcterms:created>
  <dcterms:modified xsi:type="dcterms:W3CDTF">2026-06-29T15:50:31Z</dcterms:modified>
</cp:coreProperties>
</file>