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539"/>
        <w:spacing w:after="0"/>
        <w:rPr>
          <w:sz w:val="20"/>
          <w:szCs w:val="20"/>
          <w:color w:val="auto"/>
        </w:rPr>
      </w:pPr>
      <w:r>
        <w:rPr>
          <w:rFonts w:ascii="Arial" w:cs="Arial" w:eastAsia="Arial" w:hAnsi="Arial"/>
          <w:sz w:val="24"/>
          <w:szCs w:val="24"/>
          <w:b w:val="1"/>
          <w:bCs w:val="1"/>
          <w:color w:val="auto"/>
        </w:rPr>
        <w:t>UNITED STATES</w:t>
      </w:r>
    </w:p>
    <w:p>
      <w:pPr>
        <w:spacing w:after="0" w:line="224" w:lineRule="exact"/>
        <w:rPr>
          <w:sz w:val="20"/>
          <w:szCs w:val="20"/>
          <w:color w:val="auto"/>
        </w:rPr>
      </w:pPr>
    </w:p>
    <w:p>
      <w:pPr>
        <w:jc w:val="center"/>
        <w:ind w:right="-539"/>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ind w:right="-5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53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5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Date of Report (Date of earliest event reported) May 28, 2003</w:t>
      </w:r>
    </w:p>
    <w:p>
      <w:pPr>
        <w:spacing w:after="0" w:line="196" w:lineRule="exact"/>
        <w:rPr>
          <w:sz w:val="20"/>
          <w:szCs w:val="20"/>
          <w:color w:val="auto"/>
        </w:rPr>
      </w:pPr>
    </w:p>
    <w:p>
      <w:pPr>
        <w:ind w:left="3400"/>
        <w:spacing w:after="0"/>
        <w:rPr>
          <w:sz w:val="20"/>
          <w:szCs w:val="20"/>
          <w:color w:val="auto"/>
        </w:rPr>
      </w:pPr>
      <w:r>
        <w:rPr>
          <w:rFonts w:ascii="Arial" w:cs="Arial" w:eastAsia="Arial" w:hAnsi="Arial"/>
          <w:sz w:val="43"/>
          <w:szCs w:val="43"/>
          <w:b w:val="1"/>
          <w:bCs w:val="1"/>
          <w:color w:val="auto"/>
        </w:rPr>
        <w:t>THE TORO COMPANY</w:t>
      </w:r>
    </w:p>
    <w:p>
      <w:pPr>
        <w:spacing w:after="0" w:line="25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880"/>
          </w:cols>
          <w:pgMar w:left="240" w:top="122" w:right="779" w:bottom="1440" w:gutter="0" w:footer="0" w:header="0"/>
        </w:sectPr>
      </w:pPr>
    </w:p>
    <w:p>
      <w:pPr>
        <w:spacing w:after="0" w:line="24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1-8649</w:t>
      </w:r>
    </w:p>
    <w:p>
      <w:pPr>
        <w:spacing w:after="0" w:line="21" w:lineRule="exact"/>
        <w:rPr>
          <w:sz w:val="20"/>
          <w:szCs w:val="20"/>
          <w:color w:val="auto"/>
        </w:rPr>
      </w:pPr>
    </w:p>
    <w:p>
      <w:pPr>
        <w:jc w:val="center"/>
        <w:ind w:right="66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41-0580470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0"/>
          <w:szCs w:val="20"/>
          <w:color w:val="auto"/>
        </w:rPr>
      </w:pPr>
    </w:p>
    <w:p>
      <w:pPr>
        <w:sectPr>
          <w:pgSz w:w="11900" w:h="16838" w:orient="portrait"/>
          <w:cols w:equalWidth="0" w:num="3">
            <w:col w:w="3980" w:space="720"/>
            <w:col w:w="2600" w:space="720"/>
            <w:col w:w="2860"/>
          </w:cols>
          <w:pgMar w:left="240" w:top="122" w:right="779" w:bottom="1440" w:gutter="0" w:footer="0" w:header="0"/>
          <w:type w:val="continuous"/>
        </w:sectPr>
      </w:pPr>
    </w:p>
    <w:p>
      <w:pPr>
        <w:spacing w:after="0" w:line="63"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8111 Lyndale Avenue South</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Bloomington, Minnesota 55420</w:t>
      </w:r>
    </w:p>
    <w:p>
      <w:pPr>
        <w:spacing w:after="0" w:line="32" w:lineRule="exact"/>
        <w:rPr>
          <w:sz w:val="20"/>
          <w:szCs w:val="20"/>
          <w:color w:val="auto"/>
        </w:rPr>
      </w:pPr>
    </w:p>
    <w:p>
      <w:pPr>
        <w:jc w:val="center"/>
        <w:ind w:right="-559"/>
        <w:spacing w:after="0"/>
        <w:rPr>
          <w:sz w:val="20"/>
          <w:szCs w:val="20"/>
          <w:color w:val="auto"/>
        </w:rPr>
      </w:pPr>
      <w:r>
        <w:rPr>
          <w:rFonts w:ascii="Arial" w:cs="Arial" w:eastAsia="Arial" w:hAnsi="Arial"/>
          <w:sz w:val="15"/>
          <w:szCs w:val="15"/>
          <w:b w:val="1"/>
          <w:bCs w:val="1"/>
          <w:color w:val="auto"/>
        </w:rPr>
        <w:t>Telephone number: (952) 888-8801</w:t>
      </w:r>
    </w:p>
    <w:p>
      <w:pPr>
        <w:sectPr>
          <w:pgSz w:w="11900" w:h="16838" w:orient="portrait"/>
          <w:cols w:equalWidth="0" w:num="1">
            <w:col w:w="10880"/>
          </w:cols>
          <w:pgMar w:left="240" w:top="122" w:right="779" w:bottom="1440" w:gutter="0" w:footer="0" w:header="0"/>
          <w:type w:val="continuous"/>
        </w:sectPr>
      </w:pPr>
    </w:p>
    <w:p>
      <w:pPr>
        <w:spacing w:after="0" w:line="253" w:lineRule="exact"/>
        <w:rPr>
          <w:sz w:val="20"/>
          <w:szCs w:val="20"/>
          <w:color w:val="auto"/>
        </w:rPr>
      </w:pPr>
    </w:p>
    <w:p>
      <w:pPr>
        <w:jc w:val="right"/>
        <w:ind w:right="1100"/>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581025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122" w:right="77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7. Financial Statements, Pro Forma Financial Information and Exhibits.</w:t>
        </w:r>
      </w:hyperlink>
    </w:p>
    <w:p>
      <w:pPr>
        <w:spacing w:after="0" w:line="8"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9. Regulation FD Disclosure; (Item 12. Results of Operations and Financial Condition)</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LIST</w:t>
        </w:r>
      </w:hyperlink>
    </w:p>
    <w:p>
      <w:pPr>
        <w:spacing w:after="0" w:line="231" w:lineRule="auto"/>
        <w:rPr>
          <w:sz w:val="20"/>
          <w:szCs w:val="20"/>
          <w:color w:val="auto"/>
        </w:rPr>
      </w:pPr>
      <w:r>
        <w:rPr>
          <w:rFonts w:ascii="Arial" w:cs="Arial" w:eastAsia="Arial" w:hAnsi="Arial"/>
          <w:sz w:val="22"/>
          <w:szCs w:val="22"/>
          <w:u w:val="single" w:color="auto"/>
          <w:color w:val="0000EE"/>
        </w:rPr>
        <w:t>EX-4.(b) Amended Certificate of Incorporation</w:t>
      </w:r>
    </w:p>
    <w:p>
      <w:pPr>
        <w:spacing w:after="0" w:line="230" w:lineRule="auto"/>
        <w:rPr>
          <w:sz w:val="20"/>
          <w:szCs w:val="20"/>
          <w:color w:val="auto"/>
        </w:rPr>
      </w:pPr>
      <w:r>
        <w:rPr>
          <w:rFonts w:ascii="Arial" w:cs="Arial" w:eastAsia="Arial" w:hAnsi="Arial"/>
          <w:sz w:val="22"/>
          <w:szCs w:val="22"/>
          <w:u w:val="single" w:color="auto"/>
          <w:color w:val="0000EE"/>
        </w:rPr>
        <w:t>EX-4.(c) Bylaws of Registrant, as Amended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580"/>
        <w:spacing w:after="0"/>
        <w:tabs>
          <w:tab w:leader="none" w:pos="15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Financial Statements, Pro Forma Financial Information and Exhibits.</w:t>
      </w:r>
    </w:p>
    <w:p>
      <w:pPr>
        <w:spacing w:after="0" w:line="225" w:lineRule="exact"/>
        <w:rPr>
          <w:sz w:val="20"/>
          <w:szCs w:val="20"/>
          <w:color w:val="auto"/>
        </w:rPr>
      </w:pPr>
    </w:p>
    <w:p>
      <w:pPr>
        <w:ind w:left="1980" w:hanging="466"/>
        <w:spacing w:after="0"/>
        <w:tabs>
          <w:tab w:leader="none" w:pos="1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580"/>
        <w:spacing w:after="0"/>
        <w:tabs>
          <w:tab w:leader="none" w:pos="15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Regulation FD Disclosure; (Item 12. Results of Operations and Financial Condition)</w:t>
      </w:r>
    </w:p>
    <w:p>
      <w:pPr>
        <w:spacing w:after="0" w:line="225" w:lineRule="exact"/>
        <w:rPr>
          <w:sz w:val="20"/>
          <w:szCs w:val="20"/>
          <w:color w:val="auto"/>
        </w:rPr>
      </w:pPr>
    </w:p>
    <w:p>
      <w:pPr>
        <w:ind w:left="1520" w:firstLine="439"/>
        <w:spacing w:after="0" w:line="290" w:lineRule="auto"/>
        <w:rPr>
          <w:sz w:val="20"/>
          <w:szCs w:val="20"/>
          <w:color w:val="auto"/>
        </w:rPr>
      </w:pPr>
      <w:r>
        <w:rPr>
          <w:rFonts w:ascii="Arial" w:cs="Arial" w:eastAsia="Arial" w:hAnsi="Arial"/>
          <w:sz w:val="16"/>
          <w:szCs w:val="16"/>
          <w:color w:val="auto"/>
        </w:rPr>
        <w:t>In accordance with SEC Release No. 33-8216, the following information, required to be furnished under “Item 12. Results of Operations and Financial Condition” is furnished under “Item 9. Regulation FD Disclosure.” On May 28, 2003, The Toro Company announced its earnings for the three and six months ended May 2, 2003. Attached to this Current Report on Form 8-K as Exhibit 99 is a copy of The Toro Company’s press release in connection with the announcement. The information is not deemed filed for purposes of the Securities Exchange Act of 1934 and is not deemed incorporated by reference by any general statements incorporating by reference this report or future filings into any filings under the Securities Act of 1933 or the Securities Exchange Act of 1934, except to the extent The Toro Company specifically incorporates the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419" w:right="8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THE TORO COMPANY</w:t>
      </w:r>
    </w:p>
    <w:p>
      <w:pPr>
        <w:spacing w:after="0" w:line="15" w:lineRule="exact"/>
        <w:rPr>
          <w:sz w:val="20"/>
          <w:szCs w:val="20"/>
          <w:color w:val="auto"/>
        </w:rPr>
      </w:pPr>
    </w:p>
    <w:p>
      <w:pPr>
        <w:jc w:val="center"/>
        <w:ind w:right="-659"/>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May 28, 2003</w:t>
      </w:r>
      <w:r>
        <w:rPr>
          <w:sz w:val="20"/>
          <w:szCs w:val="20"/>
          <w:color w:val="auto"/>
        </w:rPr>
        <w:tab/>
      </w:r>
      <w:r>
        <w:rPr>
          <w:rFonts w:ascii="Arial" w:cs="Arial" w:eastAsia="Arial" w:hAnsi="Arial"/>
          <w:sz w:val="16"/>
          <w:szCs w:val="16"/>
          <w:color w:val="auto"/>
        </w:rPr>
        <w:t>By  /s/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71120</wp:posOffset>
            </wp:positionV>
            <wp:extent cx="13893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7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Stephen P. Wolfe</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41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LIST</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jc w:val="center"/>
        <w:ind w:right="4720"/>
        <w:spacing w:after="0"/>
        <w:rPr>
          <w:sz w:val="20"/>
          <w:szCs w:val="20"/>
          <w:color w:val="auto"/>
        </w:rPr>
      </w:pPr>
      <w:r>
        <w:rPr>
          <w:rFonts w:ascii="Arial" w:cs="Arial" w:eastAsia="Arial" w:hAnsi="Arial"/>
          <w:sz w:val="12"/>
          <w:szCs w:val="12"/>
          <w:b w:val="1"/>
          <w:bCs w:val="1"/>
          <w:color w:val="auto"/>
        </w:rPr>
        <w:t>DESCRIPTION</w:t>
      </w:r>
    </w:p>
    <w:p>
      <w:pPr>
        <w:spacing w:after="0" w:line="178" w:lineRule="exact"/>
        <w:rPr>
          <w:sz w:val="20"/>
          <w:szCs w:val="20"/>
          <w:color w:val="auto"/>
        </w:rPr>
      </w:pPr>
    </w:p>
    <w:p>
      <w:pPr>
        <w:sectPr>
          <w:pgSz w:w="11900" w:h="16838" w:orient="portrait"/>
          <w:cols w:equalWidth="0" w:num="2">
            <w:col w:w="5040" w:space="720"/>
            <w:col w:w="5660"/>
          </w:cols>
          <w:pgMar w:left="240" w:top="419" w:right="239" w:bottom="1440" w:gutter="0" w:footer="0" w:header="0"/>
          <w:type w:val="continuous"/>
        </w:sect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 including indentures:</w:t>
      </w:r>
    </w:p>
    <w:p>
      <w:pPr>
        <w:spacing w:after="0" w:line="236" w:lineRule="exact"/>
        <w:rPr>
          <w:rFonts w:ascii="Arial" w:cs="Arial" w:eastAsia="Arial" w:hAnsi="Arial"/>
          <w:sz w:val="18"/>
          <w:szCs w:val="18"/>
          <w:color w:val="auto"/>
        </w:rPr>
      </w:pPr>
    </w:p>
    <w:p>
      <w:pPr>
        <w:ind w:left="1040" w:right="560" w:hanging="594"/>
        <w:spacing w:after="0" w:line="268" w:lineRule="auto"/>
        <w:rPr>
          <w:rFonts w:ascii="Arial" w:cs="Arial" w:eastAsia="Arial" w:hAnsi="Arial"/>
          <w:sz w:val="18"/>
          <w:szCs w:val="18"/>
          <w:color w:val="auto"/>
        </w:rPr>
      </w:pPr>
      <w:r>
        <w:rPr>
          <w:rFonts w:ascii="Arial" w:cs="Arial" w:eastAsia="Arial" w:hAnsi="Arial"/>
          <w:sz w:val="18"/>
          <w:szCs w:val="18"/>
          <w:color w:val="auto"/>
        </w:rPr>
        <w:t>4(a) Specimen form of Common Stock certificate (incorporated by reference to Exhibit 4(c) to Registrant’s Registration Statement on Form S-8, Registration No. 2-94417).</w:t>
      </w:r>
    </w:p>
    <w:p>
      <w:pPr>
        <w:spacing w:after="0" w:line="21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4(b)    Amended and Restated Certificate of Incorporation of Registrant (</w:t>
      </w:r>
      <w:r>
        <w:rPr>
          <w:rFonts w:ascii="Arial" w:cs="Arial" w:eastAsia="Arial" w:hAnsi="Arial"/>
          <w:sz w:val="18"/>
          <w:szCs w:val="18"/>
          <w:i w:val="1"/>
          <w:iCs w:val="1"/>
          <w:color w:val="auto"/>
        </w:rPr>
        <w:t>filed herewith</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4(c)    Bylaws of Registrant, as amended (</w:t>
      </w:r>
      <w:r>
        <w:rPr>
          <w:rFonts w:ascii="Arial" w:cs="Arial" w:eastAsia="Arial" w:hAnsi="Arial"/>
          <w:sz w:val="18"/>
          <w:szCs w:val="18"/>
          <w:i w:val="1"/>
          <w:iCs w:val="1"/>
          <w:color w:val="auto"/>
        </w:rPr>
        <w:t>filed herewith</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40" w:right="280" w:hanging="594"/>
        <w:spacing w:after="0" w:line="259" w:lineRule="auto"/>
        <w:rPr>
          <w:rFonts w:ascii="Arial" w:cs="Arial" w:eastAsia="Arial" w:hAnsi="Arial"/>
          <w:sz w:val="18"/>
          <w:szCs w:val="18"/>
          <w:color w:val="auto"/>
        </w:rPr>
      </w:pPr>
      <w:r>
        <w:rPr>
          <w:rFonts w:ascii="Arial" w:cs="Arial" w:eastAsia="Arial" w:hAnsi="Arial"/>
          <w:sz w:val="18"/>
          <w:szCs w:val="18"/>
          <w:color w:val="auto"/>
        </w:rPr>
        <w:t>4(d) Rights Agreement dated as of May 20, 1998, between Registrant and Wells Fargo Bank Minnesota, N.A., relating to rights to purchase Series B Junior Participating Voting Preferred Stock (incorporated by reference to Exhibit 1 to Registrant’s Current Report on Form 8-K dated May 27, 1998, Commission File No. 1-8649).</w:t>
      </w:r>
    </w:p>
    <w:p>
      <w:pPr>
        <w:spacing w:after="0" w:line="221" w:lineRule="exact"/>
        <w:rPr>
          <w:rFonts w:ascii="Arial" w:cs="Arial" w:eastAsia="Arial" w:hAnsi="Arial"/>
          <w:sz w:val="18"/>
          <w:szCs w:val="18"/>
          <w:color w:val="auto"/>
        </w:rPr>
      </w:pPr>
    </w:p>
    <w:p>
      <w:pPr>
        <w:ind w:left="1040" w:right="140" w:hanging="594"/>
        <w:spacing w:after="0" w:line="306" w:lineRule="auto"/>
        <w:rPr>
          <w:rFonts w:ascii="Arial" w:cs="Arial" w:eastAsia="Arial" w:hAnsi="Arial"/>
          <w:sz w:val="18"/>
          <w:szCs w:val="18"/>
          <w:color w:val="auto"/>
        </w:rPr>
      </w:pPr>
      <w:r>
        <w:rPr>
          <w:rFonts w:ascii="Arial" w:cs="Arial" w:eastAsia="Arial" w:hAnsi="Arial"/>
          <w:sz w:val="16"/>
          <w:szCs w:val="16"/>
          <w:color w:val="auto"/>
        </w:rPr>
        <w:t>4(e) Certificate of Adjusted Purchase Price or Number of Shares dated April 14, 2003 filed by Registrant with Wells Fargo Bank Minnesota, N.A., as Rights Agent, in connection with Rights Agreement dated as of May 20, 1998 (incorporated by reference to Exhibit 2 to Registrant’s Amendment No. 1 to Registration Statement on Form 8-A/A dated April 14, 2003, Commission File No. 1-8649).</w:t>
      </w:r>
    </w:p>
    <w:p>
      <w:pPr>
        <w:spacing w:after="0" w:line="187" w:lineRule="exact"/>
        <w:rPr>
          <w:rFonts w:ascii="Arial" w:cs="Arial" w:eastAsia="Arial" w:hAnsi="Arial"/>
          <w:sz w:val="18"/>
          <w:szCs w:val="18"/>
          <w:color w:val="auto"/>
        </w:rPr>
      </w:pPr>
    </w:p>
    <w:p>
      <w:pPr>
        <w:ind w:left="1040" w:hanging="594"/>
        <w:spacing w:after="0" w:line="259" w:lineRule="auto"/>
        <w:rPr>
          <w:rFonts w:ascii="Arial" w:cs="Arial" w:eastAsia="Arial" w:hAnsi="Arial"/>
          <w:sz w:val="18"/>
          <w:szCs w:val="18"/>
          <w:color w:val="auto"/>
        </w:rPr>
      </w:pPr>
      <w:r>
        <w:rPr>
          <w:rFonts w:ascii="Arial" w:cs="Arial" w:eastAsia="Arial" w:hAnsi="Arial"/>
          <w:sz w:val="18"/>
          <w:szCs w:val="18"/>
          <w:color w:val="auto"/>
        </w:rPr>
        <w:t>4(f)Indenture dated as of January 31, 1997 between Registrant and First National Trust Association, as Trustee, relating to Registrant’s 7.125% Notes due June 15, 2007 and its 7.80% Debentures due June 15, 2027 (incorporated by reference Exhibit 4(a) to Registrant’s Current Report on Form 8-K for June 24, 1997, Commission File No. 1-8649).</w:t>
      </w:r>
    </w:p>
    <w:p>
      <w:pPr>
        <w:spacing w:after="0" w:line="2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Other</w:t>
      </w:r>
    </w:p>
    <w:p>
      <w:pPr>
        <w:spacing w:after="0" w:line="25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Registrant’s press release dated May 28, 2003 (</w:t>
      </w:r>
      <w:r>
        <w:rPr>
          <w:rFonts w:ascii="Arial" w:cs="Arial" w:eastAsia="Arial" w:hAnsi="Arial"/>
          <w:sz w:val="18"/>
          <w:szCs w:val="18"/>
          <w:i w:val="1"/>
          <w:iCs w:val="1"/>
          <w:color w:val="auto"/>
        </w:rPr>
        <w:t>furnished herewith</w:t>
      </w:r>
      <w:r>
        <w:rPr>
          <w:rFonts w:ascii="Arial" w:cs="Arial" w:eastAsia="Arial" w:hAnsi="Arial"/>
          <w:sz w:val="18"/>
          <w:szCs w:val="18"/>
          <w:color w:val="auto"/>
        </w:rPr>
        <w:t>).</w:t>
      </w:r>
    </w:p>
    <w:p>
      <w:pPr>
        <w:sectPr>
          <w:pgSz w:w="11900" w:h="16838" w:orient="portrait"/>
          <w:cols w:equalWidth="0" w:num="1">
            <w:col w:w="11420"/>
          </w:cols>
          <w:pgMar w:left="240" w:top="419" w:right="239" w:bottom="1440" w:gutter="0" w:footer="0" w:header="0"/>
          <w:type w:val="continuous"/>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TORO COMPANY</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Toro Company (hereinafter called the “corporation”), a corporation organized and existing under and by virtue of the General Corporation Law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 does hereby certify:</w:t>
      </w:r>
    </w:p>
    <w:p>
      <w:pPr>
        <w:spacing w:after="0" w:line="219" w:lineRule="exact"/>
        <w:rPr>
          <w:sz w:val="20"/>
          <w:szCs w:val="20"/>
          <w:color w:val="auto"/>
        </w:rPr>
      </w:pPr>
    </w:p>
    <w:p>
      <w:pPr>
        <w:ind w:right="220" w:firstLine="439"/>
        <w:spacing w:after="0" w:line="332" w:lineRule="auto"/>
        <w:rPr>
          <w:sz w:val="20"/>
          <w:szCs w:val="20"/>
          <w:color w:val="auto"/>
        </w:rPr>
      </w:pPr>
      <w:r>
        <w:rPr>
          <w:rFonts w:ascii="Arial" w:cs="Arial" w:eastAsia="Arial" w:hAnsi="Arial"/>
          <w:sz w:val="16"/>
          <w:szCs w:val="16"/>
          <w:color w:val="auto"/>
        </w:rPr>
        <w:t>FIRST: The present name of the corporation is The Toro Company, which is the name under which the corporation was originally incorporated; and the date of filing the original Certificate of Incorporation of the corporation with the Secretary of State of the State of Delaware was November 7, 1983.</w:t>
      </w:r>
    </w:p>
    <w:p>
      <w:pPr>
        <w:spacing w:after="0" w:line="139"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SECOND: This Amended and Restated Certificate of Incorporation was duly adopted by and in accordance with the provisions of Sections 242 and 245 of the General Corporation Law of the State of Delaware as set forth in Title 8 of the Delaware Code.</w:t>
      </w:r>
    </w:p>
    <w:p>
      <w:pPr>
        <w:spacing w:after="0" w:line="186" w:lineRule="exact"/>
        <w:rPr>
          <w:sz w:val="20"/>
          <w:szCs w:val="20"/>
          <w:color w:val="auto"/>
        </w:rPr>
      </w:pPr>
    </w:p>
    <w:p>
      <w:pPr>
        <w:ind w:right="400" w:firstLine="436"/>
        <w:spacing w:after="0" w:line="268" w:lineRule="auto"/>
        <w:rPr>
          <w:sz w:val="20"/>
          <w:szCs w:val="20"/>
          <w:color w:val="auto"/>
        </w:rPr>
      </w:pPr>
      <w:r>
        <w:rPr>
          <w:rFonts w:ascii="Arial" w:cs="Arial" w:eastAsia="Arial" w:hAnsi="Arial"/>
          <w:sz w:val="18"/>
          <w:szCs w:val="18"/>
          <w:color w:val="auto"/>
        </w:rPr>
        <w:t>THIRD: This Amended and Restated Certificate of Incorporation not only restates and integrates, but also amends the provisions of the corporation’s Certificate of Incorporation as heretofore amended or supplemented.</w:t>
      </w:r>
    </w:p>
    <w:p>
      <w:pPr>
        <w:spacing w:after="0" w:line="186" w:lineRule="exact"/>
        <w:rPr>
          <w:sz w:val="20"/>
          <w:szCs w:val="20"/>
          <w:color w:val="auto"/>
        </w:rPr>
      </w:pPr>
    </w:p>
    <w:p>
      <w:pPr>
        <w:jc w:val="both"/>
        <w:ind w:right="60" w:firstLine="439"/>
        <w:spacing w:after="0" w:line="259" w:lineRule="auto"/>
        <w:rPr>
          <w:sz w:val="20"/>
          <w:szCs w:val="20"/>
          <w:color w:val="auto"/>
        </w:rPr>
      </w:pPr>
      <w:r>
        <w:rPr>
          <w:rFonts w:ascii="Arial" w:cs="Arial" w:eastAsia="Arial" w:hAnsi="Arial"/>
          <w:sz w:val="18"/>
          <w:szCs w:val="18"/>
          <w:color w:val="auto"/>
        </w:rPr>
        <w:t>FOURTH: All amendments reflected in this Amended and Restated Certificate of Incorporation have been duly proposed by the Board of Directors of the corporation and adopted by the stockholders of the corporation in the manner and by the vote prescribed by Section 242 of the General Corporation Law of the State of Delaware.</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FIFTH: The text of the Certificate of Incorporation of the corporation is hereby amended and restated to read in its entirety as follows:</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name of this corporation shall be The Toro Company</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Registered Office</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address of the registered office of the corporation in the State of Delaware is 9 East Loockerman Street, City of Dover, County of Kent, and the name of its registered agent at that address is National Registered Agents,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purpose for which the corporation is formed is to engage in any lawful act or activity for which corporations may be organized under the General Corporation Law of Delaware.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Stock</w:t>
      </w: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Section 1. The corporation shall be authorized to issue three classes of shares of capital stock to be designated, respectively, “Common Stock,” “Voting Preferred Stock” and “Non-Voting Preferred Stock.” The total number of shares of capital stock which the corporation shall have authority to issue is fifty-one million eight hundred fifty thousand (51,850,000); the total number of shares of Common Stock shall be fifty million (50,000,000), and each such share shall have a par value of One Dollar ($1.00); the total number of shares of Voting Preferred Stock shall be One Million (1,000,000), and each such share shall have a par value of One Dollar ($1.00) and of which 200,000 shares are designated as a series to be called the Series B Junior Participating Voting Preferred Stock, such series to have the rights, voting power, preferences and restrictions set forth in Section 2 of this Article IV; and the total number of shares of Non-Voting Preferred Stock shall be Eight Hundred and Fifty Thousand (850,000), and each such share shall have a par value of One Dollar ($1.00).</w:t>
      </w:r>
    </w:p>
    <w:p>
      <w:pPr>
        <w:spacing w:after="0" w:line="17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Except as herein provided or as otherwise provided by law or by the resolution or resolutions adopted by the Board designating the rights, powers and preferences of any series of Preferred Stock, the Common Stock shall have the exclusive right to vote for the election of directors and for all other purposes, each holder of the Common Stock being entitled to one vote for each share held; and except as provided below with respect to the Series B Junior Participating Voting Preferred Stock, Voting Preferred Stock and Non-Voting Preferred Stock shall have only such voting rights, if any, as fixed by the Board of Directors and as required by law as to matters affecting such Voting Preferred Stock and Non-Voting Preferred Stock. Whenever this Amended and Restated Certificate of Incorporation or the Bylaws of the corporation shall require the affirmative vote of the holders of at least 80% of the voting power of the then outstanding shares of the capital stock of the corporation entitled to vote generally in the election of directors (such capital stock is hereinafter referred to in this Amended and Restated Certificate of Incorporation as “Voting Stock”), voting together as a single class, for the taking of corporate action: (A) such affirmative vote shall be in addition to any other affirmative vote required by law or by the resolution or resolutions designating the rights, powers and preferences of any outstanding series of Preferred Stock; and (B) each outstanding share of Common Stock shall be entitled to one vote and each outstanding share of each series of Voting Preferred Stock shall be entitled to the number of votes to which it is generally entitled, pursuant to the resolution or resolutions designating the rights, powers and preferences of such series of Preferred Stock, in the election of directors.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ind w:right="220"/>
        <w:spacing w:after="0" w:line="259" w:lineRule="auto"/>
        <w:rPr>
          <w:sz w:val="20"/>
          <w:szCs w:val="20"/>
          <w:color w:val="auto"/>
        </w:rPr>
      </w:pPr>
      <w:r>
        <w:rPr>
          <w:rFonts w:ascii="Arial" w:cs="Arial" w:eastAsia="Arial" w:hAnsi="Arial"/>
          <w:sz w:val="18"/>
          <w:szCs w:val="18"/>
          <w:color w:val="auto"/>
        </w:rPr>
        <w:t>The Board of Directors is authorized to establish more than one series or class of Common Stock, Voting Preferred Stock and Non-Voting Preferred Stock and, other than the Series B Junior Participating Voting Preferred Stock, to fix the relative rights and preferences of any such class or series, which rights and preferences need not be equal.</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There shall be no cumulative voting of the shares of this corporation and the holders of shares of any class of this corporation shall not have preemptive rights to subscribe for any shares or securities convertible into shares of this corporation.</w:t>
      </w:r>
    </w:p>
    <w:p>
      <w:pPr>
        <w:spacing w:after="0" w:line="18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i w:val="1"/>
          <w:iCs w:val="1"/>
          <w:color w:val="auto"/>
        </w:rPr>
        <w:t>Series B Junior Participating Voting Preferred Stock</w:t>
      </w:r>
      <w:r>
        <w:rPr>
          <w:rFonts w:ascii="Arial" w:cs="Arial" w:eastAsia="Arial" w:hAnsi="Arial"/>
          <w:sz w:val="16"/>
          <w:szCs w:val="16"/>
          <w:color w:val="auto"/>
        </w:rPr>
        <w:t>.</w:t>
      </w:r>
    </w:p>
    <w:p>
      <w:pPr>
        <w:spacing w:after="0" w:line="225" w:lineRule="exact"/>
        <w:rPr>
          <w:sz w:val="20"/>
          <w:szCs w:val="20"/>
          <w:color w:val="auto"/>
        </w:rPr>
      </w:pPr>
    </w:p>
    <w:p>
      <w:pPr>
        <w:ind w:firstLine="437"/>
        <w:spacing w:after="0" w:line="294" w:lineRule="auto"/>
        <w:tabs>
          <w:tab w:leader="none" w:pos="819"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Designation and Amount</w:t>
      </w:r>
      <w:r>
        <w:rPr>
          <w:rFonts w:ascii="Arial" w:cs="Arial" w:eastAsia="Arial" w:hAnsi="Arial"/>
          <w:sz w:val="16"/>
          <w:szCs w:val="16"/>
          <w:color w:val="auto"/>
        </w:rPr>
        <w:t>. The shares of such series shall be designated as “Series B Junior Participating Voting Preferred Stock” (the “Series 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Preferred Stock”) and the number of shares constituting the Series B Preferred Stock shall be 200,000. Such number of shares may be increased or decreased by resolution of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decrease shall reduce the number of shares of Series B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B Preferred Stock.</w:t>
      </w:r>
    </w:p>
    <w:p>
      <w:pPr>
        <w:spacing w:after="0" w:line="169" w:lineRule="exact"/>
        <w:rPr>
          <w:rFonts w:ascii="Arial" w:cs="Arial" w:eastAsia="Arial" w:hAnsi="Arial"/>
          <w:sz w:val="16"/>
          <w:szCs w:val="16"/>
          <w:color w:val="auto"/>
        </w:rPr>
      </w:pPr>
    </w:p>
    <w:p>
      <w:pPr>
        <w:ind w:left="820" w:hanging="373"/>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Dividends and Distributions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380" w:right="680" w:hanging="683"/>
        <w:spacing w:after="0" w:line="285" w:lineRule="auto"/>
        <w:tabs>
          <w:tab w:leader="none" w:pos="1380" w:val="left"/>
        </w:tabs>
        <w:numPr>
          <w:ilvl w:val="1"/>
          <w:numId w:val="3"/>
        </w:numPr>
        <w:rPr>
          <w:rFonts w:ascii="Arial" w:cs="Arial" w:eastAsia="Arial" w:hAnsi="Arial"/>
          <w:sz w:val="16"/>
          <w:szCs w:val="16"/>
          <w:color w:val="auto"/>
        </w:rPr>
      </w:pPr>
      <w:r>
        <w:rPr>
          <w:rFonts w:ascii="Arial" w:cs="Arial" w:eastAsia="Arial" w:hAnsi="Arial"/>
          <w:sz w:val="16"/>
          <w:szCs w:val="16"/>
          <w:color w:val="auto"/>
        </w:rPr>
        <w:t>Subject to the rights of the holders of any shares of any series of Voting Preferred Stock, par value $1.00 per share, of the corporation (“Voting Preferred Stock”) or Non-Voting Preferred Stock, par value $1.00 per share, of the corporation (“Non-Voting Preferred Stock” and, together with the Voting Preferred Stock, the “Preferred Stock”) (or any similar stock) ranking prior and superior to the Series B Preferred Stock with respect to dividends, the holders of shares of Series B Preferred Stock, in preference to the holders of Common Stock, par value $1.00 per share (the “Common Stock”), of the corporation, and of any other junior stock, shall be entitled to receive, when, as and if declared by the Board of Directors out of funds legally available for the purpose, quarterly dividends payable in cash on the first day of March, June, September and December in each year (each such date being referred to herein as a “Quarterly Dividend Payment Date”), commencing on the first Quarterly Dividend Payment Date after the first issuance of a share or fraction of a share of Series B Preferred Stock, in an amount per share (rounded to the nearest cent) equal to the greater of (a) $1 or (b) subject to the provision for adjustment hereinafter set forth,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B</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9" w:name="page10"/>
    <w:bookmarkEnd w:id="9"/>
    <w:p>
      <w:pPr>
        <w:ind w:left="663" w:right="60"/>
        <w:spacing w:after="0" w:line="290" w:lineRule="auto"/>
        <w:rPr>
          <w:sz w:val="20"/>
          <w:szCs w:val="20"/>
          <w:color w:val="auto"/>
        </w:rPr>
      </w:pPr>
      <w:r>
        <w:rPr>
          <w:rFonts w:ascii="Arial" w:cs="Arial" w:eastAsia="Arial" w:hAnsi="Arial"/>
          <w:sz w:val="16"/>
          <w:szCs w:val="16"/>
          <w:color w:val="auto"/>
        </w:rPr>
        <w:t>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B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72" w:lineRule="exact"/>
        <w:rPr>
          <w:sz w:val="20"/>
          <w:szCs w:val="20"/>
          <w:color w:val="auto"/>
        </w:rPr>
      </w:pPr>
    </w:p>
    <w:p>
      <w:pPr>
        <w:ind w:left="663" w:right="140"/>
        <w:spacing w:after="0" w:line="302" w:lineRule="auto"/>
        <w:rPr>
          <w:sz w:val="20"/>
          <w:szCs w:val="20"/>
          <w:color w:val="auto"/>
        </w:rPr>
      </w:pPr>
      <w:r>
        <w:rPr>
          <w:rFonts w:ascii="Arial" w:cs="Arial" w:eastAsia="Arial" w:hAnsi="Arial"/>
          <w:sz w:val="15"/>
          <w:szCs w:val="15"/>
          <w:color w:val="auto"/>
        </w:rPr>
        <w:t>The corporation shall declare a dividend or distribution on the Series B Preferred Stock as provided in paragraph (B)(i) of this Section 2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w:t>
      </w:r>
    </w:p>
    <w:p>
      <w:pPr>
        <w:spacing w:after="0" w:line="3" w:lineRule="exact"/>
        <w:rPr>
          <w:sz w:val="20"/>
          <w:szCs w:val="20"/>
          <w:color w:val="auto"/>
        </w:rPr>
      </w:pPr>
    </w:p>
    <w:p>
      <w:pPr>
        <w:ind w:left="663" w:hanging="663"/>
        <w:spacing w:after="0"/>
        <w:tabs>
          <w:tab w:leader="none" w:pos="663" w:val="left"/>
        </w:tabs>
        <w:numPr>
          <w:ilvl w:val="0"/>
          <w:numId w:val="4"/>
        </w:numPr>
        <w:rPr>
          <w:rFonts w:ascii="Arial" w:cs="Arial" w:eastAsia="Arial" w:hAnsi="Arial"/>
          <w:sz w:val="16"/>
          <w:szCs w:val="16"/>
          <w:color w:val="auto"/>
        </w:rPr>
      </w:pPr>
      <w:r>
        <w:rPr>
          <w:rFonts w:ascii="Arial" w:cs="Arial" w:eastAsia="Arial" w:hAnsi="Arial"/>
          <w:sz w:val="16"/>
          <w:szCs w:val="16"/>
          <w:color w:val="auto"/>
        </w:rPr>
        <w:t>per share on the Series B Preferred Stock shall nevertheless be payable on such subsequent Quarterly Dividend Payment Date.</w:t>
      </w:r>
    </w:p>
    <w:p>
      <w:pPr>
        <w:spacing w:after="0" w:line="241" w:lineRule="exact"/>
        <w:rPr>
          <w:rFonts w:ascii="Arial" w:cs="Arial" w:eastAsia="Arial" w:hAnsi="Arial"/>
          <w:sz w:val="16"/>
          <w:szCs w:val="16"/>
          <w:color w:val="auto"/>
        </w:rPr>
      </w:pPr>
    </w:p>
    <w:p>
      <w:pPr>
        <w:ind w:left="663" w:hanging="663"/>
        <w:spacing w:after="0" w:line="286" w:lineRule="auto"/>
        <w:tabs>
          <w:tab w:leader="none" w:pos="663" w:val="left"/>
        </w:tabs>
        <w:numPr>
          <w:ilvl w:val="0"/>
          <w:numId w:val="4"/>
        </w:numPr>
        <w:rPr>
          <w:rFonts w:ascii="Arial" w:cs="Arial" w:eastAsia="Arial" w:hAnsi="Arial"/>
          <w:sz w:val="16"/>
          <w:szCs w:val="16"/>
          <w:color w:val="auto"/>
        </w:rPr>
      </w:pPr>
      <w:r>
        <w:rPr>
          <w:rFonts w:ascii="Arial" w:cs="Arial" w:eastAsia="Arial" w:hAnsi="Arial"/>
          <w:sz w:val="16"/>
          <w:szCs w:val="16"/>
          <w:color w:val="auto"/>
        </w:rPr>
        <w:t>Dividends shall begin to accrue and be cumulative on outstanding shares of Series B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B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B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B Preferred Stock entitled to receive payment of a dividend or distribution declared thereon, which record date shall be not more than 60 days prior to the date fixed for the payment thereof.</w:t>
      </w:r>
    </w:p>
    <w:p>
      <w:pPr>
        <w:spacing w:after="0" w:line="181" w:lineRule="exact"/>
        <w:rPr>
          <w:sz w:val="20"/>
          <w:szCs w:val="20"/>
          <w:color w:val="auto"/>
        </w:rPr>
      </w:pPr>
    </w:p>
    <w:p>
      <w:pPr>
        <w:jc w:val="center"/>
        <w:ind w:right="-2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23"/>
          </w:cols>
          <w:pgMar w:left="937" w:top="1185" w:right="939" w:bottom="1440" w:gutter="0" w:footer="0" w:header="0"/>
        </w:sectPr>
      </w:pPr>
    </w:p>
    <w:bookmarkStart w:id="10" w:name="page11"/>
    <w:bookmarkEnd w:id="10"/>
    <w:p>
      <w:pPr>
        <w:ind w:left="373" w:hanging="373"/>
        <w:spacing w:after="0"/>
        <w:tabs>
          <w:tab w:leader="none" w:pos="373"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holders of shares of Series B Preferred Stock shall have the following voting rights: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13" w:hanging="663"/>
        <w:spacing w:after="0" w:line="288" w:lineRule="auto"/>
        <w:tabs>
          <w:tab w:leader="none" w:pos="913" w:val="left"/>
        </w:tabs>
        <w:numPr>
          <w:ilvl w:val="1"/>
          <w:numId w:val="5"/>
        </w:numPr>
        <w:rPr>
          <w:rFonts w:ascii="Arial" w:cs="Arial" w:eastAsia="Arial" w:hAnsi="Arial"/>
          <w:sz w:val="16"/>
          <w:szCs w:val="16"/>
          <w:color w:val="auto"/>
        </w:rPr>
      </w:pPr>
      <w:r>
        <w:rPr>
          <w:rFonts w:ascii="Arial" w:cs="Arial" w:eastAsia="Arial" w:hAnsi="Arial"/>
          <w:sz w:val="16"/>
          <w:szCs w:val="16"/>
          <w:color w:val="auto"/>
        </w:rPr>
        <w:t>Subject to the provision for adjustment hereinafter set forth, each share of Series B Preferred Stock shall entitle the holder thereof to 100 votes on all matters submitted to a vote of the stockholders of the corporation.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B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73" w:lineRule="exact"/>
        <w:rPr>
          <w:rFonts w:ascii="Arial" w:cs="Arial" w:eastAsia="Arial" w:hAnsi="Arial"/>
          <w:sz w:val="16"/>
          <w:szCs w:val="16"/>
          <w:color w:val="auto"/>
        </w:rPr>
      </w:pPr>
    </w:p>
    <w:p>
      <w:pPr>
        <w:jc w:val="both"/>
        <w:ind w:left="913" w:right="80" w:hanging="663"/>
        <w:spacing w:after="0" w:line="256" w:lineRule="auto"/>
        <w:tabs>
          <w:tab w:leader="none" w:pos="913" w:val="left"/>
        </w:tabs>
        <w:numPr>
          <w:ilvl w:val="1"/>
          <w:numId w:val="5"/>
        </w:numPr>
        <w:rPr>
          <w:rFonts w:ascii="Arial" w:cs="Arial" w:eastAsia="Arial" w:hAnsi="Arial"/>
          <w:sz w:val="18"/>
          <w:szCs w:val="18"/>
          <w:color w:val="auto"/>
        </w:rPr>
      </w:pPr>
      <w:r>
        <w:rPr>
          <w:rFonts w:ascii="Arial" w:cs="Arial" w:eastAsia="Arial" w:hAnsi="Arial"/>
          <w:sz w:val="18"/>
          <w:szCs w:val="18"/>
          <w:color w:val="auto"/>
        </w:rPr>
        <w:t>Except as otherwise provided herein, in any Certificate of Designations creating a series of Preferred Stock or any similar stock, or by law, the holders of shares of Series B Preferred Stock and the holders of shares of Common Stock and any other capital stock of the corporation having general voting rights shall vote together as one class on all matters submitted to a vote of stockholders of the corporation.</w:t>
      </w:r>
    </w:p>
    <w:p>
      <w:pPr>
        <w:spacing w:after="0" w:line="197" w:lineRule="exact"/>
        <w:rPr>
          <w:rFonts w:ascii="Arial" w:cs="Arial" w:eastAsia="Arial" w:hAnsi="Arial"/>
          <w:sz w:val="18"/>
          <w:szCs w:val="18"/>
          <w:color w:val="auto"/>
        </w:rPr>
      </w:pPr>
    </w:p>
    <w:p>
      <w:pPr>
        <w:ind w:left="913" w:right="220" w:hanging="663"/>
        <w:spacing w:after="0" w:line="259" w:lineRule="auto"/>
        <w:tabs>
          <w:tab w:leader="none" w:pos="913" w:val="left"/>
        </w:tabs>
        <w:numPr>
          <w:ilvl w:val="1"/>
          <w:numId w:val="5"/>
        </w:numPr>
        <w:rPr>
          <w:rFonts w:ascii="Arial" w:cs="Arial" w:eastAsia="Arial" w:hAnsi="Arial"/>
          <w:sz w:val="18"/>
          <w:szCs w:val="18"/>
          <w:color w:val="auto"/>
        </w:rPr>
      </w:pPr>
      <w:r>
        <w:rPr>
          <w:rFonts w:ascii="Arial" w:cs="Arial" w:eastAsia="Arial" w:hAnsi="Arial"/>
          <w:sz w:val="18"/>
          <w:szCs w:val="18"/>
          <w:color w:val="auto"/>
        </w:rPr>
        <w:t>Except as set forth herein, or as otherwise provided by law, holders of Series B Preferred Stock shall have no special voting rights and their consent shall not be required (except to the extent they are entitled to vote with holders of Common Stock as set forth herein) for taking any corporate action.</w:t>
      </w:r>
    </w:p>
    <w:p>
      <w:pPr>
        <w:spacing w:after="0" w:line="194" w:lineRule="exact"/>
        <w:rPr>
          <w:rFonts w:ascii="Arial" w:cs="Arial" w:eastAsia="Arial" w:hAnsi="Arial"/>
          <w:sz w:val="18"/>
          <w:szCs w:val="18"/>
          <w:color w:val="auto"/>
        </w:rPr>
      </w:pPr>
    </w:p>
    <w:p>
      <w:pPr>
        <w:ind w:left="393" w:hanging="393"/>
        <w:spacing w:after="0"/>
        <w:tabs>
          <w:tab w:leader="none" w:pos="393"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Certain Restrictions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33" w:right="20" w:hanging="683"/>
        <w:spacing w:after="0" w:line="306" w:lineRule="auto"/>
        <w:tabs>
          <w:tab w:leader="none" w:pos="933" w:val="left"/>
        </w:tabs>
        <w:numPr>
          <w:ilvl w:val="1"/>
          <w:numId w:val="5"/>
        </w:numPr>
        <w:rPr>
          <w:rFonts w:ascii="Arial" w:cs="Arial" w:eastAsia="Arial" w:hAnsi="Arial"/>
          <w:sz w:val="16"/>
          <w:szCs w:val="16"/>
          <w:color w:val="auto"/>
        </w:rPr>
      </w:pPr>
      <w:r>
        <w:rPr>
          <w:rFonts w:ascii="Arial" w:cs="Arial" w:eastAsia="Arial" w:hAnsi="Arial"/>
          <w:sz w:val="16"/>
          <w:szCs w:val="16"/>
          <w:color w:val="auto"/>
        </w:rPr>
        <w:t>Whenever quarterly dividends or other dividends or distributions payable on the Series B Preferred Stock as provided in this Section 2 are in arrears, thereafter and until all accrued and unpaid dividends and distributions, whether or not declared, on shares of Series B Preferred Stock outstanding shall have been paid in full, the corporation shall not:</w:t>
      </w:r>
    </w:p>
    <w:p>
      <w:pPr>
        <w:spacing w:after="0" w:line="187" w:lineRule="exact"/>
        <w:rPr>
          <w:rFonts w:ascii="Arial" w:cs="Arial" w:eastAsia="Arial" w:hAnsi="Arial"/>
          <w:sz w:val="16"/>
          <w:szCs w:val="16"/>
          <w:color w:val="auto"/>
        </w:rPr>
      </w:pPr>
    </w:p>
    <w:p>
      <w:pPr>
        <w:ind w:left="1753" w:right="920" w:hanging="760"/>
        <w:spacing w:after="0" w:line="332" w:lineRule="auto"/>
        <w:tabs>
          <w:tab w:leader="none" w:pos="1753" w:val="left"/>
        </w:tabs>
        <w:numPr>
          <w:ilvl w:val="2"/>
          <w:numId w:val="5"/>
        </w:numPr>
        <w:rPr>
          <w:rFonts w:ascii="Arial" w:cs="Arial" w:eastAsia="Arial" w:hAnsi="Arial"/>
          <w:sz w:val="16"/>
          <w:szCs w:val="16"/>
          <w:color w:val="auto"/>
        </w:rPr>
      </w:pPr>
      <w:r>
        <w:rPr>
          <w:rFonts w:ascii="Arial" w:cs="Arial" w:eastAsia="Arial" w:hAnsi="Arial"/>
          <w:sz w:val="16"/>
          <w:szCs w:val="16"/>
          <w:color w:val="auto"/>
        </w:rPr>
        <w:t>declare or pay dividends, or make any other distributions, on any shares of stock ranking junior (either as to dividends or upon liquidation, dissolution or winding up) to the Series B Preferred Stock;</w:t>
      </w:r>
    </w:p>
    <w:p>
      <w:pPr>
        <w:spacing w:after="0" w:line="139"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53"/>
          </w:cols>
          <w:pgMar w:left="687" w:top="941" w:right="959" w:bottom="1440" w:gutter="0" w:footer="0" w:header="0"/>
        </w:sectPr>
      </w:pPr>
    </w:p>
    <w:bookmarkStart w:id="11" w:name="page12"/>
    <w:bookmarkEnd w:id="11"/>
    <w:p>
      <w:pPr>
        <w:ind w:left="1940" w:right="1240" w:hanging="760"/>
        <w:spacing w:after="0" w:line="255" w:lineRule="auto"/>
        <w:tabs>
          <w:tab w:leader="none" w:pos="1940" w:val="left"/>
        </w:tabs>
        <w:numPr>
          <w:ilvl w:val="2"/>
          <w:numId w:val="6"/>
        </w:numPr>
        <w:rPr>
          <w:rFonts w:ascii="Arial" w:cs="Arial" w:eastAsia="Arial" w:hAnsi="Arial"/>
          <w:sz w:val="18"/>
          <w:szCs w:val="18"/>
          <w:color w:val="auto"/>
        </w:rPr>
      </w:pPr>
      <w:r>
        <w:rPr>
          <w:rFonts w:ascii="Arial" w:cs="Arial" w:eastAsia="Arial" w:hAnsi="Arial"/>
          <w:sz w:val="18"/>
          <w:szCs w:val="18"/>
          <w:color w:val="auto"/>
        </w:rPr>
        <w:t>declare or pay dividends, or make any other distributions, on any shares of stock ranking on a parity (either as to dividends or upon liquidation, dissolution or winding up) with the Series B Preferred Stock, except dividends paid ratably on the Series B Preferred Stock and all such parity stock on which dividends are payable or in arrears in proportion to the total amounts to which the holders of all such shares are then entitled;</w:t>
      </w:r>
    </w:p>
    <w:p>
      <w:pPr>
        <w:spacing w:after="0" w:line="196" w:lineRule="exact"/>
        <w:rPr>
          <w:rFonts w:ascii="Arial" w:cs="Arial" w:eastAsia="Arial" w:hAnsi="Arial"/>
          <w:sz w:val="18"/>
          <w:szCs w:val="18"/>
          <w:color w:val="auto"/>
        </w:rPr>
      </w:pPr>
    </w:p>
    <w:p>
      <w:pPr>
        <w:ind w:left="1940" w:right="1260" w:hanging="760"/>
        <w:spacing w:after="0" w:line="294" w:lineRule="auto"/>
        <w:tabs>
          <w:tab w:leader="none" w:pos="1940" w:val="left"/>
        </w:tabs>
        <w:numPr>
          <w:ilvl w:val="2"/>
          <w:numId w:val="6"/>
        </w:numPr>
        <w:rPr>
          <w:rFonts w:ascii="Arial" w:cs="Arial" w:eastAsia="Arial" w:hAnsi="Arial"/>
          <w:sz w:val="16"/>
          <w:szCs w:val="16"/>
          <w:color w:val="auto"/>
        </w:rPr>
      </w:pPr>
      <w:r>
        <w:rPr>
          <w:rFonts w:ascii="Arial" w:cs="Arial" w:eastAsia="Arial" w:hAnsi="Arial"/>
          <w:sz w:val="16"/>
          <w:szCs w:val="16"/>
          <w:color w:val="auto"/>
        </w:rPr>
        <w:t>redeem or purchase or otherwise acquire for consideration shares of any stock ranking junior (either as to dividends or upon liquidation, dissolution or winding up) to the Series B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B Preferred Stock; or</w:t>
      </w:r>
    </w:p>
    <w:p>
      <w:pPr>
        <w:spacing w:after="0" w:line="169" w:lineRule="exact"/>
        <w:rPr>
          <w:rFonts w:ascii="Arial" w:cs="Arial" w:eastAsia="Arial" w:hAnsi="Arial"/>
          <w:sz w:val="16"/>
          <w:szCs w:val="16"/>
          <w:color w:val="auto"/>
        </w:rPr>
      </w:pPr>
    </w:p>
    <w:p>
      <w:pPr>
        <w:ind w:left="1940" w:right="1240" w:hanging="760"/>
        <w:spacing w:after="0" w:line="291" w:lineRule="auto"/>
        <w:tabs>
          <w:tab w:leader="none" w:pos="1940" w:val="left"/>
        </w:tabs>
        <w:numPr>
          <w:ilvl w:val="2"/>
          <w:numId w:val="6"/>
        </w:numPr>
        <w:rPr>
          <w:rFonts w:ascii="Arial" w:cs="Arial" w:eastAsia="Arial" w:hAnsi="Arial"/>
          <w:sz w:val="16"/>
          <w:szCs w:val="16"/>
          <w:color w:val="auto"/>
        </w:rPr>
      </w:pPr>
      <w:r>
        <w:rPr>
          <w:rFonts w:ascii="Arial" w:cs="Arial" w:eastAsia="Arial" w:hAnsi="Arial"/>
          <w:sz w:val="16"/>
          <w:szCs w:val="16"/>
          <w:color w:val="auto"/>
        </w:rPr>
        <w:t>redeem or purchase or otherwise acquire for consideration any shares of Series B Preferred Stock, or any shares of stock ranking on a parity with the Series B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201" w:lineRule="exact"/>
        <w:rPr>
          <w:rFonts w:ascii="Arial" w:cs="Arial" w:eastAsia="Arial" w:hAnsi="Arial"/>
          <w:sz w:val="16"/>
          <w:szCs w:val="16"/>
          <w:color w:val="auto"/>
        </w:rPr>
      </w:pPr>
    </w:p>
    <w:p>
      <w:pPr>
        <w:jc w:val="both"/>
        <w:ind w:left="1120" w:right="620" w:hanging="683"/>
        <w:spacing w:after="0" w:line="259" w:lineRule="auto"/>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corporation shall not permit any subsidiary of the corporation to purchase or otherwise acquire for consideration any shares of stock of the corporation unless the corporation could, under paragraph (D)(i) of this Section 2, purchase or otherwise acquire such shares at such time and in such manner.</w:t>
      </w:r>
    </w:p>
    <w:p>
      <w:pPr>
        <w:spacing w:after="0" w:line="194" w:lineRule="exact"/>
        <w:rPr>
          <w:rFonts w:ascii="Arial" w:cs="Arial" w:eastAsia="Arial" w:hAnsi="Arial"/>
          <w:sz w:val="18"/>
          <w:szCs w:val="18"/>
          <w:color w:val="auto"/>
        </w:rPr>
      </w:pPr>
    </w:p>
    <w:p>
      <w:pPr>
        <w:ind w:left="-260" w:firstLine="447"/>
        <w:spacing w:after="0" w:line="255" w:lineRule="auto"/>
        <w:tabs>
          <w:tab w:leader="none" w:pos="55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Reacquired Shares</w:t>
      </w:r>
      <w:r>
        <w:rPr>
          <w:rFonts w:ascii="Arial" w:cs="Arial" w:eastAsia="Arial" w:hAnsi="Arial"/>
          <w:sz w:val="18"/>
          <w:szCs w:val="18"/>
          <w:color w:val="auto"/>
        </w:rPr>
        <w:t>. Any shares of Series B Preferred Stock purchased or otherwise acquired by the corporation in any manner whatsoever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Amended and Restated Certificate of Incorporation, or in any Certificate of Designations creating a series of Preferred Stock or any similar stock or as otherwise required by law.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500" w:top="1185" w:right="499" w:bottom="1440" w:gutter="0" w:footer="0" w:header="0"/>
        </w:sectPr>
      </w:pPr>
    </w:p>
    <w:bookmarkStart w:id="12" w:name="page13"/>
    <w:bookmarkEnd w:id="12"/>
    <w:p>
      <w:pPr>
        <w:ind w:left="-20" w:firstLine="447"/>
        <w:spacing w:after="0" w:line="285" w:lineRule="auto"/>
        <w:tabs>
          <w:tab w:leader="none" w:pos="766"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Liquidation, Dissolution or Winding Up</w:t>
      </w:r>
      <w:r>
        <w:rPr>
          <w:rFonts w:ascii="Arial" w:cs="Arial" w:eastAsia="Arial" w:hAnsi="Arial"/>
          <w:sz w:val="16"/>
          <w:szCs w:val="16"/>
          <w:color w:val="auto"/>
        </w:rPr>
        <w:t>. Upon any liquidation, dissolution or winding up of the corporation, no distribution shall be made (i) to the</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of shares of stock ranking junior (either as to dividends or upon liquidation, dissolution or winding up) to the Series B Preferred Stock unless, prior thereto, the holders of shares of Series B Preferred Stock shall have received $100 per share, plus an amount equal to accrued and unpaid dividends and distributions thereon, whether or not declared, to the date of such payment, provided that the holders of shares of Series B Preferred Stock shall be entitled to receive an aggregate amount per share, subject to the provision for adjustment hereinafter set forth, equal to l00 times the aggregate amount to be distributed per share to holders of shares of Common Stock, or (ii) to the holders of shares of stock ranking on a parity (either as to dividends or upon liquidation, dissolution or winding up) with the Series B Preferred Stock, except distributions made ratably on the Series B Preferred Stock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B Preferred Stock were entitled immediately prior to such event under the proviso in clause (i)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2" w:lineRule="exact"/>
        <w:rPr>
          <w:rFonts w:ascii="Arial" w:cs="Arial" w:eastAsia="Arial" w:hAnsi="Arial"/>
          <w:sz w:val="16"/>
          <w:szCs w:val="16"/>
          <w:color w:val="auto"/>
        </w:rPr>
      </w:pPr>
    </w:p>
    <w:p>
      <w:pPr>
        <w:ind w:left="-20" w:right="40" w:firstLine="447"/>
        <w:spacing w:after="0" w:line="287" w:lineRule="auto"/>
        <w:tabs>
          <w:tab w:leader="none" w:pos="809"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Consolidation, Merger, etc. </w:t>
      </w:r>
      <w:r>
        <w:rPr>
          <w:rFonts w:ascii="Arial" w:cs="Arial" w:eastAsia="Arial" w:hAnsi="Arial"/>
          <w:sz w:val="16"/>
          <w:szCs w:val="16"/>
          <w:color w:val="auto"/>
        </w:rPr>
        <w:t>In case the corporation shall enter into any consolidation, merger, combination or other transaction in which the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are exchanged for or changed into other stock or securities, cash and/or any other property, then in any such case each share of Series B Preferred Stock shall at the same time be similarly exchanged or changed into an amount per share, subject to the provision for adjustment hereinafter set forth, equal to l00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B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76" w:lineRule="exact"/>
        <w:rPr>
          <w:rFonts w:ascii="Arial" w:cs="Arial" w:eastAsia="Arial" w:hAnsi="Arial"/>
          <w:sz w:val="16"/>
          <w:szCs w:val="16"/>
          <w:color w:val="auto"/>
        </w:rPr>
      </w:pPr>
    </w:p>
    <w:p>
      <w:pPr>
        <w:ind w:left="820" w:hanging="393"/>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No Redemption</w:t>
      </w:r>
      <w:r>
        <w:rPr>
          <w:rFonts w:ascii="Arial" w:cs="Arial" w:eastAsia="Arial" w:hAnsi="Arial"/>
          <w:sz w:val="18"/>
          <w:szCs w:val="18"/>
          <w:color w:val="auto"/>
        </w:rPr>
        <w:t>. The shares of Series B Preferred Stock shall not be redeemable.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41" w:right="239" w:bottom="1440" w:gutter="0" w:footer="0" w:header="0"/>
        </w:sectPr>
      </w:pPr>
    </w:p>
    <w:bookmarkStart w:id="13" w:name="page14"/>
    <w:bookmarkEnd w:id="13"/>
    <w:p>
      <w:pPr>
        <w:ind w:right="140" w:firstLine="447"/>
        <w:spacing w:after="0" w:line="268" w:lineRule="auto"/>
        <w:tabs>
          <w:tab w:leader="none" w:pos="761"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Rank</w:t>
      </w:r>
      <w:r>
        <w:rPr>
          <w:rFonts w:ascii="Arial" w:cs="Arial" w:eastAsia="Arial" w:hAnsi="Arial"/>
          <w:sz w:val="18"/>
          <w:szCs w:val="18"/>
          <w:color w:val="auto"/>
        </w:rPr>
        <w:t>. The Series B Preferred Stock shall rank, with respect to the payment of dividends and the distribution of assets, junior to all series of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class of the corporation’s Preferred Stock.</w:t>
      </w:r>
    </w:p>
    <w:p>
      <w:pPr>
        <w:spacing w:after="0" w:line="185" w:lineRule="exact"/>
        <w:rPr>
          <w:rFonts w:ascii="Arial" w:cs="Arial" w:eastAsia="Arial" w:hAnsi="Arial"/>
          <w:sz w:val="18"/>
          <w:szCs w:val="18"/>
          <w:color w:val="auto"/>
        </w:rPr>
      </w:pPr>
    </w:p>
    <w:p>
      <w:pPr>
        <w:ind w:right="80" w:firstLine="447"/>
        <w:spacing w:after="0" w:line="256" w:lineRule="auto"/>
        <w:tabs>
          <w:tab w:leader="none" w:pos="77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If any shares of Series B Preferred Stock are outstanding, the Amended and Restated Certificate of Incorporation of the corporation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be amended in any manner which would materially alter or change the powers, preferences or special rights of the Series B Preferred Stock so as to affect them adversely without the affirmative vote of the holders of at least two-thirds of the outstanding shares of Series B Preferred Stock, voting together as a single class.</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Bylaws</w:t>
      </w:r>
    </w:p>
    <w:p>
      <w:pPr>
        <w:spacing w:after="0" w:line="23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furtherance and not in limitation of the powers conferred by law, the Board is expressly authorized to make, repeal, alter, amend and rescind the Bylaws of the corporation by a majority vote of the entire Board at any regular or special meeting of the Board; provided however, that, notwithstanding anything contained in this Amended and Restated Certificate of Incorporation or the Bylaws of the corporation to the contrary, the affirmative vote of the holders of at least 80% of the voting power of the then outstanding shares of Voting Stock, voting together as a single class, shall be required to (1) alter, amend or repeal any provision of the Bylaws which is substantially identical to or implements the last sentence of Article IV, Section 1, or Articles VI, VII or VIII, of this Amended and Restated Certificate of Incorporation or (2) alter, amend or repeal any provision of this proviso to Article V.</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Number, Election and Terms</w:t>
      </w:r>
      <w:r>
        <w:rPr>
          <w:rFonts w:ascii="Arial" w:cs="Arial" w:eastAsia="Arial" w:hAnsi="Arial"/>
          <w:sz w:val="16"/>
          <w:szCs w:val="16"/>
          <w:color w:val="auto"/>
        </w:rPr>
        <w:t>. The business and affairs of the corporation shall be managed under the direction of a Board of Directors which, subject to any right of the holders of any series of Preferred Stock then outstanding to elect additional directors under specified circumstances, shall consist of not less than eight nor more than eleven persons. The exact number of directors within the minimum and maximum limitations specified in the preceding sentence shall be fixed from time to time by the Board pursuant to a resolution adopted by a majority of the entire Board. The directors shall be divided into three classes, designated Classes A, B and C, as nearly equal in number as possible, with the term of office of each class to expire at the third succeeding Annual Meeting of Stockholders after their election at an Annual Meeting of Stockholders.</w:t>
      </w:r>
    </w:p>
    <w:p>
      <w:pPr>
        <w:spacing w:after="0" w:line="17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Newly Created Directorships and Vacancies</w:t>
      </w:r>
      <w:r>
        <w:rPr>
          <w:rFonts w:ascii="Arial" w:cs="Arial" w:eastAsia="Arial" w:hAnsi="Arial"/>
          <w:sz w:val="16"/>
          <w:szCs w:val="16"/>
          <w:color w:val="auto"/>
        </w:rPr>
        <w:t>. Subject to the rights of the holders of any series of Preferred Stock then outstanding, newly created directorships resulting from any increase in the authorized number of directors or any vacancies in the Board resulting from death, resignation, retirement, disqualification, removal from office or other cause shall be filled only by a majority vote of the directors then in office, and directors so chosen shall hold office for a term expiring at the Annual Meeting of Stockholders at which the term of the class to which they have been elected expires. No decrease in the number of directors constituting the Board shall shorten the term of any incumbent director.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4" w:name="page15"/>
    <w:bookmarkEnd w:id="14"/>
    <w:p>
      <w:pPr>
        <w:ind w:right="40"/>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Removal</w:t>
      </w:r>
      <w:r>
        <w:rPr>
          <w:rFonts w:ascii="Arial" w:cs="Arial" w:eastAsia="Arial" w:hAnsi="Arial"/>
          <w:sz w:val="18"/>
          <w:szCs w:val="18"/>
          <w:color w:val="auto"/>
        </w:rPr>
        <w:t>. Subject to the rights of the holders of any series of Preferred Stock then outstanding, any director, or the entire Board, may be removed from office at any time, but only for cause and only by the affirmative vote of the holders of at least 80% of the voting power of the then outstanding shares of the Voting Stock, voting together as a single class.</w:t>
      </w:r>
    </w:p>
    <w:p>
      <w:pPr>
        <w:spacing w:after="0" w:line="194"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Amendment, Repeal, etc.</w:t>
      </w:r>
      <w:r>
        <w:rPr>
          <w:rFonts w:ascii="Arial" w:cs="Arial" w:eastAsia="Arial" w:hAnsi="Arial"/>
          <w:sz w:val="18"/>
          <w:szCs w:val="18"/>
          <w:color w:val="auto"/>
        </w:rPr>
        <w:t xml:space="preserve"> Notwithstanding anything contained in this Amended and Restated Certificate of Incorporation to the contrary, the affirmative vote of the holders of at least 80% of the voting power of the then outstanding shares of Voting Stock, voting together as a single class, shall be required to alter, amend or repeal this Article VI.</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Actions by Stockholders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Any action required or permitted to be taken by the stockholders of the corporation must be effected at a duly called annual or special meeting of stockholders of the corporation and may not be effected by any consent in writing by such stockholders. Special meetings of stockholders of the corporation may be called only by the Board pursuant to a resolution approved by a majority of the entire Board. Notwithstanding anything contained in this Amended and Restated Certificate of Incorporation to the contrary, the affirmative vote of the holders of at least 80% of the voting power of the then outstanding shares of Voting Stock, voting together as a single class, shall be required to alter, amend or repeal this Article VII.</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Business Combinations</w:t>
      </w:r>
    </w:p>
    <w:p>
      <w:pPr>
        <w:spacing w:after="0" w:line="2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i w:val="1"/>
          <w:iCs w:val="1"/>
          <w:color w:val="auto"/>
        </w:rPr>
        <w:t>Vote Required for Certain Business Combinations</w:t>
      </w:r>
      <w:r>
        <w:rPr>
          <w:rFonts w:ascii="Arial" w:cs="Arial" w:eastAsia="Arial" w:hAnsi="Arial"/>
          <w:sz w:val="15"/>
          <w:szCs w:val="15"/>
          <w:color w:val="auto"/>
        </w:rPr>
        <w:t>.</w:t>
      </w:r>
    </w:p>
    <w:p>
      <w:pPr>
        <w:spacing w:after="0" w:line="225" w:lineRule="exact"/>
        <w:rPr>
          <w:sz w:val="20"/>
          <w:szCs w:val="20"/>
          <w:color w:val="auto"/>
        </w:rPr>
      </w:pPr>
    </w:p>
    <w:p>
      <w:pPr>
        <w:ind w:left="1180" w:hanging="392"/>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Higher Vote for Certain Business Combinations</w:t>
      </w:r>
      <w:r>
        <w:rPr>
          <w:rFonts w:ascii="Arial" w:cs="Arial" w:eastAsia="Arial" w:hAnsi="Arial"/>
          <w:sz w:val="18"/>
          <w:szCs w:val="18"/>
          <w:color w:val="auto"/>
        </w:rPr>
        <w:t>. Except as otherwise expressly provided in Section 2 of this Article VIII,</w:t>
      </w:r>
    </w:p>
    <w:p>
      <w:pPr>
        <w:spacing w:after="0" w:line="200" w:lineRule="exact"/>
        <w:rPr>
          <w:sz w:val="20"/>
          <w:szCs w:val="20"/>
          <w:color w:val="auto"/>
        </w:rPr>
      </w:pPr>
    </w:p>
    <w:p>
      <w:pPr>
        <w:spacing w:after="0" w:line="268" w:lineRule="exact"/>
        <w:rPr>
          <w:sz w:val="20"/>
          <w:szCs w:val="20"/>
          <w:color w:val="auto"/>
        </w:rPr>
      </w:pPr>
    </w:p>
    <w:p>
      <w:pPr>
        <w:ind w:left="1700" w:right="700" w:hanging="539"/>
        <w:spacing w:after="0" w:line="306" w:lineRule="auto"/>
        <w:tabs>
          <w:tab w:leader="none" w:pos="1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merger or consolidation of the corporation or any Subsidiary (as hereinafter defined) with (a) any Interested Stockholder (as hereinafter defined) or (b) any other corporation (whether or not itself an Interested Stockholder) which is, or after such merger or consolidation would be, an Affiliate (as hereinafter defined) of an Interested Stockholder; or</w:t>
      </w:r>
    </w:p>
    <w:p>
      <w:pPr>
        <w:spacing w:after="0" w:line="161" w:lineRule="exact"/>
        <w:rPr>
          <w:sz w:val="20"/>
          <w:szCs w:val="20"/>
          <w:color w:val="auto"/>
        </w:rPr>
      </w:pPr>
    </w:p>
    <w:p>
      <w:pPr>
        <w:ind w:left="1700" w:right="720" w:hanging="563"/>
        <w:spacing w:after="0" w:line="306" w:lineRule="auto"/>
        <w:tabs>
          <w:tab w:leader="none" w:pos="1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sale, lease, exchange, mortgage, pledge, transfer or other disposition (in one transaction or a series of transactions) to or with any Interested Stockholder or any Affiliate of any Interested Stockholder of any assets of the corporation or any Subsidiary having an aggregate Fair Market Value (as hereinafter defined) of $1,000,000 or more; or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5" w:name="page16"/>
    <w:bookmarkEnd w:id="15"/>
    <w:p>
      <w:pPr>
        <w:ind w:left="1720" w:right="620" w:hanging="659"/>
        <w:spacing w:after="0" w:line="256" w:lineRule="auto"/>
        <w:tabs>
          <w:tab w:leader="none" w:pos="1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issuance or transfer by the corporation or any Subsidiary (in one transaction or a series of transactions) of any securities of the corporation or any Subsidiary to any Interested Stockholder or any Affiliate of any Interested Stockholder or any Affiliate of any Interested Stockholder in exchange for cash, securities or other property (or a combination thereof) having an aggregate Fair Market Value of $1,000,000 or more; or</w:t>
      </w:r>
    </w:p>
    <w:p>
      <w:pPr>
        <w:spacing w:after="0" w:line="197" w:lineRule="exact"/>
        <w:rPr>
          <w:rFonts w:ascii="Arial" w:cs="Arial" w:eastAsia="Arial" w:hAnsi="Arial"/>
          <w:sz w:val="18"/>
          <w:szCs w:val="18"/>
          <w:color w:val="auto"/>
        </w:rPr>
      </w:pPr>
    </w:p>
    <w:p>
      <w:pPr>
        <w:ind w:left="1720" w:right="1280" w:hanging="659"/>
        <w:spacing w:after="0" w:line="268" w:lineRule="auto"/>
        <w:tabs>
          <w:tab w:leader="none" w:pos="1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adoption of any plan or proposal for the liquidation or dissolution of the corporation proposed by or on behalf of an Interested Stockholder or any Affiliate of any Interested Stockholder; or</w:t>
      </w:r>
    </w:p>
    <w:p>
      <w:pPr>
        <w:spacing w:after="0" w:line="185" w:lineRule="exact"/>
        <w:rPr>
          <w:rFonts w:ascii="Arial" w:cs="Arial" w:eastAsia="Arial" w:hAnsi="Arial"/>
          <w:sz w:val="18"/>
          <w:szCs w:val="18"/>
          <w:color w:val="auto"/>
        </w:rPr>
      </w:pPr>
    </w:p>
    <w:p>
      <w:pPr>
        <w:ind w:left="1720" w:right="820" w:hanging="659"/>
        <w:spacing w:after="0" w:line="294" w:lineRule="auto"/>
        <w:tabs>
          <w:tab w:leader="none" w:pos="1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reclassification of securities (including any reverse stock split), or recapitalization of the corporation, or any merger or consolidation of the corporation with any of its Subsidiaries or any other transaction (whether or not with or into or otherwise involving an Interested Stockholder) which has the effect, directly or indirectly, of increasing the proportionate share of the outstanding shares of any class of equity or convertible securities of the corporation or any Subsidiary which is directly or indirectly owned by any Interested Stockholder or any Affiliate of any Interested Stockholder;</w:t>
      </w:r>
    </w:p>
    <w:p>
      <w:pPr>
        <w:spacing w:after="0" w:line="17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shall require the affirmative vote of the holders of at least 80% of the voting power of the then outstanding shares of Voting Stock, voting together as a single class and any necessary vote of the outstanding shares of Preferred Stock. Such affirmative vote shall be required not withstanding the fact that no vote may be required or that a lesser percentage may be specified, by law or in any agreement with any national securities exchange or otherwise.</w:t>
      </w:r>
    </w:p>
    <w:p>
      <w:pPr>
        <w:spacing w:after="0" w:line="161" w:lineRule="exact"/>
        <w:rPr>
          <w:sz w:val="20"/>
          <w:szCs w:val="20"/>
          <w:color w:val="auto"/>
        </w:rPr>
      </w:pPr>
    </w:p>
    <w:p>
      <w:pPr>
        <w:ind w:right="80" w:firstLine="447"/>
        <w:spacing w:after="0" w:line="268" w:lineRule="auto"/>
        <w:tabs>
          <w:tab w:leader="none" w:pos="819"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“Business Combination.” </w:t>
      </w:r>
      <w:r>
        <w:rPr>
          <w:rFonts w:ascii="Arial" w:cs="Arial" w:eastAsia="Arial" w:hAnsi="Arial"/>
          <w:sz w:val="18"/>
          <w:szCs w:val="18"/>
          <w:color w:val="auto"/>
        </w:rPr>
        <w:t>The term “Business Combination” as used in this Article VIII shall mean any transaction which is referred to</w:t>
      </w:r>
      <w:r>
        <w:rPr>
          <w:rFonts w:ascii="Arial" w:cs="Arial" w:eastAsia="Arial" w:hAnsi="Arial"/>
          <w:sz w:val="18"/>
          <w:szCs w:val="18"/>
          <w:i w:val="1"/>
          <w:iCs w:val="1"/>
          <w:color w:val="auto"/>
        </w:rPr>
        <w:t xml:space="preserve"> </w:t>
      </w:r>
      <w:r>
        <w:rPr>
          <w:rFonts w:ascii="Arial" w:cs="Arial" w:eastAsia="Arial" w:hAnsi="Arial"/>
          <w:sz w:val="18"/>
          <w:szCs w:val="18"/>
          <w:color w:val="auto"/>
        </w:rPr>
        <w:t>in any one or more of clauses (i) through (v) of paragraph A of this Section 1.</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When Higher Vote is Not Required</w:t>
      </w:r>
      <w:r>
        <w:rPr>
          <w:rFonts w:ascii="Arial" w:cs="Arial" w:eastAsia="Arial" w:hAnsi="Arial"/>
          <w:sz w:val="16"/>
          <w:szCs w:val="16"/>
          <w:color w:val="auto"/>
        </w:rPr>
        <w:t>. The provisions of Section 1 of this Article VIII shall not be applicable to any particular Business Combination, and such Business Combination shall require only such affirmative vote as is required by law, this Amended and Restated Certificate of Incorporation and any resolution or resolutions designating the rights, powers and preferences of any outstanding series of Preferred Stock, if all of the conditions specified in either of the following paragraphs (A) and (B) are met (it being intended that in the case of a Business Combination not involving any cash or consideration other than cash to be received by the holders of each class or series of outstanding Voting Stock (other than Institutional Voting Stock, as hereinafter defined), the provisions of such Section 1 shall not be applicable only if the condition specified in the following paragraph (A) is met):</w:t>
      </w:r>
    </w:p>
    <w:p>
      <w:pPr>
        <w:spacing w:after="0" w:line="174" w:lineRule="exact"/>
        <w:rPr>
          <w:sz w:val="20"/>
          <w:szCs w:val="20"/>
          <w:color w:val="auto"/>
        </w:rPr>
      </w:pPr>
    </w:p>
    <w:p>
      <w:pPr>
        <w:ind w:left="820" w:hanging="383"/>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Approval by Continuing Directors</w:t>
      </w:r>
      <w:r>
        <w:rPr>
          <w:rFonts w:ascii="Arial" w:cs="Arial" w:eastAsia="Arial" w:hAnsi="Arial"/>
          <w:sz w:val="16"/>
          <w:szCs w:val="16"/>
          <w:color w:val="auto"/>
        </w:rPr>
        <w:t>. The Business Combination shall have been approved by a majority of the Continuing Directors (as hereinafter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defined).</w:t>
      </w:r>
    </w:p>
    <w:p>
      <w:pPr>
        <w:spacing w:after="0" w:line="218" w:lineRule="exact"/>
        <w:rPr>
          <w:rFonts w:ascii="Arial" w:cs="Arial" w:eastAsia="Arial" w:hAnsi="Arial"/>
          <w:sz w:val="16"/>
          <w:szCs w:val="16"/>
          <w:color w:val="auto"/>
        </w:rPr>
      </w:pPr>
    </w:p>
    <w:p>
      <w:pPr>
        <w:ind w:left="820" w:hanging="373"/>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Price and Procedure Requirements</w:t>
      </w:r>
      <w:r>
        <w:rPr>
          <w:rFonts w:ascii="Arial" w:cs="Arial" w:eastAsia="Arial" w:hAnsi="Arial"/>
          <w:sz w:val="18"/>
          <w:szCs w:val="18"/>
          <w:color w:val="auto"/>
        </w:rPr>
        <w:t>. All of the following conditions shall have been met.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85" w:right="299" w:bottom="1440" w:gutter="0" w:footer="0" w:header="0"/>
        </w:sectPr>
      </w:pPr>
    </w:p>
    <w:bookmarkStart w:id="16" w:name="page17"/>
    <w:bookmarkEnd w:id="16"/>
    <w:p>
      <w:pPr>
        <w:ind w:left="550" w:right="180" w:hanging="550"/>
        <w:spacing w:after="0" w:line="259" w:lineRule="auto"/>
        <w:tabs>
          <w:tab w:leader="none" w:pos="5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amount of the cash and the Fair Market Value (as hereinafter defined) as of the date of the consummation of the Business Combination of consideration other than cash to be received per share by holders of Common Stock in such Business Combination shall be at least equal to the highest of the following:</w:t>
      </w:r>
    </w:p>
    <w:p>
      <w:pPr>
        <w:spacing w:after="0" w:line="221" w:lineRule="exact"/>
        <w:rPr>
          <w:rFonts w:ascii="Arial" w:cs="Arial" w:eastAsia="Arial" w:hAnsi="Arial"/>
          <w:sz w:val="18"/>
          <w:szCs w:val="18"/>
          <w:color w:val="auto"/>
        </w:rPr>
      </w:pPr>
    </w:p>
    <w:p>
      <w:pPr>
        <w:ind w:left="1010" w:hanging="442"/>
        <w:spacing w:after="0" w:line="256" w:lineRule="auto"/>
        <w:tabs>
          <w:tab w:leader="none" w:pos="101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applicable) the highest per share price (including any brokerage commissions, transfer taxes and soliciting dealers’ fees) paid by the Interested Stockholder for any shares of Common Stock acquired by it (1) within the two-year period immediately prior to the first public announcement of the proposal of the Business Combination (the “Announcement Date”) or (2) in the transaction in which it became an Interested Stockholder, whichever is higher;</w:t>
      </w:r>
    </w:p>
    <w:p>
      <w:pPr>
        <w:spacing w:after="0" w:line="197" w:lineRule="exact"/>
        <w:rPr>
          <w:rFonts w:ascii="Arial" w:cs="Arial" w:eastAsia="Arial" w:hAnsi="Arial"/>
          <w:sz w:val="18"/>
          <w:szCs w:val="18"/>
          <w:color w:val="auto"/>
        </w:rPr>
      </w:pPr>
    </w:p>
    <w:p>
      <w:pPr>
        <w:ind w:left="1010" w:hanging="442"/>
        <w:spacing w:after="0" w:line="370" w:lineRule="auto"/>
        <w:tabs>
          <w:tab w:leader="none" w:pos="1010" w:val="left"/>
        </w:tabs>
        <w:numPr>
          <w:ilvl w:val="1"/>
          <w:numId w:val="17"/>
        </w:numPr>
        <w:rPr>
          <w:rFonts w:ascii="Arial" w:cs="Arial" w:eastAsia="Arial" w:hAnsi="Arial"/>
          <w:sz w:val="15"/>
          <w:szCs w:val="15"/>
          <w:color w:val="auto"/>
        </w:rPr>
      </w:pPr>
      <w:r>
        <w:rPr>
          <w:rFonts w:ascii="Arial" w:cs="Arial" w:eastAsia="Arial" w:hAnsi="Arial"/>
          <w:sz w:val="15"/>
          <w:szCs w:val="15"/>
          <w:color w:val="auto"/>
        </w:rPr>
        <w:t>the Fair Market Value per share of Common Stock on the Announcement Date or on the date on which the Interested Stockholder became an Interested Stockholder (such latter date is referred to in this Article VIII as the “Determination Date”), whichever is higher; and</w:t>
      </w:r>
    </w:p>
    <w:p>
      <w:pPr>
        <w:spacing w:after="0" w:line="116" w:lineRule="exact"/>
        <w:rPr>
          <w:rFonts w:ascii="Arial" w:cs="Arial" w:eastAsia="Arial" w:hAnsi="Arial"/>
          <w:sz w:val="15"/>
          <w:szCs w:val="15"/>
          <w:color w:val="auto"/>
        </w:rPr>
      </w:pPr>
    </w:p>
    <w:p>
      <w:pPr>
        <w:ind w:left="1010" w:right="20" w:hanging="442"/>
        <w:spacing w:after="0" w:line="294" w:lineRule="auto"/>
        <w:tabs>
          <w:tab w:leader="none" w:pos="101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(if applicable) the price per share equal to the Fair Market Value per share of Common Stock on the Announcement Date or the Determination Date, whichever is higher, multiplied by the ratio of (1) the highest per share price (including any brokerage commissions, transfer taxes and soliciting dealers’ fees) paid by the Interested Stockholder for any shares of Common Stock acquired by it within the two-year period immediately prior to the Announcement Date to (2) the Fair Market Value per share of Common Stock on the first day in such two-year period upon which the Interested Stockholder acquired any shares of Common Stock.</w:t>
      </w:r>
    </w:p>
    <w:p>
      <w:pPr>
        <w:spacing w:after="0" w:line="197" w:lineRule="exact"/>
        <w:rPr>
          <w:sz w:val="20"/>
          <w:szCs w:val="20"/>
          <w:color w:val="auto"/>
        </w:rPr>
      </w:pPr>
    </w:p>
    <w:p>
      <w:pPr>
        <w:ind w:left="550" w:right="40" w:hanging="550"/>
        <w:spacing w:after="0" w:line="294" w:lineRule="auto"/>
        <w:tabs>
          <w:tab w:leader="none" w:pos="55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aggregate amount of the cash and the Fair Market Value as of the date of the consummation of the Business Combination of consideration other than cash to be received per share by holders of shares of any other series of outstanding Voting Stock (other than Institutional Voting Stock, as hereinafter defined) shall be at least equal to the highest of the following (it being intended that the requirements of this paragraph (B) (ii) shall be required to be met with respect to every series of outstanding Voting Stock (other than Institutional Voting Stock), whether or not the Interested Stockholder has previously acquired any shares of a particular series of Voting Stock):</w:t>
      </w:r>
    </w:p>
    <w:p>
      <w:pPr>
        <w:spacing w:after="0" w:line="197" w:lineRule="exact"/>
        <w:rPr>
          <w:sz w:val="20"/>
          <w:szCs w:val="20"/>
          <w:color w:val="auto"/>
        </w:rPr>
      </w:pPr>
    </w:p>
    <w:p>
      <w:pPr>
        <w:ind w:left="1010" w:hanging="442"/>
        <w:spacing w:after="0" w:line="306" w:lineRule="auto"/>
        <w:tabs>
          <w:tab w:leader="none" w:pos="101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applicable) the highest per share price (including any brokerage commissions, transfer taxes and soliciting dealers’ fees) paid by the Interested Stockholder for any shares of such series of Voting Stock acquired by it (1) within the two-year period immediately prior to the Announcement Date or (2) in the transaction in which it became an Interested Stockholder, whichever is higher;</w:t>
      </w:r>
    </w:p>
    <w:p>
      <w:pPr>
        <w:spacing w:after="0" w:line="161" w:lineRule="exact"/>
        <w:rPr>
          <w:sz w:val="20"/>
          <w:szCs w:val="20"/>
          <w:color w:val="auto"/>
        </w:rPr>
      </w:pPr>
    </w:p>
    <w:p>
      <w:pPr>
        <w:ind w:left="491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90"/>
          </w:cols>
          <w:pgMar w:left="950" w:top="1185" w:right="259" w:bottom="1440" w:gutter="0" w:footer="0" w:header="0"/>
        </w:sectPr>
      </w:pPr>
    </w:p>
    <w:bookmarkStart w:id="17" w:name="page18"/>
    <w:bookmarkEnd w:id="17"/>
    <w:p>
      <w:pPr>
        <w:ind w:left="1010" w:right="160" w:hanging="442"/>
        <w:spacing w:after="0" w:line="268" w:lineRule="auto"/>
        <w:tabs>
          <w:tab w:leader="none" w:pos="1010" w:val="left"/>
        </w:tabs>
        <w:numPr>
          <w:ilvl w:val="2"/>
          <w:numId w:val="20"/>
        </w:numPr>
        <w:rPr>
          <w:rFonts w:ascii="Arial" w:cs="Arial" w:eastAsia="Arial" w:hAnsi="Arial"/>
          <w:sz w:val="18"/>
          <w:szCs w:val="18"/>
          <w:color w:val="auto"/>
        </w:rPr>
      </w:pPr>
      <w:r>
        <w:rPr>
          <w:rFonts w:ascii="Arial" w:cs="Arial" w:eastAsia="Arial" w:hAnsi="Arial"/>
          <w:sz w:val="18"/>
          <w:szCs w:val="18"/>
          <w:color w:val="auto"/>
        </w:rPr>
        <w:t>(if applicable) the highest preferential amount per share to which the holders of shares of such series of Voting Stock are entitled in the event of any voluntary or involuntary liquidation, dissolution or winding up of the corporation;</w:t>
      </w:r>
    </w:p>
    <w:p>
      <w:pPr>
        <w:spacing w:after="0" w:line="185" w:lineRule="exact"/>
        <w:rPr>
          <w:rFonts w:ascii="Arial" w:cs="Arial" w:eastAsia="Arial" w:hAnsi="Arial"/>
          <w:sz w:val="18"/>
          <w:szCs w:val="18"/>
          <w:color w:val="auto"/>
        </w:rPr>
      </w:pPr>
    </w:p>
    <w:p>
      <w:pPr>
        <w:ind w:left="1010" w:right="200" w:hanging="442"/>
        <w:spacing w:after="0" w:line="268" w:lineRule="auto"/>
        <w:tabs>
          <w:tab w:leader="none" w:pos="101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Fair Market Value per share of such series of Voting Stock on the Announcement Date or on the Determination Date, whichever is higher; and</w:t>
      </w:r>
    </w:p>
    <w:p>
      <w:pPr>
        <w:spacing w:after="0" w:line="185" w:lineRule="exact"/>
        <w:rPr>
          <w:rFonts w:ascii="Arial" w:cs="Arial" w:eastAsia="Arial" w:hAnsi="Arial"/>
          <w:sz w:val="18"/>
          <w:szCs w:val="18"/>
          <w:color w:val="auto"/>
        </w:rPr>
      </w:pPr>
    </w:p>
    <w:p>
      <w:pPr>
        <w:ind w:left="1010" w:right="60" w:hanging="442"/>
        <w:spacing w:after="0" w:line="254" w:lineRule="auto"/>
        <w:tabs>
          <w:tab w:leader="none" w:pos="1010" w:val="left"/>
        </w:tabs>
        <w:numPr>
          <w:ilvl w:val="2"/>
          <w:numId w:val="20"/>
        </w:numPr>
        <w:rPr>
          <w:rFonts w:ascii="Arial" w:cs="Arial" w:eastAsia="Arial" w:hAnsi="Arial"/>
          <w:sz w:val="18"/>
          <w:szCs w:val="18"/>
          <w:color w:val="auto"/>
        </w:rPr>
      </w:pPr>
      <w:r>
        <w:rPr>
          <w:rFonts w:ascii="Arial" w:cs="Arial" w:eastAsia="Arial" w:hAnsi="Arial"/>
          <w:sz w:val="18"/>
          <w:szCs w:val="18"/>
          <w:color w:val="auto"/>
        </w:rPr>
        <w:t>(if applicable) the price per share equal to the Fair Market Value per share of such series of Voting Stock on the Announcement Date or the Determination Date, whichever is higher, multiplied by the ratio of (1) the highest per share price (including any brokerage commissions, transfer taxes and soliciting dealers’ fees) paid by the Interested Stockholder for any shares of such series of Voting Stock acquired by it within the two-year period immediately prior to the Announcement Date to (2) the Fair Market Value per share of such series of Voting Stock on the first day in such two-year period upon which the Interested Stockholder acquired any shares of such series of Voting Stock.</w:t>
      </w:r>
    </w:p>
    <w:p>
      <w:pPr>
        <w:spacing w:after="0" w:line="225" w:lineRule="exact"/>
        <w:rPr>
          <w:rFonts w:ascii="Arial" w:cs="Arial" w:eastAsia="Arial" w:hAnsi="Arial"/>
          <w:sz w:val="18"/>
          <w:szCs w:val="18"/>
          <w:color w:val="auto"/>
        </w:rPr>
      </w:pPr>
    </w:p>
    <w:p>
      <w:pPr>
        <w:ind w:left="550" w:hanging="550"/>
        <w:spacing w:after="0" w:line="294" w:lineRule="auto"/>
        <w:tabs>
          <w:tab w:leader="none" w:pos="55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consideration to be received by holders of a particular class (in the case of Common Stock) or series (in the case of Preferred Stock) of the outstanding Voting Stock shall be in cash or in the same form as the Interested Stockholder has previously paid for shares of any class or series of Voting Stock. If the Interested Stockholder has paid for shares of any class or series of Voting Stock with varying forms of consideration, the form of consideration for such class or series of Voting Stock shall be either cash or the form used to acquire the largest number of shares of such class or series of Voting Stock previously acquired by it.</w:t>
      </w:r>
    </w:p>
    <w:p>
      <w:pPr>
        <w:spacing w:after="0" w:line="169" w:lineRule="exact"/>
        <w:rPr>
          <w:rFonts w:ascii="Arial" w:cs="Arial" w:eastAsia="Arial" w:hAnsi="Arial"/>
          <w:sz w:val="16"/>
          <w:szCs w:val="16"/>
          <w:color w:val="auto"/>
        </w:rPr>
      </w:pPr>
    </w:p>
    <w:p>
      <w:pPr>
        <w:ind w:left="550" w:hanging="550"/>
        <w:spacing w:after="0"/>
        <w:tabs>
          <w:tab w:leader="none" w:pos="55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After such Interested Stockholder has become an Interested Stockholder and prior to the consummation of such Business Combination:</w:t>
      </w:r>
    </w:p>
    <w:p>
      <w:pPr>
        <w:spacing w:after="0" w:line="38" w:lineRule="exact"/>
        <w:rPr>
          <w:rFonts w:ascii="Arial" w:cs="Arial" w:eastAsia="Arial" w:hAnsi="Arial"/>
          <w:sz w:val="16"/>
          <w:szCs w:val="16"/>
          <w:color w:val="auto"/>
        </w:rPr>
      </w:pPr>
    </w:p>
    <w:p>
      <w:pPr>
        <w:ind w:left="550" w:right="20" w:firstLine="4"/>
        <w:spacing w:after="0" w:line="290" w:lineRule="auto"/>
        <w:tabs>
          <w:tab w:leader="none" w:pos="788" w:val="left"/>
        </w:tabs>
        <w:numPr>
          <w:ilvl w:val="1"/>
          <w:numId w:val="21"/>
        </w:numPr>
        <w:rPr>
          <w:rFonts w:ascii="Arial" w:cs="Arial" w:eastAsia="Arial" w:hAnsi="Arial"/>
          <w:sz w:val="16"/>
          <w:szCs w:val="16"/>
          <w:color w:val="auto"/>
        </w:rPr>
      </w:pPr>
      <w:r>
        <w:rPr>
          <w:rFonts w:ascii="Arial" w:cs="Arial" w:eastAsia="Arial" w:hAnsi="Arial"/>
          <w:sz w:val="16"/>
          <w:szCs w:val="16"/>
          <w:color w:val="auto"/>
        </w:rPr>
        <w:t>except as approved by a majority of the Continuing Directors, there shall have been no failure to declare and pay at the regular date therefor any full quarterly dividends (whether or not cumulative) on the outstanding Preferred Stock; (b) there shall have been (1) no reduction in the annual rate of dividends paid on the Common Stock (except as necessary to reflect any subdivision of the Common Stock), except as approved by a majority of the Continuing Directors, and (2) an increase in such annual rate of dividends as necessary to reflect any reclassification (including any reverse stock split), recapitalization, reorganization or any similar transaction which has the effect of reducing the number of outstanding shares of Common Stock, unless the failure so to increase such annual rate</w:t>
      </w:r>
    </w:p>
    <w:p>
      <w:pPr>
        <w:spacing w:after="0" w:line="172" w:lineRule="exact"/>
        <w:rPr>
          <w:sz w:val="20"/>
          <w:szCs w:val="20"/>
          <w:color w:val="auto"/>
        </w:rPr>
      </w:pPr>
    </w:p>
    <w:p>
      <w:pPr>
        <w:ind w:left="491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30"/>
          </w:cols>
          <w:pgMar w:left="950" w:top="1185" w:right="319" w:bottom="1440" w:gutter="0" w:footer="0" w:header="0"/>
        </w:sectPr>
      </w:pPr>
    </w:p>
    <w:bookmarkStart w:id="18" w:name="page19"/>
    <w:bookmarkEnd w:id="18"/>
    <w:p>
      <w:pPr>
        <w:ind w:left="1260" w:right="200"/>
        <w:spacing w:after="0" w:line="259" w:lineRule="auto"/>
        <w:rPr>
          <w:sz w:val="20"/>
          <w:szCs w:val="20"/>
          <w:color w:val="auto"/>
        </w:rPr>
      </w:pPr>
      <w:r>
        <w:rPr>
          <w:rFonts w:ascii="Arial" w:cs="Arial" w:eastAsia="Arial" w:hAnsi="Arial"/>
          <w:sz w:val="18"/>
          <w:szCs w:val="18"/>
          <w:color w:val="auto"/>
        </w:rPr>
        <w:t>is approved by a majority of the Continuing Directors; and (c) such Interested Stockholder shall have not become the beneficial owner of any additional shares of Voting Stock except as part of the transaction which results in such Interested Stockholder becoming an Interested Stockholder.</w:t>
      </w:r>
    </w:p>
    <w:p>
      <w:pPr>
        <w:spacing w:after="0" w:line="194" w:lineRule="exact"/>
        <w:rPr>
          <w:sz w:val="20"/>
          <w:szCs w:val="20"/>
          <w:color w:val="auto"/>
        </w:rPr>
      </w:pPr>
    </w:p>
    <w:p>
      <w:pPr>
        <w:ind w:left="1260" w:right="120" w:hanging="550"/>
        <w:spacing w:after="0" w:line="256"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After such Interested Stockholder has become an Interested Stockholder, such Interested Stockholder shall not have received the benefit, directly or indirectly (except proportionately as a stockholder), of any loans, advances, guarantees, pledges or other financial assistance or any tax credits or other tax advantages provided by the corporation, whether in anticipation of or in connection with such Business Combination or otherwise.</w:t>
      </w:r>
    </w:p>
    <w:p>
      <w:pPr>
        <w:spacing w:after="0" w:line="197" w:lineRule="exact"/>
        <w:rPr>
          <w:rFonts w:ascii="Arial" w:cs="Arial" w:eastAsia="Arial" w:hAnsi="Arial"/>
          <w:sz w:val="18"/>
          <w:szCs w:val="18"/>
          <w:color w:val="auto"/>
        </w:rPr>
      </w:pPr>
    </w:p>
    <w:p>
      <w:pPr>
        <w:ind w:left="1260" w:right="60" w:hanging="550"/>
        <w:spacing w:after="0" w:line="298" w:lineRule="auto"/>
        <w:tabs>
          <w:tab w:leader="none" w:pos="1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proxy or information statement describing the proposed Business Combination and complying with the requirements of the Securities and Exchange Act of 1934 and the rules and regulations thereunder (or any subsequent provisions replacing such Act, rules or regulations) shall be mailed to public stockholders of the corporation at least 30 days prior to the consummation of such Business Combination (whether or not such proxy or information statement is required to be mailed pursuant to such Act or subsequent provisions).</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i w:val="1"/>
          <w:iCs w:val="1"/>
          <w:color w:val="auto"/>
        </w:rPr>
        <w:t>Certain Definitions</w:t>
      </w:r>
      <w:r>
        <w:rPr>
          <w:rFonts w:ascii="Arial" w:cs="Arial" w:eastAsia="Arial" w:hAnsi="Arial"/>
          <w:sz w:val="16"/>
          <w:szCs w:val="16"/>
          <w:color w:val="auto"/>
        </w:rPr>
        <w:t>. For the purposes of this Article VIII:</w:t>
      </w:r>
    </w:p>
    <w:p>
      <w:pPr>
        <w:spacing w:after="0" w:line="225" w:lineRule="exact"/>
        <w:rPr>
          <w:sz w:val="20"/>
          <w:szCs w:val="20"/>
          <w:color w:val="auto"/>
        </w:rPr>
      </w:pPr>
    </w:p>
    <w:p>
      <w:pPr>
        <w:ind w:left="820" w:hanging="383"/>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“person” shall mean any individual, firm, corporation or other entity.</w:t>
      </w:r>
    </w:p>
    <w:p>
      <w:pPr>
        <w:spacing w:after="0" w:line="225" w:lineRule="exact"/>
        <w:rPr>
          <w:rFonts w:ascii="Arial" w:cs="Arial" w:eastAsia="Arial" w:hAnsi="Arial"/>
          <w:sz w:val="18"/>
          <w:szCs w:val="18"/>
          <w:color w:val="auto"/>
        </w:rPr>
      </w:pPr>
    </w:p>
    <w:p>
      <w:pPr>
        <w:ind w:left="820" w:hanging="373"/>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“Interested Stockholder” shall mean any person (other than the corporation or any Subsidiary) who or which:</w:t>
      </w:r>
    </w:p>
    <w:p>
      <w:pPr>
        <w:spacing w:after="0" w:line="225" w:lineRule="exact"/>
        <w:rPr>
          <w:rFonts w:ascii="Arial" w:cs="Arial" w:eastAsia="Arial" w:hAnsi="Arial"/>
          <w:sz w:val="18"/>
          <w:szCs w:val="18"/>
          <w:color w:val="auto"/>
        </w:rPr>
      </w:pPr>
    </w:p>
    <w:p>
      <w:pPr>
        <w:ind w:left="1280" w:hanging="610"/>
        <w:spacing w:after="0"/>
        <w:tabs>
          <w:tab w:leader="none" w:pos="12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 the beneficial owner, directly or indirectly, of more than 10% of the voting power of the outstanding Voting Stock; or</w:t>
      </w:r>
    </w:p>
    <w:p>
      <w:pPr>
        <w:spacing w:after="0" w:line="225" w:lineRule="exact"/>
        <w:rPr>
          <w:rFonts w:ascii="Arial" w:cs="Arial" w:eastAsia="Arial" w:hAnsi="Arial"/>
          <w:sz w:val="18"/>
          <w:szCs w:val="18"/>
          <w:color w:val="auto"/>
        </w:rPr>
      </w:pPr>
    </w:p>
    <w:p>
      <w:pPr>
        <w:ind w:left="1280" w:right="100" w:hanging="610"/>
        <w:spacing w:after="0" w:line="268" w:lineRule="auto"/>
        <w:tabs>
          <w:tab w:leader="none" w:pos="12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 an Affiliate of the corporation and at any time within the two-year period immediately prior to the date in question was the beneficial owner, directly or indirectly, of 10% or more of the voting power of the then outstanding Voting Stock; or</w:t>
      </w:r>
    </w:p>
    <w:p>
      <w:pPr>
        <w:spacing w:after="0" w:line="185" w:lineRule="exact"/>
        <w:rPr>
          <w:rFonts w:ascii="Arial" w:cs="Arial" w:eastAsia="Arial" w:hAnsi="Arial"/>
          <w:sz w:val="18"/>
          <w:szCs w:val="18"/>
          <w:color w:val="auto"/>
        </w:rPr>
      </w:pPr>
    </w:p>
    <w:p>
      <w:pPr>
        <w:ind w:left="1280" w:hanging="610"/>
        <w:spacing w:after="0" w:line="306" w:lineRule="auto"/>
        <w:tabs>
          <w:tab w:leader="none" w:pos="12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is an assignee of or has otherwise succeeded to any shares of Voting Stock which were at any time within the two-year period immediately prior to the date in question beneficially owned by an Interested Stockholder, if such assignment or succession shall have occurred in the course of a transaction or series of transactions not involving a public offering within the meaning of the Securities Act of 1933.</w:t>
      </w:r>
    </w:p>
    <w:p>
      <w:pPr>
        <w:spacing w:after="0" w:line="160" w:lineRule="exact"/>
        <w:rPr>
          <w:rFonts w:ascii="Arial" w:cs="Arial" w:eastAsia="Arial" w:hAnsi="Arial"/>
          <w:sz w:val="16"/>
          <w:szCs w:val="16"/>
          <w:color w:val="auto"/>
        </w:rPr>
      </w:pPr>
    </w:p>
    <w:p>
      <w:pPr>
        <w:ind w:left="820" w:hanging="373"/>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person shall be a “beneficial owner” of any Voting Stock:</w:t>
      </w:r>
    </w:p>
    <w:p>
      <w:pPr>
        <w:spacing w:after="0" w:line="200" w:lineRule="exact"/>
        <w:rPr>
          <w:sz w:val="20"/>
          <w:szCs w:val="20"/>
          <w:color w:val="auto"/>
        </w:rPr>
      </w:pPr>
    </w:p>
    <w:p>
      <w:pPr>
        <w:spacing w:after="0" w:line="268" w:lineRule="exact"/>
        <w:rPr>
          <w:sz w:val="20"/>
          <w:szCs w:val="20"/>
          <w:color w:val="auto"/>
        </w:rPr>
      </w:pPr>
    </w:p>
    <w:p>
      <w:pPr>
        <w:jc w:val="center"/>
        <w:ind w:left="5620" w:right="1520" w:hanging="4910"/>
        <w:spacing w:after="0" w:line="519" w:lineRule="auto"/>
        <w:tabs>
          <w:tab w:leader="none" w:pos="12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which such person or any of its Affiliates or Associates (as hereinafter defined) beneficially owns, directly or indirectly; or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5" w:right="259" w:bottom="1440" w:gutter="0" w:footer="0" w:header="0"/>
        </w:sectPr>
      </w:pPr>
    </w:p>
    <w:bookmarkStart w:id="19" w:name="page20"/>
    <w:bookmarkEnd w:id="19"/>
    <w:p>
      <w:pPr>
        <w:ind w:left="1220" w:right="140" w:hanging="550"/>
        <w:spacing w:after="0" w:line="306" w:lineRule="auto"/>
        <w:tabs>
          <w:tab w:leader="none" w:pos="12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which such person or any of its Affiliates or Associates has (a) the right to acquire (whether such right is exercisable immediately or only after the passage of time), pursuant to any agreement, arrangement or understanding or upon the exercise of conversion rights, exchange rights, warrants or options, or otherwise, or (b) the right to vote pursuant to any agreement, arrangement or understanding; or</w:t>
      </w:r>
    </w:p>
    <w:p>
      <w:pPr>
        <w:spacing w:after="0" w:line="160" w:lineRule="exact"/>
        <w:rPr>
          <w:rFonts w:ascii="Arial" w:cs="Arial" w:eastAsia="Arial" w:hAnsi="Arial"/>
          <w:sz w:val="16"/>
          <w:szCs w:val="16"/>
          <w:color w:val="auto"/>
        </w:rPr>
      </w:pPr>
    </w:p>
    <w:p>
      <w:pPr>
        <w:ind w:left="1220" w:right="200" w:hanging="550"/>
        <w:spacing w:after="0" w:line="332" w:lineRule="auto"/>
        <w:tabs>
          <w:tab w:leader="none" w:pos="12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which are beneficially owned, directly or indirectly, by any other person with which such person or any of its Affiliates or Associates has any agreement, or arrangement or understanding for the purpose of acquiring, holding, voting or disposing of any shares of Voting Stock.</w:t>
      </w:r>
    </w:p>
    <w:p>
      <w:pPr>
        <w:spacing w:after="0" w:line="139" w:lineRule="exact"/>
        <w:rPr>
          <w:rFonts w:ascii="Arial" w:cs="Arial" w:eastAsia="Arial" w:hAnsi="Arial"/>
          <w:sz w:val="16"/>
          <w:szCs w:val="16"/>
          <w:color w:val="auto"/>
        </w:rPr>
      </w:pPr>
    </w:p>
    <w:p>
      <w:pPr>
        <w:ind w:left="-40" w:right="120" w:firstLine="447"/>
        <w:spacing w:after="0" w:line="256" w:lineRule="auto"/>
        <w:tabs>
          <w:tab w:leader="none" w:pos="789"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the purpose of determining whether a person is an Interested Stockholder pursuant to paragraph (B) of this Section 3, the number of shares of Voting Stock deemed to be outstanding shall include shares deemed owned through application of paragraph (C) of this Section 3 but shall not include any other shares of Voting Stock which may be issuable pursuant to any agreement, arrangement or understanding, or upon exercise of conversion rights, warrants or options, or otherwise.</w:t>
      </w:r>
    </w:p>
    <w:p>
      <w:pPr>
        <w:spacing w:after="0" w:line="197" w:lineRule="exact"/>
        <w:rPr>
          <w:rFonts w:ascii="Arial" w:cs="Arial" w:eastAsia="Arial" w:hAnsi="Arial"/>
          <w:sz w:val="18"/>
          <w:szCs w:val="18"/>
          <w:color w:val="auto"/>
        </w:rPr>
      </w:pPr>
    </w:p>
    <w:p>
      <w:pPr>
        <w:ind w:left="-40" w:right="280" w:firstLine="447"/>
        <w:spacing w:after="0" w:line="268" w:lineRule="auto"/>
        <w:tabs>
          <w:tab w:leader="none" w:pos="7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“Affiliate” or “Associate” shall have the respective meanings ascribed to such terms in Rule 12b-2 of the General Rules and Regulations under the Securities Exchange Act of 1934, as in effect on October 3, 1983.</w:t>
      </w:r>
    </w:p>
    <w:p>
      <w:pPr>
        <w:spacing w:after="0" w:line="185" w:lineRule="exact"/>
        <w:rPr>
          <w:rFonts w:ascii="Arial" w:cs="Arial" w:eastAsia="Arial" w:hAnsi="Arial"/>
          <w:sz w:val="18"/>
          <w:szCs w:val="18"/>
          <w:color w:val="auto"/>
        </w:rPr>
      </w:pPr>
    </w:p>
    <w:p>
      <w:pPr>
        <w:ind w:left="-40" w:right="160" w:firstLine="447"/>
        <w:spacing w:after="0" w:line="306" w:lineRule="auto"/>
        <w:tabs>
          <w:tab w:leader="none" w:pos="746"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“Subsidiary” means any corporation of which a majority of any class of equity security is owned, directly or indirectly, by the corporation; provided, however, that for the purposes of the definition of Interested Stockholder set forth in paragraph (B) of this Section 3, the term “Subsidiary” shall mean only a corporation of which a majority of each class of equity security is owned, directly or indirectly, by the corporation.</w:t>
      </w:r>
    </w:p>
    <w:p>
      <w:pPr>
        <w:spacing w:after="0" w:line="160" w:lineRule="exact"/>
        <w:rPr>
          <w:rFonts w:ascii="Arial" w:cs="Arial" w:eastAsia="Arial" w:hAnsi="Arial"/>
          <w:sz w:val="16"/>
          <w:szCs w:val="16"/>
          <w:color w:val="auto"/>
        </w:rPr>
      </w:pPr>
    </w:p>
    <w:p>
      <w:pPr>
        <w:ind w:left="-40" w:right="220" w:firstLine="447"/>
        <w:spacing w:after="0" w:line="306" w:lineRule="auto"/>
        <w:tabs>
          <w:tab w:leader="none" w:pos="789"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“Continuing Director” means any member of the Board who is unaffiliated with the Interested Stockholder and was a member of the Board prior to the time that the Interested Stockholder became an Interested Stockholder, and any successor of a Continuing Director who is unaffiliated with the Interested Stockholder and is recommended to succeed a Continuing Director by a majority of Continuing Directors then on the Board.</w:t>
      </w:r>
    </w:p>
    <w:p>
      <w:pPr>
        <w:spacing w:after="0" w:line="160" w:lineRule="exact"/>
        <w:rPr>
          <w:rFonts w:ascii="Arial" w:cs="Arial" w:eastAsia="Arial" w:hAnsi="Arial"/>
          <w:sz w:val="16"/>
          <w:szCs w:val="16"/>
          <w:color w:val="auto"/>
        </w:rPr>
      </w:pPr>
    </w:p>
    <w:p>
      <w:pPr>
        <w:ind w:left="-40" w:firstLine="447"/>
        <w:spacing w:after="0" w:line="290" w:lineRule="auto"/>
        <w:tabs>
          <w:tab w:leader="none" w:pos="789"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“Fair Market Value” means: (i) in the case of stock, the highest closing sale price during the 30-day period immediately preceding the date in question of a share of such stock on the Composite Tape for New York Stock Exchange—Listed Stocks, or, if such stock is not quoted on the Composite Tape, on the New York Stock Exchange, on the principal United States securities exchange registered under the Securities Exchange Act of 1934 on which such stock is listed, or, if such stock is not listed on any such exchange, the highest closing bid quotation with respect to a share of such stock during the 30-day period preceding the date in question on the National Association of Securities Dealers, Inc. Automated Quotations System or any system then in use, or if no such quotations are available, the fair market value on the date in question of a share of such stock as determined by the Board in good faith; and (ii) in the case of property other than cash or stock, the fair market value of such property on the date in question as determined by the Board in good faith.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1185" w:right="259" w:bottom="1440" w:gutter="0" w:footer="0" w:header="0"/>
        </w:sectPr>
      </w:pPr>
    </w:p>
    <w:bookmarkStart w:id="20" w:name="page21"/>
    <w:bookmarkEnd w:id="20"/>
    <w:p>
      <w:pPr>
        <w:ind w:right="380" w:firstLine="447"/>
        <w:spacing w:after="0" w:line="268" w:lineRule="auto"/>
        <w:tabs>
          <w:tab w:leader="none" w:pos="761"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“Institutional Voting Stock” shall mean any series of Voting Stock which was issued to and continues to be held solely by one or more insurance companies, pension funds, commercial banks, savings banks or similar financial institutions or institutional investors.</w:t>
      </w:r>
    </w:p>
    <w:p>
      <w:pPr>
        <w:spacing w:after="0" w:line="185" w:lineRule="exact"/>
        <w:rPr>
          <w:rFonts w:ascii="Arial" w:cs="Arial" w:eastAsia="Arial" w:hAnsi="Arial"/>
          <w:sz w:val="18"/>
          <w:szCs w:val="18"/>
          <w:color w:val="auto"/>
        </w:rPr>
      </w:pPr>
    </w:p>
    <w:p>
      <w:pPr>
        <w:ind w:right="180" w:firstLine="447"/>
        <w:spacing w:after="0" w:line="259" w:lineRule="auto"/>
        <w:tabs>
          <w:tab w:leader="none" w:pos="7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event of any Business Combination in which the corporation survives, the phrase “consideration other than cash to be received” as used in Section 2 of this Article VIII shall include the shares of Common Stock or the shares of any series of outstanding Voting Stock retained by the holders of such shares.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i w:val="1"/>
          <w:iCs w:val="1"/>
          <w:color w:val="auto"/>
        </w:rPr>
        <w:t>Powers of the Board of Directors</w:t>
      </w:r>
      <w:r>
        <w:rPr>
          <w:rFonts w:ascii="Arial" w:cs="Arial" w:eastAsia="Arial" w:hAnsi="Arial"/>
          <w:sz w:val="16"/>
          <w:szCs w:val="16"/>
          <w:color w:val="auto"/>
        </w:rPr>
        <w:t>. A majority of the directors of the corporation shall have the power and duty to determine for the purposes of this Article VIII, on the basis of information known to them after reasonable inquiry, (A) whether a person is an Interested Stockholder, (B) the number of shares of Voting Stock beneficially owned by any person, (C) whether a person is an Affiliate or Associate of another, (D) whether a series of Voting Stock is Institutional Voting Stock and (E) whether the assets which are the subject of any Business Combination have, or the consideration to be received for the issuance or transfer of securities by the corporation or any Subsidiary in any Business Combination has, an aggregate Fair Market Value of $1,000,000 or more.</w:t>
      </w:r>
    </w:p>
    <w:p>
      <w:pPr>
        <w:spacing w:after="0" w:line="17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No Effect on Fiduciary Obligations of Interested Stockholders</w:t>
      </w:r>
      <w:r>
        <w:rPr>
          <w:rFonts w:ascii="Arial" w:cs="Arial" w:eastAsia="Arial" w:hAnsi="Arial"/>
          <w:sz w:val="18"/>
          <w:szCs w:val="18"/>
          <w:color w:val="auto"/>
        </w:rPr>
        <w:t>. Nothing contained in this Article VIII shall be construed to relieve any Interested Stockholder from any fiduciary obligation imposed by law.</w:t>
      </w:r>
    </w:p>
    <w:p>
      <w:pPr>
        <w:spacing w:after="0" w:line="18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Amendment, Repeal, etc.</w:t>
      </w:r>
      <w:r>
        <w:rPr>
          <w:rFonts w:ascii="Arial" w:cs="Arial" w:eastAsia="Arial" w:hAnsi="Arial"/>
          <w:sz w:val="18"/>
          <w:szCs w:val="18"/>
          <w:color w:val="auto"/>
        </w:rPr>
        <w:t xml:space="preserve"> Notwithstanding anything contained in this Amended and Restated Certificate of Incorporation to the contrary, the affirmative vote of the holders of at least 80% of the voting power of the then outstanding shares of the Voting Stock, voting together as a single class, shall be required to alter, amend or repeal this Article VIII.</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Amendment of Amended and Restated Certificate of Incorporation</w:t>
      </w:r>
    </w:p>
    <w:p>
      <w:pPr>
        <w:spacing w:after="0" w:line="2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corporation reserves the right to amend, alter, change or repeal any provision contained in this Amended and Restated Certificate of Incorporation, in the manner now or hereafter prescribed by statute, and all rights conferred on Stockholders herein are granted subject to this reservation. Notwithstanding the foregoing, the provisions set forth in the last sentence of Article IV, Section 1, and in Articles VI, VII and VIII, may not be altered, amended or repealed in any respect unless such alteration, amendment or repeal is approved as specified in each thereof.</w:t>
      </w:r>
    </w:p>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Indemnity</w:t>
      </w:r>
    </w:p>
    <w:p>
      <w:pPr>
        <w:spacing w:after="0" w:line="2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i w:val="1"/>
          <w:iCs w:val="1"/>
          <w:color w:val="auto"/>
        </w:rPr>
        <w:t>Elimination of Certain Liability of Directors</w:t>
      </w:r>
      <w:r>
        <w:rPr>
          <w:rFonts w:ascii="Arial" w:cs="Arial" w:eastAsia="Arial" w:hAnsi="Arial"/>
          <w:sz w:val="16"/>
          <w:szCs w:val="16"/>
          <w:color w:val="auto"/>
        </w:rPr>
        <w:t>.</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director of the corporation shall not be personally liable to the corporation or its stockholders for monetary damages for breach of fiduciary duty as a director, except for liability (A) for any</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41" w:right="379" w:bottom="1440" w:gutter="0" w:footer="0" w:header="0"/>
        </w:sectPr>
      </w:pPr>
    </w:p>
    <w:bookmarkStart w:id="21" w:name="page22"/>
    <w:bookmarkEnd w:id="21"/>
    <w:p>
      <w:pPr>
        <w:ind w:right="140"/>
        <w:spacing w:after="0" w:line="259" w:lineRule="auto"/>
        <w:rPr>
          <w:sz w:val="20"/>
          <w:szCs w:val="20"/>
          <w:color w:val="auto"/>
        </w:rPr>
      </w:pPr>
      <w:r>
        <w:rPr>
          <w:rFonts w:ascii="Arial" w:cs="Arial" w:eastAsia="Arial" w:hAnsi="Arial"/>
          <w:sz w:val="18"/>
          <w:szCs w:val="18"/>
          <w:color w:val="auto"/>
        </w:rPr>
        <w:t>breach of the director’s duty of loyalty to the corporation or its stockholders, (B) for acts or omissions not in good faith or which involve intentional misconduct or a knowing violation of law, (C) under Section 174 of the Delaware General Corporation Law, or (D) for any transaction from which the director derived an improper personal benefit.</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i w:val="1"/>
          <w:iCs w:val="1"/>
          <w:color w:val="auto"/>
        </w:rPr>
        <w:t>Indemnification and Insurance</w:t>
      </w:r>
      <w:r>
        <w:rPr>
          <w:rFonts w:ascii="Arial" w:cs="Arial" w:eastAsia="Arial" w:hAnsi="Arial"/>
          <w:sz w:val="16"/>
          <w:szCs w:val="16"/>
          <w:color w:val="auto"/>
        </w:rPr>
        <w:t>.</w:t>
      </w:r>
    </w:p>
    <w:p>
      <w:pPr>
        <w:spacing w:after="0" w:line="225" w:lineRule="exact"/>
        <w:rPr>
          <w:sz w:val="20"/>
          <w:szCs w:val="20"/>
          <w:color w:val="auto"/>
        </w:rPr>
      </w:pPr>
    </w:p>
    <w:p>
      <w:pPr>
        <w:ind w:firstLine="437"/>
        <w:spacing w:after="0" w:line="284" w:lineRule="auto"/>
        <w:tabs>
          <w:tab w:leader="none" w:pos="819"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Right to Indemnification</w:t>
      </w:r>
      <w:r>
        <w:rPr>
          <w:rFonts w:ascii="Arial" w:cs="Arial" w:eastAsia="Arial" w:hAnsi="Arial"/>
          <w:sz w:val="16"/>
          <w:szCs w:val="16"/>
          <w:color w:val="auto"/>
        </w:rPr>
        <w:t>. Each person who was or is made a party or is threatened to be made a party to or is involved in any action, suit or</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 whether civil, criminal, administrative or investigative (hereinafter a “proceeding”), by reason for the fact that he or she, or a person of whom he or she is the legal representative, is or was a director or officer, of the corporation or is or was serving at the request of the corporation as a director, officer, employee or agent of another corporation or of a partnership, joint venture, trust or other enterprise, including service with respect to employee benefit plans, whether the basis of such proceeding alleged action in an official capacity as a director, officer, employee or agent or in any other capacity while serving as a director, officer, employee or agent, shall be indemnified and held harmless by the corporation to the fullest extent authorized by the Delaware General Corporation Law,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ERISA excise taxes or penalties and amounts paid or to be paid in settlement) reasonably incurred or suffered by such person in connection therewith and such indemnification shall continue as to a person who has ceased to be a director, officer, employee or agent and shall inure to the benefit of his or her heirs, executors and administrators; provided, however, that, except as provided in paragraph (B) hereof, the corporation shall indemnify any such person seeking indemnification in connection with a proceeding (or part thereof) initiated by such person only if such proceeding (or part thereof) was authorized by the Board of Directors of the corporation. The right to indemnification conferred in this Section 2 shall be a contract right, which may, by action of the Board of Directors of the corporation and at its option, be expressed in a separate written instrument, and shall include the right to be paid by the corporation the expenses incurred in defending any such proceeding in advance of its final disposition; provided, however, that, if the Delaware General Corporation Law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Section 2 or otherwise. The corporation may, by action of its Board of Directors, provide indemnification to employees and agents of the corporation with the same scope and effect as the foregoing indemnification of directors and officers.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22" w:name="page23"/>
    <w:bookmarkEnd w:id="22"/>
    <w:p>
      <w:pPr>
        <w:ind w:right="20" w:firstLine="447"/>
        <w:spacing w:after="0" w:line="286" w:lineRule="auto"/>
        <w:tabs>
          <w:tab w:leader="none" w:pos="819"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Right of Claimant to Bring Suit</w:t>
      </w:r>
      <w:r>
        <w:rPr>
          <w:rFonts w:ascii="Arial" w:cs="Arial" w:eastAsia="Arial" w:hAnsi="Arial"/>
          <w:sz w:val="16"/>
          <w:szCs w:val="16"/>
          <w:color w:val="auto"/>
        </w:rPr>
        <w:t>. If a claim under paragraph (A) of this Section 2 is not paid in full by the corporation within thirty days after a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claim has 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whether the required undertaking, if any is required, has been tendered to the corporation) that the claimant has not met the standards of conduct which make it permissible under the Delaware General Corporation Law for the corporation to 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Delaware General Corporation Law,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181" w:lineRule="exact"/>
        <w:rPr>
          <w:rFonts w:ascii="Arial" w:cs="Arial" w:eastAsia="Arial" w:hAnsi="Arial"/>
          <w:sz w:val="16"/>
          <w:szCs w:val="16"/>
          <w:color w:val="auto"/>
        </w:rPr>
      </w:pPr>
    </w:p>
    <w:p>
      <w:pPr>
        <w:ind w:right="220" w:firstLine="447"/>
        <w:spacing w:after="0" w:line="306" w:lineRule="auto"/>
        <w:tabs>
          <w:tab w:leader="none" w:pos="819"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Non-Exclusivity of Rights</w:t>
      </w:r>
      <w:r>
        <w:rPr>
          <w:rFonts w:ascii="Arial" w:cs="Arial" w:eastAsia="Arial" w:hAnsi="Arial"/>
          <w:sz w:val="16"/>
          <w:szCs w:val="16"/>
          <w:color w:val="auto"/>
        </w:rPr>
        <w:t>. The right to indemnification and the payment of expenses incurred in defending a proceeding in advance of its final</w:t>
      </w:r>
      <w:r>
        <w:rPr>
          <w:rFonts w:ascii="Arial" w:cs="Arial" w:eastAsia="Arial" w:hAnsi="Arial"/>
          <w:sz w:val="16"/>
          <w:szCs w:val="16"/>
          <w:i w:val="1"/>
          <w:iCs w:val="1"/>
          <w:color w:val="auto"/>
        </w:rPr>
        <w:t xml:space="preserve"> </w:t>
      </w:r>
      <w:r>
        <w:rPr>
          <w:rFonts w:ascii="Arial" w:cs="Arial" w:eastAsia="Arial" w:hAnsi="Arial"/>
          <w:sz w:val="16"/>
          <w:szCs w:val="16"/>
          <w:color w:val="auto"/>
        </w:rPr>
        <w:t>disposition conferred in this Section 2 shall not be exclusive of any other right which any persons may have or hereafter acquire under any statute, provision of the Amended and Restated Certificate of Incorporation, bylaw, agreement, vote of stockholders or disinterested directors or otherwise.</w:t>
      </w:r>
    </w:p>
    <w:p>
      <w:pPr>
        <w:spacing w:after="0" w:line="160" w:lineRule="exact"/>
        <w:rPr>
          <w:rFonts w:ascii="Arial" w:cs="Arial" w:eastAsia="Arial" w:hAnsi="Arial"/>
          <w:sz w:val="16"/>
          <w:szCs w:val="16"/>
          <w:color w:val="auto"/>
        </w:rPr>
      </w:pPr>
    </w:p>
    <w:p>
      <w:pPr>
        <w:jc w:val="both"/>
        <w:ind w:right="120" w:firstLine="447"/>
        <w:spacing w:after="0" w:line="306" w:lineRule="auto"/>
        <w:tabs>
          <w:tab w:leader="none" w:pos="829"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corporation may maintain insurance, at its expense, to protect itself and any director, officer, employee or agent of the corporation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another corporation, partnership, joint venture, trust or other enterprise against any such expense, liability or loss, whether or not the corporation would have the power to indemnify such person against such expense, liability or loss under the Delaware General Corporation Law.</w:t>
      </w:r>
    </w:p>
    <w:p>
      <w:pPr>
        <w:spacing w:after="0" w:line="161" w:lineRule="exact"/>
        <w:rPr>
          <w:sz w:val="20"/>
          <w:szCs w:val="20"/>
          <w:color w:val="auto"/>
        </w:rPr>
      </w:pPr>
    </w:p>
    <w:p>
      <w:pPr>
        <w:ind w:firstLine="439"/>
        <w:spacing w:after="0" w:line="332" w:lineRule="auto"/>
        <w:rPr>
          <w:sz w:val="20"/>
          <w:szCs w:val="20"/>
          <w:color w:val="auto"/>
        </w:rPr>
      </w:pPr>
      <w:r>
        <w:rPr>
          <w:rFonts w:ascii="Arial" w:cs="Arial" w:eastAsia="Arial" w:hAnsi="Arial"/>
          <w:sz w:val="16"/>
          <w:szCs w:val="16"/>
          <w:color w:val="auto"/>
        </w:rPr>
        <w:t>IN WITNESS WHEREOF, the corporation has caused this Amended and Restated Certificate of Incorporation to be executed this 20th day of March, 2003, in its name and on its behalf by its Vice President and Secretary pursuant to Section 103 of the General Corporation Law of the State of Delaware.</w:t>
      </w:r>
    </w:p>
    <w:p>
      <w:pPr>
        <w:spacing w:after="0" w:line="38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71120</wp:posOffset>
            </wp:positionV>
            <wp:extent cx="16122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Lawrence McIntyre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Secretary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941"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BYLAWS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Delaware Corporation)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Offices, Corporate Seal, and Records</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Section 1.1 The registered office of the Corporation shall be established and maintained in the City of Dover, in the County of Kent, in the State of Delaware, and the Corporation may have other offices, either within or without the State of Delaware, at such place or places as the Board of Directors may from time to time determine. Unless otherwise determined by the Board of Directors, the principal executive office of the Corporation shall be at 8111 Lyndale Avenue South, in the City of Bloomington, County of Hennepin, State of Minnesota.</w:t>
      </w:r>
    </w:p>
    <w:p>
      <w:pPr>
        <w:spacing w:after="0" w:line="1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Section 1.2 The Corporation may have a corporate seal in such form as determined by the Board of Directors, which may be altered at its pleasure, and the seal may be used by causing it or a facsimile thereof to be impressed or affixed or in any other manner reproduced.</w:t>
      </w:r>
    </w:p>
    <w:p>
      <w:pPr>
        <w:spacing w:after="0" w:line="186"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Section 1.3 The Corporation shall at all times keep at its principal executive office, or at such other place or places as the Board of Directors may determine, a share register giving the names and addresses of the stockholders, the number and classes of shares held by each, and the dates on which the certificates therefor were issued, or, in the case of uncertificated shares, the date the electronic entry evidencing the ownership of the shares was made in the Company’s records.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Section 1.4 The Corporation shall at all times keep at its principal executive office the following records:</w:t>
      </w:r>
    </w:p>
    <w:p>
      <w:pPr>
        <w:spacing w:after="0" w:line="225" w:lineRule="exact"/>
        <w:rPr>
          <w:sz w:val="20"/>
          <w:szCs w:val="20"/>
          <w:color w:val="auto"/>
        </w:rPr>
      </w:pPr>
    </w:p>
    <w:p>
      <w:pPr>
        <w:ind w:left="880" w:right="200" w:hanging="548"/>
        <w:spacing w:after="0" w:line="268"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original or copies of records of all proceedings of stockholders and directors, of its Bylaws and all amendments thereto, and of reports made to stockholders or any of them within the next preceding three years;</w:t>
      </w:r>
    </w:p>
    <w:p>
      <w:pPr>
        <w:spacing w:after="0" w:line="185" w:lineRule="exact"/>
        <w:rPr>
          <w:rFonts w:ascii="Arial" w:cs="Arial" w:eastAsia="Arial" w:hAnsi="Arial"/>
          <w:sz w:val="18"/>
          <w:szCs w:val="18"/>
          <w:color w:val="auto"/>
        </w:rPr>
      </w:pPr>
    </w:p>
    <w:p>
      <w:pPr>
        <w:ind w:left="880" w:hanging="548"/>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statement of names and usual business addresses of its directors and principal officers;</w:t>
      </w:r>
    </w:p>
    <w:p>
      <w:pPr>
        <w:spacing w:after="0" w:line="225" w:lineRule="exact"/>
        <w:rPr>
          <w:rFonts w:ascii="Arial" w:cs="Arial" w:eastAsia="Arial" w:hAnsi="Arial"/>
          <w:sz w:val="18"/>
          <w:szCs w:val="18"/>
          <w:color w:val="auto"/>
        </w:rPr>
      </w:pPr>
    </w:p>
    <w:p>
      <w:pPr>
        <w:ind w:left="880" w:hanging="548"/>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Appropriate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spacing w:after="0" w:line="256" w:lineRule="auto"/>
        <w:rPr>
          <w:sz w:val="20"/>
          <w:szCs w:val="20"/>
          <w:color w:val="auto"/>
        </w:rPr>
      </w:pPr>
      <w:r>
        <w:rPr>
          <w:rFonts w:ascii="Arial" w:cs="Arial" w:eastAsia="Arial" w:hAnsi="Arial"/>
          <w:sz w:val="18"/>
          <w:szCs w:val="18"/>
          <w:color w:val="auto"/>
        </w:rPr>
        <w:t>Section 1.5 Subject to law and any order of the Court of Chancery, any stockholder of record shall have the right to inspect and make copies or extracts therefrom, upon proper written demand under oath stating the purpose thereof, in person or by attorney or other agent, at any reasonable time or times, for any proper purpose, and at the principal executive offices of the corporation, the stock ledger, a list of stockholders, and other books and records, required financial statements, and the records of the proceedings of the stockholders and directors.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Meeting of Stockholders</w:t>
      </w:r>
    </w:p>
    <w:p>
      <w:pPr>
        <w:spacing w:after="0" w:line="21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Section 2.1 All meetings of the stockholders shall be held at such place within or without the State of Delaware as may be designated by the Board of Directors in the notice of the meeting.</w:t>
      </w:r>
    </w:p>
    <w:p>
      <w:pPr>
        <w:spacing w:after="0" w:line="18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Section 2.2 The Regular Meetings of the stockholders, if any, shall be held on the day or date and at the time and place as the Board of Directors may fix from time to time in its discretion, for the election of directors and the transaction of such other business as may come before the meeting; provided, however, that any previously scheduled regular meeting of the stockholders may be postponed by resolution of the Board of Directors upon public notice given prior to the date previously scheduled for such regular meeting of the stockholders; and provided, further, that no business with respect to which special notice is required by law shall be transacted at a regular meeting unless such notice shall have been given.</w:t>
      </w:r>
    </w:p>
    <w:p>
      <w:pPr>
        <w:spacing w:after="0" w:line="17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Section 2.3 Special meetings of the stockholders for any purpose or purposes may be called only by the Board of Directors, pursuant to a resolution approved by a majority of the entire Board of Directors; provided, however, that any previously scheduled special meeting of the stockholders may be postponed by resolution of the Board of Directors upon public notice given prior to the date previously scheduled for such special meeting of the stockholders. Business transacted at a special meeting shall be confined to the purposes stated in the call and notice thereof.</w:t>
      </w:r>
    </w:p>
    <w:p>
      <w:pPr>
        <w:spacing w:after="0" w:line="16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Section 2.4 Notice of each regular and special meeting of stockholders stating the date, time and place thereof, and the general nature of the business to be considered thereat, shall be given at least ten (10) days and not more than sixty (60) days before the date of the meeting to each stockholder entitled to vote thereat. Such notice shall be deemed delivered when deposited in the United States mail with postage thereon prepaid, addressed to the stockholder at his address as it appears on the stock transfer books of the Corporation.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5" w:name="page26"/>
    <w:bookmarkEnd w:id="25"/>
    <w:p>
      <w:pPr>
        <w:ind w:right="20"/>
        <w:spacing w:after="0" w:line="294" w:lineRule="auto"/>
        <w:rPr>
          <w:sz w:val="20"/>
          <w:szCs w:val="20"/>
          <w:color w:val="auto"/>
        </w:rPr>
      </w:pPr>
      <w:r>
        <w:rPr>
          <w:rFonts w:ascii="Arial" w:cs="Arial" w:eastAsia="Arial" w:hAnsi="Arial"/>
          <w:sz w:val="16"/>
          <w:szCs w:val="16"/>
          <w:color w:val="auto"/>
        </w:rPr>
        <w:t>Section 2.5 Each stockholder who is entitled to vote pursuant to the terms of the Certificate of Incorporation and these Bylaws, or who is entitled to vote pursuant to the laws of the State of Delaware, shall be entitled to vote in person or by proxy, but no proxy shall be voted after three years from its date unless such proxy provides for a longer period. All elections for directors shall be determined by a plurality of the votes of the shares present in person or represented by proxy at the meeting and entitled to vote on the election of directors. All other questions shall be decided by the affirmative vote of a majority of the shares present in person or represented by proxy at the meeting and entitled to vote on such question.</w:t>
      </w:r>
    </w:p>
    <w:p>
      <w:pPr>
        <w:spacing w:after="0" w:line="17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 complete list of the stockholders entitled to vote at any meeting of stockholders at which directors are to be elected, arranged in alphabetical order, with the address of each, and the number of shares held by each,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Board of Directors by resolution shall appoint one or more inspectors, which inspector or inspectors may include individuals who serve the Corporation in other capacities, including without limitation as officers, employees, agents of representatives of the Corporation, to act at the meeting and make a written report thereof. One or more persons may be designated as alternate inspectors to replace any inspector who fails to act. If no inspector or alternate inspector has been appointed to act or is able to act at a meeting of stockholders, the Chair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law.</w:t>
      </w:r>
    </w:p>
    <w:p>
      <w:pPr>
        <w:spacing w:after="0" w:line="17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Chair of the meeting shall fix and announce at the meeting the date and time of the opening and the closing of the polls for each matter upon which the stockholders will vote at the meeting.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26" w:name="page27"/>
    <w:bookmarkEnd w:id="26"/>
    <w:p>
      <w:pPr>
        <w:spacing w:after="0" w:line="287" w:lineRule="auto"/>
        <w:rPr>
          <w:sz w:val="20"/>
          <w:szCs w:val="20"/>
          <w:color w:val="auto"/>
        </w:rPr>
      </w:pPr>
      <w:r>
        <w:rPr>
          <w:rFonts w:ascii="Arial" w:cs="Arial" w:eastAsia="Arial" w:hAnsi="Arial"/>
          <w:sz w:val="16"/>
          <w:szCs w:val="16"/>
          <w:color w:val="auto"/>
        </w:rPr>
        <w:t>Section 2.6 Except as otherwise required by law, by the Certificate of Incorporation or by these Bylaws, the presence, in person or by proxy, of stockholders holding a majority of the voting power of the outstanding stock of the Corporation shall constitute a quorum at all meetings of the stockholders. The Chair of any regular or special meeting of the stockholders or a majority in interest of the stockholders entitled to vote thereat shall have the power to adjourn such meeting from time to time, without notice other than announcement at the meeting, whether or not there is such a quorum. No notice of the time and place of adjourned meetings need be given except as required by law; provided, however, that if such adjournment is for more than thirty (30) days, or if after such adjournment a new record date is fixed for the adjourned meeting, a notice of the adjourned meeting shall be given to each stockholder of record entitled to vote at such adjourned meeting. At any such adjourned meeting at which the requisite amount of stock entitled to vote shall be represented, any business may be transacted which might have been transacted at the meeting as originally noticed; but only those stockholders entitled to vote at the meeting as originally noticed shall be entitled to vote at any adjournment or adjournments thereof unless the Board of Directors shall have fixed a new record date for such adjournment or adjournments pursuant to Section 2.7 of these Bylaws.</w:t>
      </w:r>
    </w:p>
    <w:p>
      <w:pPr>
        <w:spacing w:after="0" w:line="177"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The stockholders present at a duly organized meeting may continue to transact business until adjournment, notwithstanding the withdrawal of enough stockholders to leave less than a quorum.</w:t>
      </w:r>
    </w:p>
    <w:p>
      <w:pPr>
        <w:spacing w:after="0" w:line="18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Section 2.7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to any change, conversion or exchange of stock or for the purpose of any other lawful action, the Board of Directors may fix, in advance, a record date, which shall not be less than ten nor more than sixty days before the date of such meeting, nor more than sixty days prior to any other action. A determination of stockholders of record entitled to notice of or to vote at a meeting of stockholders shall apply to any adjournment or adjournments of the meeting; provided, however, that the Board of Directors may fix a new record date for the adjourned meeting.</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1" w:right="319" w:bottom="1440" w:gutter="0" w:footer="0" w:header="0"/>
        </w:sectPr>
      </w:pPr>
    </w:p>
    <w:bookmarkStart w:id="27" w:name="page28"/>
    <w:bookmarkEnd w:id="27"/>
    <w:p>
      <w:pPr>
        <w:ind w:right="80"/>
        <w:spacing w:after="0" w:line="256" w:lineRule="auto"/>
        <w:rPr>
          <w:sz w:val="20"/>
          <w:szCs w:val="20"/>
          <w:color w:val="auto"/>
        </w:rPr>
      </w:pPr>
      <w:r>
        <w:rPr>
          <w:rFonts w:ascii="Arial" w:cs="Arial" w:eastAsia="Arial" w:hAnsi="Arial"/>
          <w:sz w:val="18"/>
          <w:szCs w:val="18"/>
          <w:color w:val="auto"/>
        </w:rPr>
        <w:t>Section 2.8 (A) (1) Nominations of persons for election to the Board of Directors of the Corporation and the proposal of business to be considered by the stockholders may be made at a regular meeting of stockholders (a) pursuant to the Corporation’s notice of meeting, (b) by or at the direction of the Board of Directors or (c) by any stockholder of the Corporation who was a stockholder of record at the time of giving of notice provided for in this Bylaw, who is entitled to vote at the meeting and who complied with the notice procedures set forth in this Bylaw.</w:t>
      </w:r>
    </w:p>
    <w:p>
      <w:pPr>
        <w:spacing w:after="0" w:line="197" w:lineRule="exact"/>
        <w:rPr>
          <w:sz w:val="20"/>
          <w:szCs w:val="20"/>
          <w:color w:val="auto"/>
        </w:rPr>
      </w:pPr>
    </w:p>
    <w:p>
      <w:pPr>
        <w:ind w:firstLine="8"/>
        <w:spacing w:after="0" w:line="285" w:lineRule="auto"/>
        <w:tabs>
          <w:tab w:leader="none" w:pos="293"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 regular meeting by a stockholder pursuant to clause (c) of paragraph (A) (1) of this Bylaw, the stockholder must have given timely notice thereof in writing to the Secretary of the Corporation. To be timely, a stockholder’s notice shall be delivered to the Secretary at the principal executive offices of the Corporation not less than forty-five (45) days nor more than ninety (90) days prior to the first anniversary of the date on which the Corporation first mailed its proxy materials for the preceding year’s regular meeting; provided, however, that in the event that the date of the regular meeting is advanced by more than thirty (30) days or delayed by more than sixty (60) days from the anniversary date of the preceding year’s regular meeting, notice by the stockholder to be timely must be so delivered not earlier than the 90th day prior to such rescheduled regular meeting and not later than the close of business on the later of the 60th day prior to such rescheduled regular meeting or the 10th day following the day on which public announcement of the date of such meeting is first made. Such stockholder’s notice shall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(the “Exchange Act”)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and (ii) the class and number of shares of the Corporation that are owned beneficially and of record by such stockholder and such beneficial owner.</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28" w:name="page29"/>
    <w:bookmarkEnd w:id="28"/>
    <w:p>
      <w:pPr>
        <w:ind w:left="-8" w:firstLine="8"/>
        <w:spacing w:after="0" w:line="254" w:lineRule="auto"/>
        <w:tabs>
          <w:tab w:leader="none" w:pos="2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Notwithstanding anything in paragraph (A) (2) of this Bylaw,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seventy (70) days prior to the first anniversary of the preceding year’s regular meeting,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98" w:lineRule="exact"/>
        <w:rPr>
          <w:sz w:val="20"/>
          <w:szCs w:val="20"/>
          <w:color w:val="auto"/>
        </w:rPr>
      </w:pPr>
    </w:p>
    <w:p>
      <w:pPr>
        <w:ind w:left="-8" w:right="20" w:firstLine="8"/>
        <w:spacing w:after="0" w:line="288" w:lineRule="auto"/>
        <w:tabs>
          <w:tab w:leader="none" w:pos="314"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Directors may be made at a special meeting of stockholders at which directors are to be elected pursuant to the Corporation’s notice of meeting (a) by or at the direction of the Board of Directors or (b) provided that the Board of Directors has determined that directors shall be elected at such meeting, by any stockholder of the Corporation who is a stockholder of record at the time of giving of notice provided for in this Bylaw, who shall be entitled to vote at the meeting and who complies with the notice procedures set forth in this Bylaw. In the event the Corporation calls a special meeting of stockholders for the purpose of electing one or more directors to the Board of Directors, any such stockholder may nominate a person or persons (as the case may be) for election to such position(s) as specified in the Corporation’s notice of meeting, if the stockholder’s notice required by paragraph (A) (2) at the principal executive offices of the Corporation not earlier than the 90th day prior to such special meeting and not later than the close of business on the later of the 60th day prior to such special meeting or the 10th day following the day on which public announcement is first made of the date of the special meeting and of the nominees proposed by; the Board of Directors to be elected at such meeting.</w:t>
      </w:r>
    </w:p>
    <w:p>
      <w:pPr>
        <w:spacing w:after="0" w:line="173" w:lineRule="exact"/>
        <w:rPr>
          <w:rFonts w:ascii="Arial" w:cs="Arial" w:eastAsia="Arial" w:hAnsi="Arial"/>
          <w:sz w:val="16"/>
          <w:szCs w:val="16"/>
          <w:color w:val="auto"/>
        </w:rPr>
      </w:pPr>
    </w:p>
    <w:p>
      <w:pPr>
        <w:ind w:left="-8" w:right="60" w:firstLine="8"/>
        <w:spacing w:after="0" w:line="254" w:lineRule="auto"/>
        <w:tabs>
          <w:tab w:leader="none" w:pos="314" w:val="left"/>
        </w:tabs>
        <w:numPr>
          <w:ilvl w:val="0"/>
          <w:numId w:val="33"/>
        </w:numPr>
        <w:rPr>
          <w:rFonts w:ascii="Arial" w:cs="Arial" w:eastAsia="Arial" w:hAnsi="Arial"/>
          <w:sz w:val="18"/>
          <w:szCs w:val="18"/>
          <w:color w:val="auto"/>
        </w:rPr>
      </w:pPr>
      <w:r>
        <w:rPr>
          <w:rFonts w:ascii="Arial" w:cs="Arial" w:eastAsia="Arial" w:hAnsi="Arial"/>
          <w:sz w:val="18"/>
          <w:szCs w:val="18"/>
          <w:color w:val="auto"/>
        </w:rPr>
        <w:t>(1) Only such persons who are nominated in accordance with the procedures set forth in this Bylaw shall be eligible to serve as directors and only such business shall be conducted at a regular meeting of stockholders as shall have been brought before the meeting in accordance with the procedures set forth in this Bylaw and, if any proposed nomination or business is not in compliance with this Bylaw, to declare that such defective proposal shall be disregarded. The Chair of the meeting shall have the power and duty to determine whether a nomination or any business proposed to be brought before the meeting was made in accordance with the procedures set forth in this Bylaw and, if any proposed nomination or business is not in compliance with this Bylaw, to declare that such defective proposal shall be disregarded.</w:t>
      </w:r>
    </w:p>
    <w:p>
      <w:pPr>
        <w:spacing w:after="0" w:line="19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41" w:right="279" w:bottom="1440" w:gutter="0" w:footer="0" w:header="0"/>
        </w:sectPr>
      </w:pPr>
    </w:p>
    <w:bookmarkStart w:id="29" w:name="page30"/>
    <w:bookmarkEnd w:id="29"/>
    <w:p>
      <w:pPr>
        <w:ind w:left="-8" w:firstLine="8"/>
        <w:spacing w:after="0" w:line="306" w:lineRule="auto"/>
        <w:tabs>
          <w:tab w:leader="none" w:pos="285"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stockholders to request inclusion of proposals in the Corporation’s proxy statement pursuant to Rule 14a-8 under the Exchange Act.</w:t>
      </w:r>
    </w:p>
    <w:p>
      <w:pPr>
        <w:spacing w:after="0" w:line="160" w:lineRule="exact"/>
        <w:rPr>
          <w:rFonts w:ascii="Arial" w:cs="Arial" w:eastAsia="Arial" w:hAnsi="Arial"/>
          <w:sz w:val="16"/>
          <w:szCs w:val="16"/>
          <w:color w:val="auto"/>
        </w:rPr>
      </w:pPr>
    </w:p>
    <w:p>
      <w:pPr>
        <w:ind w:left="272" w:right="120" w:hanging="272"/>
        <w:spacing w:after="0" w:line="259" w:lineRule="auto"/>
        <w:tabs>
          <w:tab w:leader="none" w:pos="294"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w:t>
      </w:r>
    </w:p>
    <w:p>
      <w:pPr>
        <w:spacing w:after="0" w:line="1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41"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1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Section 3.1 The business and affairs of the Corporation shall be managed under the direction of a Board of Directors which, subject to any right of the holders of any series of Preferred Stock then outstanding to elect additional directors under specified circumstances, shall consist of not less than eight (8) nor more than eleven (11) persons. The exact number of directors within the minimum and maximum limitations specified in the preceding sentence shall be fixed from time to time by the Board pursuant to a resolution adopted by a majority of its members. The directors shall be divided into three classes, as nearly equal in number as possible, with the term of office of Class A to expire at the 1984 Annual Meeting of Stockholders, the term of office of Class B to expire at the 1985 Annual Meeting of Stockholders and the term of office of Class C to expire at the 1986 Annual Meeting of Stockholders. At each Annual Meeting of Stockholders following such initial classification and election, directors elected to succeed those directors whose terms expire shall be elected for a term of office to expire at the third succeeding Annual Meeting of Stockholders after their election.</w:t>
      </w:r>
    </w:p>
    <w:p>
      <w:pPr>
        <w:spacing w:after="0" w:line="17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Section 3.2 Subject to the rights of the holders of any series of Preferred Stock then outstanding, newly created directorships resulting from any increase in the authorized number of directors or any vacancies in the Board resulting from death, resignation, retirement, disqualification, removal from office or other cause shall be filled only by majority vote of the directors then in office, and directors so chosen shall hold office for a term expiring at the Annual Meeting of Stockholders at which the term of the Class to which they have been elected expires. No decrease in the number of directors constituting the Board shall shorten the term of any incumbent director. Subject to the rights of the holders of any series of Preferred Stock then outstanding, any director, or the entire Board, may be removed from office at any time, but only for cause and only by the affirmative vote of the holders of at least 80% of the voting power of the then outstanding Common Stock of the Company.</w:t>
      </w:r>
    </w:p>
    <w:p>
      <w:pPr>
        <w:spacing w:after="0" w:line="20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Section 3.3 Regular meetings of the Board shall be held at bi-monthly intervals during each fiscal year, or on such alternate intervals or dates as the Board may fix from time to time in its discretion, and at such time and place as the Chairman of the Board of Directors or, in his absence, the President shall determine, preferably at the principal executive office of the Corporation during the third week of the month. At least three (3) days’ notice thereof shall be given by the Secretary to each director, either personally or by telephone, mail, electronic mail or facsimile transmission.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ind w:right="140"/>
        <w:spacing w:after="0" w:line="332" w:lineRule="auto"/>
        <w:rPr>
          <w:sz w:val="20"/>
          <w:szCs w:val="20"/>
          <w:color w:val="auto"/>
        </w:rPr>
      </w:pPr>
      <w:r>
        <w:rPr>
          <w:rFonts w:ascii="Arial" w:cs="Arial" w:eastAsia="Arial" w:hAnsi="Arial"/>
          <w:sz w:val="16"/>
          <w:szCs w:val="16"/>
          <w:color w:val="auto"/>
        </w:rPr>
        <w:t>Section 3.4 Special meetings of the Board may be called by the Chief Executive Officer or by any two directors, and not less than twenty-four (24) hours’ notice thereof shall be given by the Secretary to any director, either personally or by telephone, mail, telegram or facsimile transmission.</w:t>
      </w:r>
    </w:p>
    <w:p>
      <w:pPr>
        <w:spacing w:after="0" w:line="1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Section 3.5 Any action taken by the Board or any committee thereof at any meeting where all members are present shall be valid whether or not notice of such meeting was in fact given, except as provided by law. Any action which might be taken at a meeting of the Board, or at a meeting of any committee thereof as the case may be, may be taken without meeting as provided by law.</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Section 3.6 At all meetings of the Board a majority of the directors shall be necessary and sufficient to constitute a quorum for the transaction of business, but if less than a quorum are present, those present may adjourn the meeting from time to time until a quorum shall be present.</w:t>
      </w:r>
    </w:p>
    <w:p>
      <w:pPr>
        <w:spacing w:after="0" w:line="18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Section 3.7 The Board may unanimously elect from among the directors an Executive Committee, a Compensation and Human Resources Committee, an Audit Committee, and a Nominating and Governance Committee, and such other committees as the Board may from time to time determine, to serve at the pleasure of the Board. The members of the Board of Directors and of said Committees shall have the role of monitoring the conduct of the business and affairs of the corporation on behalf of all of the constituencies of the Corporation, including in particular, those who invest in the stock of the Corporation, in an environment of loyal but independent oversight. Each Committee shall maintain independent minutes of action, and with the exception of the Audit Committee, and resolutions of the Compensation and Human Resources Committee relating to matters governed by or within the scope of Section 16 of the Securities and Exchange Act of 1934 or Section 162(m) of the Internal Revenue Code of 1986, or its successor provision, such minutes shall be subject to approval by the Board.</w:t>
      </w:r>
    </w:p>
    <w:p>
      <w:pPr>
        <w:spacing w:after="0" w:line="1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Section 3.8 The Executive Committee shall consist of a minimum of three directors of the Corporation, including the Chairman of the Board of Directors, and one of the members shall be designated by the Board of Directors as its Chair. The Chair of the Executive Committee shall preside at all meetings of the Executive Committee and shall perform such other duties as may be prescribed by the Board of Directors. The underlying purpose of the Executive Committee is to exercise all of the powers and authority of the Board during intervals between meetings of the Board, including the power to declare dividends on the Corporation’s common stock. The Committee shall have discretionary authority to undertake additional activities within the scope of its primary functions.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2" w:name="page33"/>
    <w:bookmarkEnd w:id="32"/>
    <w:p>
      <w:pPr>
        <w:ind w:right="20"/>
        <w:spacing w:after="0" w:line="290" w:lineRule="auto"/>
        <w:rPr>
          <w:sz w:val="20"/>
          <w:szCs w:val="20"/>
          <w:color w:val="auto"/>
        </w:rPr>
      </w:pPr>
      <w:r>
        <w:rPr>
          <w:rFonts w:ascii="Arial" w:cs="Arial" w:eastAsia="Arial" w:hAnsi="Arial"/>
          <w:sz w:val="16"/>
          <w:szCs w:val="16"/>
          <w:color w:val="auto"/>
        </w:rPr>
        <w:t>Section 3.9 The Audit Committee shall consist of a minimum of three directors of the Corporation, none of whom shall be officers or employees of the Corporation, and one of the members shall be designated by the Board of Directors as its Chair. The Chair of the Audit Committee shall preside at all meetings of the Audit Committee and shall perform such other duties as may be prescribed by the Board of Directors. The purpose of the Audit Committee is to assist the Board of Directors in fulfilling the Board’s responsibility to oversee the Corporation’s financial reports and accounting and reporting practices and to perform its duties and responsibilities as outlined in the Audit Committee Charter. The manager of the Corporation’s internal auditing function, when operative, shall have an indirect reporting relationship to the Audit Committee, and shall perform such duties as may be prescribed by the Board of Directors or by the Audit Committee. The Committee shall have discretionary authority to undertake additional activities within the scope of its primary functions.</w:t>
      </w:r>
    </w:p>
    <w:p>
      <w:pPr>
        <w:spacing w:after="0" w:line="17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Section 3.10 The Compensation and Human Resources Committee shall consist of a minimum of three directors of the Corporation, none of whom shall be officers or employees of the Corporation, and one of the members shall be designated by the Board of Directors as its Chair. The Chair of the Compensation and Human Resources Committee shall preside at all meetings of the Compensation and Human Resources Committee and shall perform such other duties as may be prescribed by the Board of Directors. The purposes of the Compensation and Human Resources Committee include: to administer all employee benefit plans heretofore or hereafter established including the granting of stock options and incentive awards authorized under employee benefit plans governed by or within the scope of Section 16 of the Securities and Exchange Act of 1934 or Section 162(m) of the Internal Revenue Code of 1986, or its successor provision; to study and analyze specific and general matters of management compensation; to periodically review management compensation policies and practices; to make recommendations to the Board respecting incentive compensation awards; and to consider and approve officer salary adjustments of elected officers of the Corporation at the level of Vice President and above.</w:t>
      </w:r>
    </w:p>
    <w:p>
      <w:pPr>
        <w:spacing w:after="0" w:line="17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Section 3.11 The Nominating and Governance Committee shall consist of a minimum of three directors of the Corporation who do not have any direct or indirect material economic or personal association with the Corporation, or with any of its affiliates or the employees thereof. One of the members of the Committee shall be designated as its Chair by the Board of Directors. The Chair of the Nominating and Governance Committee shall preside at all meetings of the Nominating and Governance Committee and shall perform such other duties as may be prescribed by the Board of Directors. The primary functions of the Nominating and Governance Committee are to review with the Chief Executive Officer of the Corporation an appropriate size and makeup for the Board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33" w:name="page34"/>
    <w:bookmarkEnd w:id="33"/>
    <w:p>
      <w:pPr>
        <w:spacing w:after="0" w:line="288" w:lineRule="auto"/>
        <w:rPr>
          <w:sz w:val="20"/>
          <w:szCs w:val="20"/>
          <w:color w:val="auto"/>
        </w:rPr>
      </w:pPr>
      <w:r>
        <w:rPr>
          <w:rFonts w:ascii="Arial" w:cs="Arial" w:eastAsia="Arial" w:hAnsi="Arial"/>
          <w:sz w:val="16"/>
          <w:szCs w:val="16"/>
          <w:color w:val="auto"/>
        </w:rPr>
        <w:t>Directors, including individuals having such background and business experience as are consistent with and compatible to the long-range interests and future direction of the Corporation; to consider the qualifications of persons identified as prospective Directors to either fill vacancies on the Board or enlarge its membership; to conduct research to identify and recommend nomination of suitable candidates who are willing to serve as members of the Board of Directors and who will make a substantial contribution to the Corporation based upon a careful review of their experience, background, interests, ability and availability to meet time commitments for board and committee responsibilities; and to determine whether any prospective or seated member of the Board has any economic or familial relationship with the Corporation which may negate his/her suitability for such service and to name a lead director to oversee the non-management executive sessions of the Board and to serve as an ongoing liaison between the directors and the employees. The Committee shall also monitor current members of the Board in light of the same guidelines used to select candidates, shall direct the activities of the Board and management in matters of corporate governance, and shall have general discretionary authority to undertake additional activities within the scope of its primary functions.</w:t>
      </w:r>
    </w:p>
    <w:p>
      <w:pPr>
        <w:spacing w:after="0" w:line="17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Section 3.12 Meetings of each committee shall be held from time to time as the Chair of such committee, the Chairman of the Board of Directors, or any two members of such committee shall determine, preferably at the principal executive office of the Corporation. All members of each committee shall be given written notice of any meeting by the Secretary, such notice to be mailed to each member at least three (3) days prior to the date thereof; provided, however, such written notice shall not be required as to any member who shall receive notice in person at least twenty-four (24) hours prior to the time of the meeting. Any member may in writing, before or after any meeting, waive notice thereof, and any member by his attendance at, and participation in, the action taken at any meeting shall be deemed to have waived notice thereof. A majority of the members of a committee shall constitute a quorum. Any action which might be taken at a meeting of a committee may be taken without meeting if evidenced by a resolution signed by all members. The Chair of each Board committee shall preside at all meetings of such committee and shall perform such other duties as may be prescribed by the Board of Directors or the Chairman thereof.</w:t>
      </w:r>
    </w:p>
    <w:p>
      <w:pPr>
        <w:spacing w:after="0" w:line="17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Section 3.13 All action taken by the Board committees shall be reported to the Board of Directors at its meeting next succeeding such action and shall be subject to revision by the Board of Directors provided that no acts or rights of third parties shall be prejudiced thereby. All such action shall also be recorded in the minute books of the Corporation in the same manner in which action taken by the Board of Directors is recorded. The affirmative vote of the majority of all members of each committee shall be necessary to its adoption of any resolution.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34" w:name="page35"/>
    <w:bookmarkEnd w:id="34"/>
    <w:p>
      <w:pPr>
        <w:jc w:val="center"/>
        <w:ind w:right="-7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Officers</w:t>
      </w: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Section 4.1 The officers of this Corporation shall be elected by the Board from time to time as it deems appropriate, and shall include a Chairman of the Board of Directors, who shall serve as Chief Executive Officer, to be elected by the Board of Directors from among its members, a president, and one or more vice presidents one of whom shall perform the duties of the Chief Financial Officer, a secretary, a treasurer, and such other officers, including one or more group vice presidents or one or more executive vice presidents, and agents as may from time to time be elected by the Board of Directors. Any two offices except those of the President and Vice President may be held by the same person. All officers shall hold office at the pleasure of the Board of Directors and be subject to dismissal by it, with or without cause.</w:t>
      </w:r>
    </w:p>
    <w:p>
      <w:pPr>
        <w:spacing w:after="0" w:line="198"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Section 4.2 The salary and other compensation of the Chairman of the Board, the President and all elected Vice Presidents shall be fixed by the Board of Directors. If any vacancy shall occur among the elected officers, it shall be filled by the Board.</w:t>
      </w:r>
    </w:p>
    <w:p>
      <w:pPr>
        <w:spacing w:after="0" w:line="18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Section 4.3 The Chairman of the Board of Directors, or in his absence the Chair of the Compensation and Human Resources Committee, shall preside at all meetings of the Board of Directors. The Chairman of the Board has authority to appoint certain officers of the Company, including vice presidents and certain assistant officers whose responsibilities do not warrant election by the Board of Directors, and shall also perform such other duties as may be prescribed by the Board of Directors.</w:t>
      </w:r>
    </w:p>
    <w:p>
      <w:pPr>
        <w:spacing w:after="0" w:line="19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Section 4.4 The President shall be Chief Operating Officer of the Corporation and, as such, shall carry out the plans for the Corporation as approved by the Chairman of the Board and the Board of Directors. In the absence of the Chairman of the Board of Directors, he shall preside at all meetings of the stockholders and otherwise perform the Chief Executive Officer’s duties as prescribed by the Board of Directors.</w:t>
      </w:r>
    </w:p>
    <w:p>
      <w:pPr>
        <w:spacing w:after="0" w:line="161"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Section 4.5 Each Vice President shall perform such duties as may be prescribed by the Board of Directors. The Vice President of Finance shall be the Chief Financial Officer. In the absence or disability of the Chairman of the Board, the President shall succeed to his powers and duties, and in the absence of the President, the Chief Financial Officer shall first succeed to his powers and duties, then the Executive or Group Vice Presidents in order of seniority and in the event all are unable to serve for any reason, the Vice Presidents shall succeed to their power and duties in the order in which elected.</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35" w:name="page36"/>
    <w:bookmarkEnd w:id="35"/>
    <w:p>
      <w:pPr>
        <w:ind w:right="20"/>
        <w:spacing w:after="0" w:line="256" w:lineRule="auto"/>
        <w:rPr>
          <w:sz w:val="20"/>
          <w:szCs w:val="20"/>
          <w:color w:val="auto"/>
        </w:rPr>
      </w:pPr>
      <w:r>
        <w:rPr>
          <w:rFonts w:ascii="Arial" w:cs="Arial" w:eastAsia="Arial" w:hAnsi="Arial"/>
          <w:sz w:val="18"/>
          <w:szCs w:val="18"/>
          <w:color w:val="auto"/>
        </w:rPr>
        <w:t>Section 4.6 The Secretary shall attend all meetings of the Board of Directors, Executive Committee, and of the stockholders, and record all votes and keep minutes of all proceedings. He shall give, or cause to be given, required notices of meetings of the Board of Directors, Executive Committee and of the stockholders. He shall keep in safe custody the seal of the Corporation and, when authorized by the Board, affix the same to any instrument requiring it, and shall perform such other duties as may be prescribed by the Board of Directors.</w:t>
      </w:r>
    </w:p>
    <w:p>
      <w:pPr>
        <w:spacing w:after="0" w:line="19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Section 4.7 The Treasurer shall maintain necessary relationships with banks and other financial institutions and provide for adequate lines of credit; shall plan for and maintain adequate funds in appropriate working and depository accounts to meeting outstanding and planned commitments; and shall be responsible for safe custody and control of all funds and securities of the Corporation. He shall establish policies and procedures in relation to, and supervise management of, the extension of credit, and the collection of receivables. He shall maintain appropriate bond and dividend records, provide for proper signature or endorsement on all financial documents of the Corporation, and shall perform such other duties as may be prescribed by the President.</w:t>
      </w:r>
    </w:p>
    <w:p>
      <w:pPr>
        <w:spacing w:after="0" w:line="17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Section 4.8 The assistant to any officer shall, in the absence or disability of that officer, perform his duties and shall perform such other duties as may be prescribed by the Board of Directors.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941" w:right="279" w:bottom="1440" w:gutter="0" w:footer="0" w:header="0"/>
        </w:sectPr>
      </w:pPr>
    </w:p>
    <w:bookmarkStart w:id="36" w:name="page37"/>
    <w:bookmarkEnd w:id="36"/>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757555</wp:posOffset>
            </wp:positionV>
            <wp:extent cx="1191895" cy="7886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191895" cy="78867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8111 Lyndale Avenue South, Bloomington, Minnesota 55420-1196</w:t>
      </w:r>
    </w:p>
    <w:p>
      <w:pPr>
        <w:spacing w:after="0" w:line="32" w:lineRule="exact"/>
        <w:rPr>
          <w:sz w:val="20"/>
          <w:szCs w:val="20"/>
          <w:color w:val="auto"/>
        </w:rPr>
      </w:pPr>
    </w:p>
    <w:p>
      <w:pPr>
        <w:ind w:left="1980"/>
        <w:spacing w:after="0"/>
        <w:tabs>
          <w:tab w:leader="none" w:pos="5600" w:val="left"/>
        </w:tabs>
        <w:rPr>
          <w:sz w:val="20"/>
          <w:szCs w:val="20"/>
          <w:color w:val="auto"/>
        </w:rPr>
      </w:pPr>
      <w:r>
        <w:rPr>
          <w:rFonts w:ascii="Arial" w:cs="Arial" w:eastAsia="Arial" w:hAnsi="Arial"/>
          <w:sz w:val="18"/>
          <w:szCs w:val="18"/>
          <w:color w:val="auto"/>
        </w:rPr>
        <w:t>• 952/888-8801</w:t>
      </w:r>
      <w:r>
        <w:rPr>
          <w:sz w:val="20"/>
          <w:szCs w:val="20"/>
          <w:color w:val="auto"/>
        </w:rPr>
        <w:tab/>
      </w:r>
      <w:r>
        <w:rPr>
          <w:rFonts w:ascii="Arial" w:cs="Arial" w:eastAsia="Arial" w:hAnsi="Arial"/>
          <w:sz w:val="16"/>
          <w:szCs w:val="16"/>
          <w:color w:val="auto"/>
        </w:rPr>
        <w:t>• FAX 952/887-8258</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b w:val="1"/>
          <w:bCs w:val="1"/>
          <w:color w:val="auto"/>
        </w:rPr>
        <w:t xml:space="preserve">Investor Relations </w:t>
      </w:r>
      <w:r>
        <w:rPr>
          <w:rFonts w:ascii="Arial" w:cs="Arial" w:eastAsia="Arial" w:hAnsi="Arial"/>
          <w:sz w:val="16"/>
          <w:szCs w:val="16"/>
          <w:color w:val="auto"/>
        </w:rPr>
        <w:t>Stephen P. Wolfe Vice President, CFO (952) 887-8076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Steve Keating</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Director,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(952) 887-8526</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Connie Hawkinson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 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(952) 887-8984, pr@toro.com</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www.thetorocompany.com</w:t>
      </w:r>
    </w:p>
    <w:p>
      <w:pPr>
        <w:spacing w:after="0" w:line="667" w:lineRule="exact"/>
        <w:rPr>
          <w:sz w:val="20"/>
          <w:szCs w:val="20"/>
          <w:color w:val="auto"/>
        </w:rPr>
      </w:pPr>
    </w:p>
    <w:p>
      <w:pPr>
        <w:sectPr>
          <w:pgSz w:w="11900" w:h="16838" w:orient="portrait"/>
          <w:cols w:equalWidth="0" w:num="4">
            <w:col w:w="1880" w:space="720"/>
            <w:col w:w="2840" w:space="720"/>
            <w:col w:w="2640" w:space="720"/>
            <w:col w:w="1900"/>
          </w:cols>
          <w:pgMar w:left="240" w:top="144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TORO SECOND QUARTER NET EARNINGS PER SHARE UP 10% TO $1.61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Growth and Margin Improvement Benefit Second Quarter Performance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LIVE CONFERENCE CALL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28, 2003 10 a.m. CDT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www.thetorocompany.com/invest</w:t>
      </w:r>
    </w:p>
    <w:p>
      <w:pPr>
        <w:spacing w:after="0" w:line="21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BLOOMINGTON, Minn. (May 28, 2003) – The Toro Company (NYSE: TTC) today reported net earnings of $42.0 million, or $1.61 per diluted share, on net sales of $495.8 million for its fiscal 2003 second quarter ended May 2, 2003.</w:t>
      </w:r>
    </w:p>
    <w:p>
      <w:pPr>
        <w:spacing w:after="0" w:line="186" w:lineRule="exact"/>
        <w:rPr>
          <w:sz w:val="20"/>
          <w:szCs w:val="20"/>
          <w:color w:val="auto"/>
        </w:rPr>
      </w:pPr>
    </w:p>
    <w:p>
      <w:pPr>
        <w:jc w:val="both"/>
        <w:ind w:right="240" w:firstLine="439"/>
        <w:spacing w:after="0" w:line="259" w:lineRule="auto"/>
        <w:rPr>
          <w:sz w:val="20"/>
          <w:szCs w:val="20"/>
          <w:color w:val="auto"/>
        </w:rPr>
      </w:pPr>
      <w:r>
        <w:rPr>
          <w:rFonts w:ascii="Arial" w:cs="Arial" w:eastAsia="Arial" w:hAnsi="Arial"/>
          <w:sz w:val="18"/>
          <w:szCs w:val="18"/>
          <w:color w:val="auto"/>
        </w:rPr>
        <w:t>In the comparable fiscal 2002 period, the company reported net earnings of $38.1 million, or $1.46 per diluted share, on net sales of $470.3 million. The results for the fiscal 2002 period included a tax benefit of $1.8 million, or $0.07 per diluted share. Excluding this tax benefit, the company’s fiscal 2002 second quarter adjusted net earnings totaled $36.4 million, or $1.39 per adjusted diluted share.</w:t>
      </w:r>
    </w:p>
    <w:p>
      <w:pPr>
        <w:spacing w:after="0" w:line="194"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color w:val="auto"/>
        </w:rPr>
        <w:t>For the six months ended May 2, 2003, Toro reported net earnings of $49.0 million, or $1.89 per diluted share, on net sales of $791.8 million. The first half results include a gain of $0.08 per diluted share resulting from a legal settlement recorded in the fiscal 2003 first quarter. Excluding this gain and restructuring income, the company’s adjusted net earnings for the first six months of fiscal 2003 totaled $46.7 million or $1.80 per adjusted diluted share, up 22% from adjusted net earnings per diluted share for the comparable fiscal 2002 period.</w:t>
      </w:r>
    </w:p>
    <w:p>
      <w:pPr>
        <w:spacing w:after="0" w:line="197" w:lineRule="exact"/>
        <w:rPr>
          <w:sz w:val="20"/>
          <w:szCs w:val="20"/>
          <w:color w:val="auto"/>
        </w:rPr>
      </w:pPr>
    </w:p>
    <w:p>
      <w:pPr>
        <w:ind w:right="60" w:firstLine="439"/>
        <w:spacing w:after="0" w:line="306" w:lineRule="auto"/>
        <w:rPr>
          <w:sz w:val="20"/>
          <w:szCs w:val="20"/>
          <w:color w:val="auto"/>
        </w:rPr>
      </w:pPr>
      <w:r>
        <w:rPr>
          <w:rFonts w:ascii="Arial" w:cs="Arial" w:eastAsia="Arial" w:hAnsi="Arial"/>
          <w:sz w:val="16"/>
          <w:szCs w:val="16"/>
          <w:color w:val="auto"/>
        </w:rPr>
        <w:t>Net earnings for the first six months of fiscal 2002 totaled $8.4 million, or $0.33 per diluted share, on net sales of $748.2 million. Adjusted net earnings per diluted share for the first six months of fiscal 2002 totaled $1.47 per adjusted diluted share and excluded the effects of three items: charges for restructuring and other expenses totaling $6.7 million, or $0.26 per diluted share; a net charge of $24.6 million, or $0.95 per diluted share,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color w:val="auto"/>
        </w:rPr>
        <w:t>2—Toro Reports Second Quarter Results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reflecting the cumulative effects of a change in accounting principle; and a foreign sales corporation tax benefit of $1.8 million, or $0.07 per diluted share.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Earnings per share for the fiscal 2002 periods have been adjusted to reflect the effects of a two-for-one split of the company’s Common Stock effective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April 1, 2003. To highlight comparability factors between periods the following tables are provided:</w:t>
      </w:r>
    </w:p>
    <w:p>
      <w:pPr>
        <w:spacing w:after="0" w:line="200" w:lineRule="exact"/>
        <w:rPr>
          <w:sz w:val="20"/>
          <w:szCs w:val="20"/>
          <w:color w:val="auto"/>
        </w:rPr>
      </w:pPr>
    </w:p>
    <w:p>
      <w:pPr>
        <w:spacing w:after="0" w:line="258" w:lineRule="exact"/>
        <w:rPr>
          <w:sz w:val="20"/>
          <w:szCs w:val="20"/>
          <w:color w:val="auto"/>
        </w:rPr>
      </w:pPr>
    </w:p>
    <w:tbl>
      <w:tblPr>
        <w:tblLayout w:type="fixed"/>
        <w:tblInd w:w="2180" w:type="dxa"/>
        <w:tblCellMar>
          <w:top w:w="0" w:type="dxa"/>
          <w:left w:w="0" w:type="dxa"/>
          <w:bottom w:w="0" w:type="dxa"/>
          <w:right w:w="0" w:type="dxa"/>
        </w:tblCellMar>
      </w:tblPr>
      <w:tr>
        <w:trPr>
          <w:trHeight w:val="174"/>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2</w:t>
            </w:r>
            <w:r>
              <w:rPr>
                <w:rFonts w:ascii="Arial" w:cs="Arial" w:eastAsia="Arial" w:hAnsi="Arial"/>
                <w:sz w:val="22"/>
                <w:szCs w:val="22"/>
                <w:b w:val="1"/>
                <w:bCs w:val="1"/>
                <w:color w:val="auto"/>
                <w:vertAlign w:val="superscript"/>
              </w:rPr>
              <w:t>nd</w:t>
            </w:r>
            <w:r>
              <w:rPr>
                <w:rFonts w:ascii="Arial" w:cs="Arial" w:eastAsia="Arial" w:hAnsi="Arial"/>
                <w:sz w:val="14"/>
                <w:szCs w:val="14"/>
                <w:b w:val="1"/>
                <w:bCs w:val="1"/>
                <w:color w:val="auto"/>
              </w:rPr>
              <w:t xml:space="preserve"> Quarter</w:t>
            </w:r>
          </w:p>
        </w:tc>
        <w:tc>
          <w:tcPr>
            <w:tcW w:w="3260" w:type="dxa"/>
            <w:vAlign w:val="bottom"/>
          </w:tcPr>
          <w:p>
            <w:pPr>
              <w:jc w:val="center"/>
              <w:ind w:left="1832"/>
              <w:spacing w:after="0"/>
              <w:rPr>
                <w:sz w:val="20"/>
                <w:szCs w:val="20"/>
                <w:color w:val="auto"/>
              </w:rPr>
            </w:pPr>
            <w:r>
              <w:rPr>
                <w:rFonts w:ascii="Arial" w:cs="Arial" w:eastAsia="Arial" w:hAnsi="Arial"/>
                <w:sz w:val="14"/>
                <w:szCs w:val="14"/>
                <w:b w:val="1"/>
                <w:bCs w:val="1"/>
                <w:color w:val="auto"/>
                <w:w w:val="89"/>
              </w:rPr>
              <w:t>Qtr. Ended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Qtr. Ended*</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980" w:type="dxa"/>
            <w:vAlign w:val="bottom"/>
            <w:vMerge w:val="continue"/>
          </w:tcPr>
          <w:p>
            <w:pPr>
              <w:spacing w:after="0"/>
              <w:rPr>
                <w:sz w:val="22"/>
                <w:szCs w:val="22"/>
                <w:color w:val="auto"/>
              </w:rPr>
            </w:pPr>
          </w:p>
        </w:tc>
        <w:tc>
          <w:tcPr>
            <w:tcW w:w="3260" w:type="dxa"/>
            <w:vAlign w:val="bottom"/>
          </w:tcPr>
          <w:p>
            <w:pPr>
              <w:jc w:val="right"/>
              <w:ind w:right="452"/>
              <w:spacing w:after="0"/>
              <w:rPr>
                <w:sz w:val="20"/>
                <w:szCs w:val="20"/>
                <w:color w:val="auto"/>
              </w:rPr>
            </w:pPr>
            <w:r>
              <w:rPr>
                <w:rFonts w:ascii="Arial" w:cs="Arial" w:eastAsia="Arial" w:hAnsi="Arial"/>
                <w:sz w:val="14"/>
                <w:szCs w:val="14"/>
                <w:b w:val="1"/>
                <w:bCs w:val="1"/>
                <w:color w:val="auto"/>
              </w:rPr>
              <w:t>5/2/03</w:t>
            </w:r>
          </w:p>
        </w:tc>
        <w:tc>
          <w:tcPr>
            <w:tcW w:w="1480" w:type="dxa"/>
            <w:vAlign w:val="bottom"/>
          </w:tcPr>
          <w:p>
            <w:pPr>
              <w:jc w:val="right"/>
              <w:ind w:right="512"/>
              <w:spacing w:after="0"/>
              <w:rPr>
                <w:sz w:val="20"/>
                <w:szCs w:val="20"/>
                <w:color w:val="auto"/>
              </w:rPr>
            </w:pPr>
            <w:r>
              <w:rPr>
                <w:rFonts w:ascii="Arial" w:cs="Arial" w:eastAsia="Arial" w:hAnsi="Arial"/>
                <w:sz w:val="14"/>
                <w:szCs w:val="14"/>
                <w:b w:val="1"/>
                <w:bCs w:val="1"/>
                <w:color w:val="auto"/>
              </w:rPr>
              <w:t>5/3/02</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4445</wp:posOffset>
            </wp:positionV>
            <wp:extent cx="22726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72665"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4445</wp:posOffset>
            </wp:positionV>
            <wp:extent cx="20580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0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Reported diluted earnings per share</w:t>
            </w:r>
          </w:p>
        </w:tc>
        <w:tc>
          <w:tcPr>
            <w:tcW w:w="21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$ 1.46</w:t>
            </w:r>
          </w:p>
        </w:tc>
        <w:tc>
          <w:tcPr>
            <w:tcW w:w="8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Add (subtract):</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Foreign sales corporation tax benefit</w:t>
            </w:r>
          </w:p>
        </w:tc>
        <w:tc>
          <w:tcPr>
            <w:tcW w:w="17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00" w:type="dxa"/>
            <w:vAlign w:val="bottom"/>
            <w:gridSpan w:val="4"/>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(0.07)</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80" w:type="dxa"/>
            <w:vAlign w:val="bottom"/>
            <w:gridSpan w:val="2"/>
          </w:tcPr>
          <w:p>
            <w:pPr>
              <w:spacing w:after="0"/>
              <w:rPr>
                <w:sz w:val="9"/>
                <w:szCs w:val="9"/>
                <w:color w:val="auto"/>
              </w:rPr>
            </w:pPr>
          </w:p>
        </w:tc>
        <w:tc>
          <w:tcPr>
            <w:tcW w:w="1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80" w:type="dxa"/>
            <w:vAlign w:val="bottom"/>
            <w:gridSpan w:val="2"/>
          </w:tcPr>
          <w:p>
            <w:pPr>
              <w:spacing w:after="0"/>
              <w:rPr>
                <w:sz w:val="20"/>
                <w:szCs w:val="20"/>
                <w:color w:val="auto"/>
              </w:rPr>
            </w:pPr>
            <w:r>
              <w:rPr>
                <w:rFonts w:ascii="Arial" w:cs="Arial" w:eastAsia="Arial" w:hAnsi="Arial"/>
                <w:sz w:val="18"/>
                <w:szCs w:val="18"/>
                <w:color w:val="auto"/>
              </w:rPr>
              <w:t>Adjusted diluted earnings per share</w:t>
            </w:r>
          </w:p>
        </w:tc>
        <w:tc>
          <w:tcPr>
            <w:tcW w:w="2160" w:type="dxa"/>
            <w:vAlign w:val="bottom"/>
            <w:gridSpan w:val="4"/>
          </w:tcPr>
          <w:p>
            <w:pPr>
              <w:jc w:val="right"/>
              <w:ind w:right="20"/>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$ 1.39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4"/>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4"/>
              </w:rPr>
              <w:t>Qtr. Ended</w:t>
            </w:r>
          </w:p>
        </w:tc>
        <w:tc>
          <w:tcPr>
            <w:tcW w:w="260" w:type="dxa"/>
            <w:vAlign w:val="bottom"/>
          </w:tcPr>
          <w:p>
            <w:pPr>
              <w:spacing w:after="0"/>
              <w:rPr>
                <w:sz w:val="24"/>
                <w:szCs w:val="24"/>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Qtr. Ended*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ind w:left="1620"/>
              <w:spacing w:after="0"/>
              <w:rPr>
                <w:sz w:val="20"/>
                <w:szCs w:val="20"/>
                <w:color w:val="auto"/>
              </w:rPr>
            </w:pPr>
            <w:r>
              <w:rPr>
                <w:rFonts w:ascii="Arial" w:cs="Arial" w:eastAsia="Arial" w:hAnsi="Arial"/>
                <w:sz w:val="14"/>
                <w:szCs w:val="14"/>
                <w:b w:val="1"/>
                <w:bCs w:val="1"/>
                <w:color w:val="auto"/>
              </w:rPr>
              <w:t>Year-to-Date Six Months</w:t>
            </w:r>
          </w:p>
        </w:tc>
        <w:tc>
          <w:tcPr>
            <w:tcW w:w="27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5/2/03</w:t>
            </w:r>
          </w:p>
        </w:tc>
        <w:tc>
          <w:tcPr>
            <w:tcW w:w="13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5/3/02</w:t>
            </w:r>
          </w:p>
        </w:tc>
        <w:tc>
          <w:tcPr>
            <w:tcW w:w="6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Borders>
              <w:bottom w:val="single" w:sz="8" w:color="808080"/>
            </w:tcBorders>
          </w:tcPr>
          <w:p>
            <w:pPr>
              <w:spacing w:after="0"/>
              <w:rPr>
                <w:sz w:val="8"/>
                <w:szCs w:val="8"/>
                <w:color w:val="auto"/>
              </w:rPr>
            </w:pPr>
          </w:p>
        </w:tc>
        <w:tc>
          <w:tcPr>
            <w:tcW w:w="1700" w:type="dxa"/>
            <w:vAlign w:val="bottom"/>
          </w:tcPr>
          <w:p>
            <w:pPr>
              <w:spacing w:after="0"/>
              <w:rPr>
                <w:sz w:val="8"/>
                <w:szCs w:val="8"/>
                <w:color w:val="auto"/>
              </w:rPr>
            </w:pPr>
          </w:p>
        </w:tc>
        <w:tc>
          <w:tcPr>
            <w:tcW w:w="300" w:type="dxa"/>
            <w:vAlign w:val="bottom"/>
            <w:tcBorders>
              <w:bottom w:val="single" w:sz="8" w:color="808080"/>
            </w:tcBorders>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Reported diluted earnings per share</w:t>
            </w:r>
          </w:p>
        </w:tc>
        <w:tc>
          <w:tcPr>
            <w:tcW w:w="23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$ 1.89</w:t>
            </w:r>
          </w:p>
        </w:tc>
        <w:tc>
          <w:tcPr>
            <w:tcW w:w="36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$ 0.33</w:t>
            </w:r>
          </w:p>
        </w:tc>
        <w:tc>
          <w:tcPr>
            <w:tcW w:w="360" w:type="dxa"/>
            <w:vAlign w:val="bottom"/>
            <w:shd w:val="clear" w:color="auto" w:fill="EEEEEE"/>
          </w:tcPr>
          <w:p>
            <w:pPr>
              <w:spacing w:after="0"/>
              <w:rPr>
                <w:sz w:val="18"/>
                <w:szCs w:val="18"/>
                <w:color w:val="auto"/>
              </w:rPr>
            </w:pPr>
          </w:p>
        </w:tc>
        <w:tc>
          <w:tcPr>
            <w:tcW w:w="7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Add (subtract) :</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Cumulative effect of change in accounting principle</w:t>
            </w:r>
          </w:p>
        </w:tc>
        <w:tc>
          <w:tcPr>
            <w:tcW w:w="17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0.95</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Restructuring and other (income) expense</w:t>
            </w:r>
          </w:p>
        </w:tc>
        <w:tc>
          <w:tcPr>
            <w:tcW w:w="2740" w:type="dxa"/>
            <w:vAlign w:val="bottom"/>
            <w:gridSpan w:val="6"/>
          </w:tcPr>
          <w:p>
            <w:pPr>
              <w:jc w:val="right"/>
              <w:ind w:right="320"/>
              <w:spacing w:after="0"/>
              <w:rPr>
                <w:sz w:val="20"/>
                <w:szCs w:val="20"/>
                <w:color w:val="auto"/>
              </w:rPr>
            </w:pPr>
            <w:r>
              <w:rPr>
                <w:rFonts w:ascii="Arial" w:cs="Arial" w:eastAsia="Arial" w:hAnsi="Arial"/>
                <w:sz w:val="18"/>
                <w:szCs w:val="18"/>
                <w:color w:val="auto"/>
              </w:rPr>
              <w:t>(0.01)</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0.26</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Foreign sales corporation tax benefit</w:t>
            </w:r>
          </w:p>
        </w:tc>
        <w:tc>
          <w:tcPr>
            <w:tcW w:w="17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9"/>
              </w:rPr>
              <w:t>—</w:t>
            </w:r>
          </w:p>
        </w:tc>
        <w:tc>
          <w:tcPr>
            <w:tcW w:w="1300" w:type="dxa"/>
            <w:vAlign w:val="bottom"/>
            <w:gridSpan w:val="5"/>
            <w:shd w:val="clear" w:color="auto" w:fill="EEEEEE"/>
          </w:tcPr>
          <w:p>
            <w:pPr>
              <w:jc w:val="right"/>
              <w:ind w:right="320"/>
              <w:spacing w:after="0"/>
              <w:rPr>
                <w:sz w:val="20"/>
                <w:szCs w:val="20"/>
                <w:color w:val="auto"/>
              </w:rPr>
            </w:pPr>
            <w:r>
              <w:rPr>
                <w:rFonts w:ascii="Arial" w:cs="Arial" w:eastAsia="Arial" w:hAnsi="Arial"/>
                <w:sz w:val="18"/>
                <w:szCs w:val="18"/>
                <w:color w:val="auto"/>
              </w:rPr>
              <w:t>(0.07)</w:t>
            </w:r>
          </w:p>
        </w:tc>
        <w:tc>
          <w:tcPr>
            <w:tcW w:w="28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Legal settlement - patent infringement</w:t>
            </w:r>
          </w:p>
        </w:tc>
        <w:tc>
          <w:tcPr>
            <w:tcW w:w="2740" w:type="dxa"/>
            <w:vAlign w:val="bottom"/>
            <w:gridSpan w:val="6"/>
          </w:tcPr>
          <w:p>
            <w:pPr>
              <w:jc w:val="right"/>
              <w:ind w:right="320"/>
              <w:spacing w:after="0"/>
              <w:rPr>
                <w:sz w:val="20"/>
                <w:szCs w:val="20"/>
                <w:color w:val="auto"/>
              </w:rPr>
            </w:pPr>
            <w:r>
              <w:rPr>
                <w:rFonts w:ascii="Arial" w:cs="Arial" w:eastAsia="Arial" w:hAnsi="Arial"/>
                <w:sz w:val="18"/>
                <w:szCs w:val="18"/>
                <w:color w:val="auto"/>
              </w:rPr>
              <w:t>(0.08)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Adjusted diluted earnings per share</w:t>
            </w:r>
          </w:p>
        </w:tc>
        <w:tc>
          <w:tcPr>
            <w:tcW w:w="23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$ 1.80</w:t>
            </w:r>
          </w:p>
        </w:tc>
        <w:tc>
          <w:tcPr>
            <w:tcW w:w="36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$ 1.47</w:t>
            </w:r>
          </w:p>
        </w:tc>
        <w:tc>
          <w:tcPr>
            <w:tcW w:w="360" w:type="dxa"/>
            <w:vAlign w:val="bottom"/>
            <w:shd w:val="clear" w:color="auto" w:fill="EEEEEE"/>
          </w:tcPr>
          <w:p>
            <w:pPr>
              <w:spacing w:after="0"/>
              <w:rPr>
                <w:sz w:val="18"/>
                <w:szCs w:val="18"/>
                <w:color w:val="auto"/>
              </w:rPr>
            </w:pPr>
          </w:p>
        </w:tc>
        <w:tc>
          <w:tcPr>
            <w:tcW w:w="7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6503670</wp:posOffset>
            </wp:positionH>
            <wp:positionV relativeFrom="paragraph">
              <wp:posOffset>-1804670</wp:posOffset>
            </wp:positionV>
            <wp:extent cx="11557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5570" cy="3873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 Figures have been adjusted for the 2 for 1 split of the company’s common stock effective April 1, 2003.</w:t>
      </w:r>
    </w:p>
    <w:p>
      <w:pPr>
        <w:spacing w:after="0" w:line="225" w:lineRule="exact"/>
        <w:rPr>
          <w:sz w:val="20"/>
          <w:szCs w:val="20"/>
          <w:color w:val="auto"/>
        </w:rPr>
      </w:pPr>
    </w:p>
    <w:p>
      <w:pPr>
        <w:ind w:firstLine="439"/>
        <w:spacing w:after="0" w:line="318" w:lineRule="auto"/>
        <w:rPr>
          <w:sz w:val="20"/>
          <w:szCs w:val="20"/>
          <w:color w:val="auto"/>
        </w:rPr>
      </w:pPr>
      <w:r>
        <w:rPr>
          <w:rFonts w:ascii="Arial" w:cs="Arial" w:eastAsia="Arial" w:hAnsi="Arial"/>
          <w:sz w:val="15"/>
          <w:szCs w:val="15"/>
          <w:color w:val="auto"/>
        </w:rPr>
        <w:t>Kendrick B. Melrose, The Toro Company Chairman and Chief Executive Officer, said the company’s second quarter performance benefited from revenue growth, particularly in the Professional segment, as well as continuing favorable effects of the company’s ongoing ‘5 by Five’ profit improvement initiative. “Despite the very uncertain environment prevailing during our fiscal second quarter, we are pleased with the strong performance that has us comfortably on track to meet our full-year goals,” said Melrose. “New products helped us deliver a 5.4 % increase in revenue which was leveraged into higher earnings from ‘5 by Five’, now in its third and final year. Performance for the quarter and the year to date also benefited slightly from favorable foreign currency exchange effects.”</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1"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3—Toro Reports Second Quarter Results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31"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Compared with the fiscal 2002 second quarter, fiscal 2003 second quarter professional segment sales increased 8.2% to $314.1 million. Professional segment volumes for the landscape contractor equipment category increased significantly. Improved field inventory position and new product introductions for Toro wide area mowers and Exmark ZRTs drove strong revenue increases in this segment. Irrigation products, a new line of Toro Groundsmaster products, as well as expansion in retail distribution of Siteworks Systems also contributed to the increase. Operating earnings before restructuring and other income totaled $63.4 million for the quarter, up 19.0% from $53.2 million in the fiscal 2002 second quarter.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31" w:lineRule="exact"/>
        <w:rPr>
          <w:sz w:val="20"/>
          <w:szCs w:val="20"/>
          <w:color w:val="auto"/>
        </w:rPr>
      </w:pPr>
    </w:p>
    <w:p>
      <w:pPr>
        <w:ind w:right="280" w:firstLine="439"/>
        <w:spacing w:after="0" w:line="294" w:lineRule="auto"/>
        <w:rPr>
          <w:sz w:val="20"/>
          <w:szCs w:val="20"/>
          <w:color w:val="auto"/>
        </w:rPr>
      </w:pPr>
      <w:r>
        <w:rPr>
          <w:rFonts w:ascii="Arial" w:cs="Arial" w:eastAsia="Arial" w:hAnsi="Arial"/>
          <w:sz w:val="16"/>
          <w:szCs w:val="16"/>
          <w:color w:val="auto"/>
        </w:rPr>
        <w:t>Residential segment sales for the fiscal 2003 second quarter totaled a disappointing $172.5 million. After two relatively strong months in the second quarter, a wet, cool April in several key markets slowed the overall growth in this segment. The segment finished the quarter with a modest gain of 1.6% compared to the fiscal 2002 second quarter, largely due to lower sales of walk power mowers and lawn and garden tractors. On the positive side, domestic and international orders for the Timecutter Z riding mowers and sales of new retail irrigation products were both strong. Operating profit before restructuring and other income for the fiscal 2003 second quarter totaled $24.2 million, up 20.8% from the comparable fiscal 2002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DISTRIBUTOR</w:t>
      </w:r>
    </w:p>
    <w:p>
      <w:pPr>
        <w:spacing w:after="0" w:line="231" w:lineRule="exact"/>
        <w:rPr>
          <w:sz w:val="20"/>
          <w:szCs w:val="20"/>
          <w:color w:val="auto"/>
        </w:rPr>
      </w:pPr>
    </w:p>
    <w:p>
      <w:pPr>
        <w:jc w:val="both"/>
        <w:ind w:right="220" w:firstLine="439"/>
        <w:spacing w:after="0" w:line="306" w:lineRule="auto"/>
        <w:rPr>
          <w:sz w:val="20"/>
          <w:szCs w:val="20"/>
          <w:color w:val="auto"/>
        </w:rPr>
      </w:pPr>
      <w:r>
        <w:rPr>
          <w:rFonts w:ascii="Arial" w:cs="Arial" w:eastAsia="Arial" w:hAnsi="Arial"/>
          <w:sz w:val="16"/>
          <w:szCs w:val="16"/>
          <w:color w:val="auto"/>
        </w:rPr>
        <w:t>Distribution segment sales for the fiscal 2003 second quarter totaled $35.3 million, down 19.9% from the fiscal 2002 second quarter. The decline reflects the sale of a company-owned distributor effective December 31, 2002. This was partially offset by the acquisition of a smaller distributor in the southeast U.S. Operating earnings totaled $0.6 million for the quarter down 65.0% from $1.7 million in the fiscal 2002 second quarter.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4—Toro Reports Second Quarter Results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231" w:lineRule="exact"/>
        <w:rPr>
          <w:sz w:val="20"/>
          <w:szCs w:val="20"/>
          <w:color w:val="auto"/>
        </w:rPr>
      </w:pPr>
    </w:p>
    <w:p>
      <w:pPr>
        <w:ind w:right="540" w:firstLine="439"/>
        <w:spacing w:after="0" w:line="332" w:lineRule="auto"/>
        <w:rPr>
          <w:sz w:val="20"/>
          <w:szCs w:val="20"/>
          <w:color w:val="auto"/>
        </w:rPr>
      </w:pPr>
      <w:r>
        <w:rPr>
          <w:rFonts w:ascii="Arial" w:cs="Arial" w:eastAsia="Arial" w:hAnsi="Arial"/>
          <w:sz w:val="16"/>
          <w:szCs w:val="16"/>
          <w:color w:val="auto"/>
        </w:rPr>
        <w:t>Gross margin for the fiscal 2003 second quarter was 35.4%, up from 34.5% in the second quarter of fiscal 2002. Better utilization of manufacturing capacity, increased supply chain efficiencies, heightened productivity and a favorable product mix were the primary drivers of this improvement.</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Sales, general and administrative expenses for the fiscal 2003 second quarter grew at approximately the same rate as revenues for the quarter.</w:t>
      </w:r>
    </w:p>
    <w:p>
      <w:pPr>
        <w:spacing w:after="0" w:line="248" w:lineRule="exact"/>
        <w:rPr>
          <w:sz w:val="20"/>
          <w:szCs w:val="20"/>
          <w:color w:val="auto"/>
        </w:rPr>
      </w:pPr>
    </w:p>
    <w:p>
      <w:pPr>
        <w:ind w:right="460" w:firstLine="439"/>
        <w:spacing w:after="0" w:line="332" w:lineRule="auto"/>
        <w:rPr>
          <w:sz w:val="20"/>
          <w:szCs w:val="20"/>
          <w:color w:val="auto"/>
        </w:rPr>
      </w:pPr>
      <w:r>
        <w:rPr>
          <w:rFonts w:ascii="Arial" w:cs="Arial" w:eastAsia="Arial" w:hAnsi="Arial"/>
          <w:sz w:val="16"/>
          <w:szCs w:val="16"/>
          <w:color w:val="auto"/>
        </w:rPr>
        <w:t>Compared with the fiscal 2002 second quarter, fiscal 2003 second quarter interest expense declined by $0.9 million. The decline resulted from lower average borrowing levels, the use of earnings to retire debt and the positive effects of the company’s ‘5 by Five’ initiative.</w:t>
      </w:r>
    </w:p>
    <w:p>
      <w:pPr>
        <w:spacing w:after="0" w:line="139" w:lineRule="exact"/>
        <w:rPr>
          <w:sz w:val="20"/>
          <w:szCs w:val="20"/>
          <w:color w:val="auto"/>
        </w:rPr>
      </w:pPr>
    </w:p>
    <w:p>
      <w:pPr>
        <w:ind w:right="160" w:firstLine="439"/>
        <w:spacing w:after="0" w:line="306" w:lineRule="auto"/>
        <w:rPr>
          <w:sz w:val="20"/>
          <w:szCs w:val="20"/>
          <w:color w:val="auto"/>
        </w:rPr>
      </w:pPr>
      <w:r>
        <w:rPr>
          <w:rFonts w:ascii="Arial" w:cs="Arial" w:eastAsia="Arial" w:hAnsi="Arial"/>
          <w:sz w:val="16"/>
          <w:szCs w:val="16"/>
          <w:color w:val="auto"/>
        </w:rPr>
        <w:t>Net inventories at the end of the fiscal 2003 second quarter totaled $260.0 million, up 10.5% from the end of the fiscal 2002 second quarter, when inventories were unusually low as a result of the successful introduction of a new walk power mower line in fiscal 2002. The increase is also attributable to the impact of exchange rates on international inventories and the aforementioned effects of the weather in April.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31"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Melrose said the company’s performance through the first half of its fiscal year has Toro well positioned to meet its earnings growth target for the full year. The company currently expects to report fiscal 2003 net earnings per share of $3.00 or better. This includes the $0.08 per diluted share benefit from a legal settlement recorded in the fiscal 2003 first quarter.</w:t>
      </w:r>
    </w:p>
    <w:p>
      <w:pPr>
        <w:spacing w:after="0" w:line="194" w:lineRule="exact"/>
        <w:rPr>
          <w:sz w:val="20"/>
          <w:szCs w:val="20"/>
          <w:color w:val="auto"/>
        </w:rPr>
      </w:pPr>
    </w:p>
    <w:p>
      <w:pPr>
        <w:ind w:right="200" w:firstLine="439"/>
        <w:spacing w:after="0" w:line="256" w:lineRule="auto"/>
        <w:rPr>
          <w:sz w:val="20"/>
          <w:szCs w:val="20"/>
          <w:color w:val="auto"/>
        </w:rPr>
      </w:pPr>
      <w:r>
        <w:rPr>
          <w:rFonts w:ascii="Arial" w:cs="Arial" w:eastAsia="Arial" w:hAnsi="Arial"/>
          <w:sz w:val="18"/>
          <w:szCs w:val="18"/>
          <w:color w:val="auto"/>
        </w:rPr>
        <w:t>“With our second quarter performance, we demonstrated the sustainability of the benefits from our ‘5 by Five’ initiative, as well as our ability to drive revenue growth in a difficult economy by introducing innovative new products,” said Melrose. “Moreover, our ongoing improvements in overall operating performance are enabling us to invest more aggressively in new products, brand building, customer care and operations initiatives, therefore strengthening our market position.”</w:t>
      </w:r>
    </w:p>
    <w:p>
      <w:pPr>
        <w:spacing w:after="0" w:line="197"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The Toro Company is a leading worldwide provider of outdoor maintenance and beautification products for home, recreation and commercial landscapes.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1" w:right="31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5—Toro Reports Second Quarter Results</w:t>
      </w:r>
    </w:p>
    <w:p>
      <w:pPr>
        <w:spacing w:after="0" w:line="225" w:lineRule="exact"/>
        <w:rPr>
          <w:sz w:val="20"/>
          <w:szCs w:val="20"/>
          <w:color w:val="auto"/>
        </w:rPr>
      </w:pPr>
    </w:p>
    <w:p>
      <w:pPr>
        <w:ind w:right="200" w:firstLine="439"/>
        <w:spacing w:after="0" w:line="306" w:lineRule="auto"/>
        <w:rPr>
          <w:sz w:val="20"/>
          <w:szCs w:val="20"/>
          <w:color w:val="auto"/>
        </w:rPr>
      </w:pPr>
      <w:r>
        <w:rPr>
          <w:rFonts w:ascii="Arial" w:cs="Arial" w:eastAsia="Arial" w:hAnsi="Arial"/>
          <w:sz w:val="16"/>
          <w:szCs w:val="16"/>
          <w:i w:val="1"/>
          <w:iCs w:val="1"/>
          <w:color w:val="auto"/>
        </w:rPr>
        <w:t>The Toro Company will conduct a conference call and webcast for investors beginning at 10:00 a.m. Central Daylight Time (CDT) on May 28, 2003. The webcast will be available at www.streetevents.com or at www.thetorocompany.com/invest. Webcast participants will need to complete a brief registration form and should allot extra time before the webcast begins to register and, if necessary, download and install audio software.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3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made in this news release that are forward-looking are made pursuant to the safe harbor provisions of the Private Securities Litigation Reform Act of 1995. Forward-looking statements involve risks and uncertainties. These uncertainties include factors that affect all businesses operating in a global market as well as matters specific to Toro. Particular risks and uncertainties facing the company’s overall financial position at the present include the continued threat of terrorist acts, which may result in heightened security and higher costs for import and export shipments of components or finished goods, reduced business or leisure travel that negatively affects the travel industry, and the contraction of the U.S. and worldwide economies; continued slowing of growth in global and domestic economies, resulting in rising unemployment and weakened consumer confidence; decline in retail demand for our products; our ability to achieve goals of the “5 by Five” profit improvement program, which is intended to improve our after-tax return on sales; the company’s ability to achieve sales growth and strong diluted earnings per share growth in fiscal 2003; unforeseen product quality problems in the development and production of new and existing products, which could result in loss of market share and higher warranty expense; potential issues with opening new production facilities and moving production between facilities; continued slow growth rate in new golf course construction or existing golf course renovations; increased dependence on The Home Depot as a customer for the residential segment; reduced government spending for grounds maintenance equipment due to reduced tax revenue and tighter government budgets; elimination of shelf space for our products at retailers; changes in raw material costs, including higher oil prices; financial viability of distributors and dealers; market acceptance of existing and new products; and increased and adverse changes in currency exchange rates or raw material commodity prices and the costs we incur in providing price support to international customers and suppliers.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41" w:name="page42"/>
    <w:bookmarkEnd w:id="41"/>
    <w:p>
      <w:pPr>
        <w:jc w:val="center"/>
        <w:ind w:right="20"/>
        <w:spacing w:after="0"/>
        <w:rPr>
          <w:sz w:val="20"/>
          <w:szCs w:val="20"/>
          <w:color w:val="auto"/>
        </w:rPr>
      </w:pPr>
      <w:r>
        <w:rPr>
          <w:rFonts w:ascii="Arial" w:cs="Arial" w:eastAsia="Arial" w:hAnsi="Arial"/>
          <w:sz w:val="18"/>
          <w:szCs w:val="18"/>
          <w:b w:val="1"/>
          <w:bCs w:val="1"/>
          <w:color w:val="auto"/>
        </w:rPr>
        <w:t>THE TORO COMPANY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May 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May 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May 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May 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35"/>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ind w:right="15"/>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495,840</w:t>
            </w:r>
          </w:p>
        </w:tc>
        <w:tc>
          <w:tcPr>
            <w:tcW w:w="36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470,314</w:t>
            </w:r>
          </w:p>
        </w:tc>
        <w:tc>
          <w:tcPr>
            <w:tcW w:w="36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791,802</w:t>
            </w:r>
          </w:p>
        </w:tc>
        <w:tc>
          <w:tcPr>
            <w:tcW w:w="38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748,229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175,632</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162,052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281,213</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257,359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Gross profit percent</w:t>
            </w:r>
          </w:p>
        </w:tc>
        <w:tc>
          <w:tcPr>
            <w:tcW w:w="2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35.4%</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34.5%</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35.5%</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110,636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104,265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206,500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193,277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Restructuring and other (income) expense</w:t>
            </w:r>
          </w:p>
        </w:tc>
        <w:tc>
          <w:tcPr>
            <w:tcW w:w="2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9,953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40" w:type="dxa"/>
            <w:vAlign w:val="bottom"/>
          </w:tcPr>
          <w:p>
            <w:pPr>
              <w:ind w:left="240"/>
              <w:spacing w:after="0"/>
              <w:rPr>
                <w:sz w:val="20"/>
                <w:szCs w:val="20"/>
                <w:color w:val="auto"/>
              </w:rPr>
            </w:pPr>
            <w:r>
              <w:rPr>
                <w:rFonts w:ascii="Arial" w:cs="Arial" w:eastAsia="Arial" w:hAnsi="Arial"/>
                <w:sz w:val="18"/>
                <w:szCs w:val="18"/>
                <w:color w:val="auto"/>
              </w:rPr>
              <w:t>Earnings from operations</w:t>
            </w: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65,175</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57,787</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74,892</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54,129</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(4,320)</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(5,248)</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(8,412)</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9"/>
              </w:rPr>
              <w:t>(10,568)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1,787</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6,582</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4"/>
              </w:rPr>
              <w:t>Earnings before income taxes and cumulative effect of change in</w:t>
            </w: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accounting principle</w:t>
            </w:r>
          </w:p>
        </w:tc>
        <w:tc>
          <w:tcPr>
            <w:tcW w:w="2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62,642</w:t>
            </w:r>
          </w:p>
        </w:tc>
        <w:tc>
          <w:tcPr>
            <w:tcW w:w="3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54,273</w:t>
            </w:r>
          </w:p>
        </w:tc>
        <w:tc>
          <w:tcPr>
            <w:tcW w:w="3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73,062</w:t>
            </w:r>
          </w:p>
        </w:tc>
        <w:tc>
          <w:tcPr>
            <w:tcW w:w="3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46,629</w:t>
            </w:r>
          </w:p>
        </w:tc>
        <w:tc>
          <w:tcPr>
            <w:tcW w:w="3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20,671</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16,135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24,110</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13,612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8"/>
              </w:rPr>
              <w:t>Net earnings before cumulative effect of change in accounting</w:t>
            </w: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principle</w:t>
            </w:r>
          </w:p>
        </w:tc>
        <w:tc>
          <w:tcPr>
            <w:tcW w:w="2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41,971</w:t>
            </w:r>
          </w:p>
        </w:tc>
        <w:tc>
          <w:tcPr>
            <w:tcW w:w="3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38,138</w:t>
            </w:r>
          </w:p>
        </w:tc>
        <w:tc>
          <w:tcPr>
            <w:tcW w:w="3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48,952</w:t>
            </w:r>
          </w:p>
        </w:tc>
        <w:tc>
          <w:tcPr>
            <w:tcW w:w="3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33,017</w:t>
            </w:r>
          </w:p>
        </w:tc>
        <w:tc>
          <w:tcPr>
            <w:tcW w:w="3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7"/>
              </w:rPr>
              <w:t>Cumulative effect of change in accounting principle, net of income</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tax benefit of $509</w:t>
            </w:r>
          </w:p>
        </w:tc>
        <w:tc>
          <w:tcPr>
            <w:tcW w:w="28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(24,614)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Net earnings</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41,971</w:t>
            </w:r>
          </w:p>
        </w:tc>
        <w:tc>
          <w:tcPr>
            <w:tcW w:w="36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38,138</w:t>
            </w:r>
          </w:p>
        </w:tc>
        <w:tc>
          <w:tcPr>
            <w:tcW w:w="36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48,952</w:t>
            </w:r>
          </w:p>
        </w:tc>
        <w:tc>
          <w:tcPr>
            <w:tcW w:w="38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8,403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w w:val="96"/>
              </w:rPr>
              <w:t>Basic net earnings per share, before cumulative effect of change in</w:t>
            </w: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1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accounting principle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1.68</w:t>
            </w:r>
          </w:p>
        </w:tc>
        <w:tc>
          <w:tcPr>
            <w:tcW w:w="3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1.51</w:t>
            </w:r>
          </w:p>
        </w:tc>
        <w:tc>
          <w:tcPr>
            <w:tcW w:w="3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1.96</w:t>
            </w:r>
          </w:p>
        </w:tc>
        <w:tc>
          <w:tcPr>
            <w:tcW w:w="3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w w:val="97"/>
              </w:rPr>
              <w:t>Cumulative effect of change in accounting principle, net of income</w:t>
            </w: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tax benefit</w:t>
            </w:r>
          </w:p>
        </w:tc>
        <w:tc>
          <w:tcPr>
            <w:tcW w:w="2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108"/>
        </w:trPr>
        <w:tc>
          <w:tcPr>
            <w:tcW w:w="51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60" w:type="dxa"/>
            <w:vAlign w:val="bottom"/>
            <w:gridSpan w:val="2"/>
          </w:tcPr>
          <w:p>
            <w:pPr>
              <w:spacing w:after="0"/>
              <w:rPr>
                <w:sz w:val="20"/>
                <w:szCs w:val="20"/>
                <w:color w:val="auto"/>
              </w:rPr>
            </w:pPr>
            <w:r>
              <w:rPr>
                <w:rFonts w:ascii="Arial" w:cs="Arial" w:eastAsia="Arial" w:hAnsi="Arial"/>
                <w:sz w:val="18"/>
                <w:szCs w:val="18"/>
                <w:color w:val="auto"/>
              </w:rPr>
              <w:t>Basic net earnings per share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1.68</w:t>
            </w:r>
          </w:p>
        </w:tc>
        <w:tc>
          <w:tcPr>
            <w:tcW w:w="3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1.51</w:t>
            </w:r>
          </w:p>
        </w:tc>
        <w:tc>
          <w:tcPr>
            <w:tcW w:w="3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1.96</w:t>
            </w:r>
          </w:p>
        </w:tc>
        <w:tc>
          <w:tcPr>
            <w:tcW w:w="38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w w:val="93"/>
              </w:rPr>
              <w:t>Diluted net earnings per share, before cumulative effect of change in</w:t>
            </w: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accounting principle</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w:t>
            </w:r>
          </w:p>
        </w:tc>
        <w:tc>
          <w:tcPr>
            <w:tcW w:w="36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w:t>
            </w:r>
          </w:p>
        </w:tc>
        <w:tc>
          <w:tcPr>
            <w:tcW w:w="36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1.89</w:t>
            </w:r>
          </w:p>
        </w:tc>
        <w:tc>
          <w:tcPr>
            <w:tcW w:w="380" w:type="dxa"/>
            <w:vAlign w:val="bottom"/>
            <w:shd w:val="clear" w:color="auto" w:fill="EEEEEE"/>
          </w:tcPr>
          <w:p>
            <w:pPr>
              <w:spacing w:after="0"/>
              <w:rPr>
                <w:sz w:val="19"/>
                <w:szCs w:val="19"/>
                <w:color w:val="auto"/>
              </w:rPr>
            </w:pPr>
          </w:p>
        </w:tc>
        <w:tc>
          <w:tcPr>
            <w:tcW w:w="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w:t>
            </w:r>
          </w:p>
        </w:tc>
        <w:tc>
          <w:tcPr>
            <w:tcW w:w="3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7"/>
              </w:rPr>
              <w:t>Cumulative effect of change in accounting principle, net of income</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tax benefit</w:t>
            </w:r>
          </w:p>
        </w:tc>
        <w:tc>
          <w:tcPr>
            <w:tcW w:w="28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Diluted net earnings per share</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w:t>
            </w:r>
          </w:p>
        </w:tc>
        <w:tc>
          <w:tcPr>
            <w:tcW w:w="36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w:t>
            </w:r>
          </w:p>
        </w:tc>
        <w:tc>
          <w:tcPr>
            <w:tcW w:w="36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1.89</w:t>
            </w:r>
          </w:p>
        </w:tc>
        <w:tc>
          <w:tcPr>
            <w:tcW w:w="38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w w:val="94"/>
              </w:rPr>
              <w:t>Weighted average number of shares of common stock outstanding –</w:t>
            </w: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1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25,006</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25,194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24,964</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25,096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w w:val="93"/>
              </w:rPr>
              <w:t>Weighted average number of shares of common stock outstanding –</w:t>
            </w: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Dilutive</w:t>
            </w:r>
          </w:p>
        </w:tc>
        <w:tc>
          <w:tcPr>
            <w:tcW w:w="2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26,021</w:t>
            </w:r>
          </w:p>
        </w:tc>
        <w:tc>
          <w:tcPr>
            <w:tcW w:w="3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26,185</w:t>
            </w:r>
          </w:p>
        </w:tc>
        <w:tc>
          <w:tcPr>
            <w:tcW w:w="3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25,910</w:t>
            </w:r>
          </w:p>
        </w:tc>
        <w:tc>
          <w:tcPr>
            <w:tcW w:w="3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25,838</w:t>
            </w:r>
          </w:p>
        </w:tc>
        <w:tc>
          <w:tcPr>
            <w:tcW w:w="3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April 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420370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540" w:top="935" w:right="51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Sales by Segment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May 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May 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May 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May 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59"/>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112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112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Professional</w:t>
            </w: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314,116</w:t>
            </w:r>
          </w:p>
        </w:tc>
        <w:tc>
          <w:tcPr>
            <w:tcW w:w="38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290,201</w:t>
            </w:r>
          </w:p>
        </w:tc>
        <w:tc>
          <w:tcPr>
            <w:tcW w:w="38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$507,560</w:t>
            </w:r>
          </w:p>
        </w:tc>
        <w:tc>
          <w:tcPr>
            <w:tcW w:w="38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$465,966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172,469</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169,735</w:t>
            </w:r>
          </w:p>
        </w:tc>
        <w:tc>
          <w:tcPr>
            <w:tcW w:w="3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267,134</w:t>
            </w:r>
          </w:p>
        </w:tc>
        <w:tc>
          <w:tcPr>
            <w:tcW w:w="3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261,951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Distribution</w:t>
            </w: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35,348</w:t>
            </w: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44,144</w:t>
            </w:r>
          </w:p>
        </w:tc>
        <w:tc>
          <w:tcPr>
            <w:tcW w:w="38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53,948</w:t>
            </w:r>
          </w:p>
        </w:tc>
        <w:tc>
          <w:tcPr>
            <w:tcW w:w="38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68,373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(26,093)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(33,766)</w:t>
            </w: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(36,840)</w:t>
            </w:r>
          </w:p>
        </w:tc>
        <w:tc>
          <w:tcPr>
            <w:tcW w:w="1480" w:type="dxa"/>
            <w:vAlign w:val="bottom"/>
            <w:gridSpan w:val="4"/>
          </w:tcPr>
          <w:p>
            <w:pPr>
              <w:jc w:val="right"/>
              <w:ind w:right="320"/>
              <w:spacing w:after="0"/>
              <w:rPr>
                <w:sz w:val="20"/>
                <w:szCs w:val="20"/>
                <w:color w:val="auto"/>
              </w:rPr>
            </w:pPr>
            <w:r>
              <w:rPr>
                <w:rFonts w:ascii="Arial" w:cs="Arial" w:eastAsia="Arial" w:hAnsi="Arial"/>
                <w:sz w:val="18"/>
                <w:szCs w:val="18"/>
                <w:color w:val="auto"/>
              </w:rPr>
              <w:t>(48,061)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Total *</w:t>
            </w: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495,840</w:t>
            </w:r>
          </w:p>
        </w:tc>
        <w:tc>
          <w:tcPr>
            <w:tcW w:w="38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470,314</w:t>
            </w:r>
          </w:p>
        </w:tc>
        <w:tc>
          <w:tcPr>
            <w:tcW w:w="38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$791,802</w:t>
            </w:r>
          </w:p>
        </w:tc>
        <w:tc>
          <w:tcPr>
            <w:tcW w:w="38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$748,229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94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40" w:type="dxa"/>
            <w:vAlign w:val="bottom"/>
            <w:gridSpan w:val="2"/>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Borders>
              <w:right w:val="single" w:sz="8" w:color="808080"/>
            </w:tcBorders>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Borders>
              <w:right w:val="single" w:sz="8" w:color="808080"/>
            </w:tcBorders>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Borders>
              <w:right w:val="single" w:sz="8" w:color="808080"/>
            </w:tcBorders>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940" w:type="dxa"/>
            <w:vAlign w:val="bottom"/>
            <w:gridSpan w:val="2"/>
          </w:tcPr>
          <w:p>
            <w:pPr>
              <w:spacing w:after="0"/>
              <w:rPr>
                <w:sz w:val="20"/>
                <w:szCs w:val="20"/>
                <w:color w:val="auto"/>
              </w:rPr>
            </w:pPr>
            <w:r>
              <w:rPr>
                <w:rFonts w:ascii="Arial" w:cs="Arial" w:eastAsia="Arial" w:hAnsi="Arial"/>
                <w:sz w:val="18"/>
                <w:szCs w:val="18"/>
                <w:color w:val="auto"/>
              </w:rPr>
              <w:t>* Includes international sales of</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93,555</w:t>
            </w:r>
          </w:p>
        </w:tc>
        <w:tc>
          <w:tcPr>
            <w:tcW w:w="38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86,279</w:t>
            </w:r>
          </w:p>
        </w:tc>
        <w:tc>
          <w:tcPr>
            <w:tcW w:w="38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$161,011</w:t>
            </w:r>
          </w:p>
        </w:tc>
        <w:tc>
          <w:tcPr>
            <w:tcW w:w="38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$149,374</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Earnings (Loss) Before Income Taxes and Cumulative Effect of Change in Accounting Principle by Segment (Unaudited) (Dollars in thousands)</w:t>
      </w:r>
    </w:p>
    <w:p>
      <w:pPr>
        <w:spacing w:after="0" w:line="200" w:lineRule="exact"/>
        <w:rPr>
          <w:sz w:val="20"/>
          <w:szCs w:val="20"/>
          <w:color w:val="auto"/>
        </w:rPr>
      </w:pP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May 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May 3,</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May 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May 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11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114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116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shd w:val="clear" w:color="auto" w:fill="EEEEEE"/>
          </w:tcPr>
          <w:p>
            <w:pPr>
              <w:spacing w:after="0"/>
              <w:rPr>
                <w:sz w:val="20"/>
                <w:szCs w:val="20"/>
                <w:color w:val="auto"/>
              </w:rPr>
            </w:pPr>
            <w:r>
              <w:rPr>
                <w:rFonts w:ascii="Arial" w:cs="Arial" w:eastAsia="Arial" w:hAnsi="Arial"/>
                <w:sz w:val="18"/>
                <w:szCs w:val="18"/>
                <w:color w:val="auto"/>
              </w:rPr>
              <w:t>Professional</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$ 63,424</w:t>
            </w:r>
          </w:p>
        </w:tc>
        <w:tc>
          <w:tcPr>
            <w:tcW w:w="36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$ 53,217</w:t>
            </w:r>
          </w:p>
        </w:tc>
        <w:tc>
          <w:tcPr>
            <w:tcW w:w="36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$ 91,180</w:t>
            </w:r>
          </w:p>
        </w:tc>
        <w:tc>
          <w:tcPr>
            <w:tcW w:w="3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$ 62,297</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Residential</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24,349</w:t>
            </w:r>
          </w:p>
        </w:tc>
        <w:tc>
          <w:tcPr>
            <w:tcW w:w="3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20,071</w:t>
            </w:r>
          </w:p>
        </w:tc>
        <w:tc>
          <w:tcPr>
            <w:tcW w:w="3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33,010</w:t>
            </w:r>
          </w:p>
        </w:tc>
        <w:tc>
          <w:tcPr>
            <w:tcW w:w="3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27,777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EEEEEE"/>
          </w:tcPr>
          <w:p>
            <w:pPr>
              <w:spacing w:after="0"/>
              <w:rPr>
                <w:sz w:val="20"/>
                <w:szCs w:val="20"/>
                <w:color w:val="auto"/>
              </w:rPr>
            </w:pPr>
            <w:r>
              <w:rPr>
                <w:rFonts w:ascii="Arial" w:cs="Arial" w:eastAsia="Arial" w:hAnsi="Arial"/>
                <w:sz w:val="18"/>
                <w:szCs w:val="18"/>
                <w:color w:val="auto"/>
              </w:rPr>
              <w:t>Distribution</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608</w:t>
            </w:r>
          </w:p>
        </w:tc>
        <w:tc>
          <w:tcPr>
            <w:tcW w:w="36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1,736</w:t>
            </w:r>
          </w:p>
        </w:tc>
        <w:tc>
          <w:tcPr>
            <w:tcW w:w="360" w:type="dxa"/>
            <w:vAlign w:val="bottom"/>
            <w:shd w:val="clear" w:color="auto" w:fill="EEEEEE"/>
          </w:tcPr>
          <w:p>
            <w:pPr>
              <w:spacing w:after="0"/>
              <w:rPr>
                <w:sz w:val="18"/>
                <w:szCs w:val="18"/>
                <w:color w:val="auto"/>
              </w:rPr>
            </w:pPr>
          </w:p>
        </w:tc>
        <w:tc>
          <w:tcPr>
            <w:tcW w:w="150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(2,750)</w:t>
            </w:r>
          </w:p>
        </w:tc>
        <w:tc>
          <w:tcPr>
            <w:tcW w:w="152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Other</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(25,739)</w:t>
            </w:r>
          </w:p>
        </w:tc>
        <w:tc>
          <w:tcPr>
            <w:tcW w:w="1480" w:type="dxa"/>
            <w:vAlign w:val="bottom"/>
            <w:gridSpan w:val="4"/>
          </w:tcPr>
          <w:p>
            <w:pPr>
              <w:jc w:val="right"/>
              <w:ind w:right="300"/>
              <w:spacing w:after="0"/>
              <w:rPr>
                <w:sz w:val="20"/>
                <w:szCs w:val="20"/>
                <w:color w:val="auto"/>
              </w:rPr>
            </w:pPr>
            <w:r>
              <w:rPr>
                <w:rFonts w:ascii="Arial" w:cs="Arial" w:eastAsia="Arial" w:hAnsi="Arial"/>
                <w:sz w:val="18"/>
                <w:szCs w:val="18"/>
                <w:color w:val="auto"/>
              </w:rPr>
              <w:t>(20,751)</w:t>
            </w:r>
          </w:p>
        </w:tc>
        <w:tc>
          <w:tcPr>
            <w:tcW w:w="1500" w:type="dxa"/>
            <w:vAlign w:val="bottom"/>
            <w:gridSpan w:val="4"/>
          </w:tcPr>
          <w:p>
            <w:pPr>
              <w:jc w:val="right"/>
              <w:ind w:right="300"/>
              <w:spacing w:after="0"/>
              <w:rPr>
                <w:sz w:val="20"/>
                <w:szCs w:val="20"/>
                <w:color w:val="auto"/>
              </w:rPr>
            </w:pPr>
            <w:r>
              <w:rPr>
                <w:rFonts w:ascii="Arial" w:cs="Arial" w:eastAsia="Arial" w:hAnsi="Arial"/>
                <w:sz w:val="18"/>
                <w:szCs w:val="18"/>
                <w:color w:val="auto"/>
              </w:rPr>
              <w:t>(48,378)</w:t>
            </w:r>
          </w:p>
        </w:tc>
        <w:tc>
          <w:tcPr>
            <w:tcW w:w="1520" w:type="dxa"/>
            <w:vAlign w:val="bottom"/>
            <w:gridSpan w:val="4"/>
          </w:tcPr>
          <w:p>
            <w:pPr>
              <w:jc w:val="right"/>
              <w:ind w:right="300"/>
              <w:spacing w:after="0"/>
              <w:rPr>
                <w:sz w:val="20"/>
                <w:szCs w:val="20"/>
                <w:color w:val="auto"/>
              </w:rPr>
            </w:pPr>
            <w:r>
              <w:rPr>
                <w:rFonts w:ascii="Arial" w:cs="Arial" w:eastAsia="Arial" w:hAnsi="Arial"/>
                <w:sz w:val="18"/>
                <w:szCs w:val="18"/>
                <w:color w:val="auto"/>
              </w:rPr>
              <w:t>(43,094)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$ 62,642</w:t>
            </w:r>
          </w:p>
        </w:tc>
        <w:tc>
          <w:tcPr>
            <w:tcW w:w="36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$ 54,273</w:t>
            </w:r>
          </w:p>
        </w:tc>
        <w:tc>
          <w:tcPr>
            <w:tcW w:w="36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$ 73,062</w:t>
            </w:r>
          </w:p>
        </w:tc>
        <w:tc>
          <w:tcPr>
            <w:tcW w:w="3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$ 46,629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2,</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3,</w:t>
            </w:r>
          </w:p>
        </w:tc>
        <w:tc>
          <w:tcPr>
            <w:tcW w:w="0" w:type="dxa"/>
            <w:vAlign w:val="bottom"/>
          </w:tcPr>
          <w:p>
            <w:pPr>
              <w:spacing w:after="0"/>
              <w:rPr>
                <w:sz w:val="1"/>
                <w:szCs w:val="1"/>
                <w:color w:val="auto"/>
              </w:rPr>
            </w:pPr>
          </w:p>
        </w:tc>
      </w:tr>
      <w:tr>
        <w:trPr>
          <w:trHeight w:val="174"/>
        </w:trPr>
        <w:tc>
          <w:tcPr>
            <w:tcW w:w="5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ind w:right="94"/>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Receivables, net</w:t>
            </w: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483,615</w:t>
            </w:r>
          </w:p>
        </w:tc>
        <w:tc>
          <w:tcPr>
            <w:tcW w:w="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463,886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Inventories, net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259,979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235,366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12,003</w:t>
            </w:r>
          </w:p>
        </w:tc>
        <w:tc>
          <w:tcPr>
            <w:tcW w:w="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9,259</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39,653</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39,200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795,276</w:t>
            </w:r>
          </w:p>
        </w:tc>
        <w:tc>
          <w:tcPr>
            <w:tcW w:w="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747,773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2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162,180</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150,520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4,196</w:t>
            </w:r>
          </w:p>
        </w:tc>
        <w:tc>
          <w:tcPr>
            <w:tcW w:w="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9,721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tcPr>
          <w:p>
            <w:pPr>
              <w:spacing w:after="0"/>
              <w:rPr>
                <w:sz w:val="20"/>
                <w:szCs w:val="20"/>
                <w:color w:val="auto"/>
              </w:rPr>
            </w:pPr>
            <w:r>
              <w:rPr>
                <w:rFonts w:ascii="Arial" w:cs="Arial" w:eastAsia="Arial" w:hAnsi="Arial"/>
                <w:sz w:val="18"/>
                <w:szCs w:val="18"/>
                <w:color w:val="auto"/>
              </w:rPr>
              <w:t>Goodwill and other assets</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92,567</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94,506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1,054,219</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1,002,520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22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2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2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Current portion of long-term debt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16,274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Short-term debt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99,299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130,238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104,319</w:t>
            </w:r>
          </w:p>
        </w:tc>
        <w:tc>
          <w:tcPr>
            <w:tcW w:w="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90,170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244,463</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221,852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448,145</w:t>
            </w:r>
          </w:p>
        </w:tc>
        <w:tc>
          <w:tcPr>
            <w:tcW w:w="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458,534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2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178,713</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178,781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8,508</w:t>
            </w:r>
          </w:p>
        </w:tc>
        <w:tc>
          <w:tcPr>
            <w:tcW w:w="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7,221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418,853</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357,984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1,054,219</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1,002,520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9700"/>
          </w:cols>
          <w:pgMar w:left="1100" w:top="935" w:right="1099" w:bottom="0"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4606290</wp:posOffset>
            </wp:positionH>
            <wp:positionV relativeFrom="page">
              <wp:posOffset>88900</wp:posOffset>
            </wp:positionV>
            <wp:extent cx="450215" cy="36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0215" cy="36195"/>
                    </a:xfrm>
                    <a:prstGeom prst="rect">
                      <a:avLst/>
                    </a:prstGeom>
                    <a:noFill/>
                  </pic:spPr>
                </pic:pic>
              </a:graphicData>
            </a:graphic>
          </wp:anchor>
        </w:drawing>
        <w:drawing>
          <wp:anchor simplePos="0" relativeHeight="251657728" behindDoc="1" locked="0" layoutInCell="0" allowOverlap="1">
            <wp:simplePos x="0" y="0"/>
            <wp:positionH relativeFrom="page">
              <wp:posOffset>5781040</wp:posOffset>
            </wp:positionH>
            <wp:positionV relativeFrom="page">
              <wp:posOffset>88900</wp:posOffset>
            </wp:positionV>
            <wp:extent cx="450215" cy="36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0215" cy="3619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635635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7"/>
              </w:rPr>
              <w:t>Six Months Ended</w:t>
            </w: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492"/>
              <w:spacing w:after="0"/>
              <w:rPr>
                <w:sz w:val="20"/>
                <w:szCs w:val="20"/>
                <w:color w:val="auto"/>
              </w:rPr>
            </w:pPr>
            <w:r>
              <w:rPr>
                <w:rFonts w:ascii="Arial" w:cs="Arial" w:eastAsia="Arial" w:hAnsi="Arial"/>
                <w:sz w:val="14"/>
                <w:szCs w:val="14"/>
                <w:b w:val="1"/>
                <w:bCs w:val="1"/>
                <w:color w:val="auto"/>
              </w:rPr>
              <w:t>May 2,</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May 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earnings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48,952</w:t>
            </w:r>
          </w:p>
        </w:tc>
        <w:tc>
          <w:tcPr>
            <w:tcW w:w="4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8,403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20"/>
              <w:spacing w:after="0"/>
              <w:rPr>
                <w:sz w:val="20"/>
                <w:szCs w:val="20"/>
                <w:color w:val="auto"/>
              </w:rPr>
            </w:pPr>
            <w:r>
              <w:rPr>
                <w:rFonts w:ascii="Arial" w:cs="Arial" w:eastAsia="Arial" w:hAnsi="Arial"/>
                <w:sz w:val="18"/>
                <w:szCs w:val="18"/>
                <w:color w:val="auto"/>
              </w:rPr>
              <w:t>Cumulative effect of change in accounting principle</w:t>
            </w:r>
          </w:p>
        </w:tc>
        <w:tc>
          <w:tcPr>
            <w:tcW w:w="420" w:type="dxa"/>
            <w:vAlign w:val="bottom"/>
          </w:tcPr>
          <w:p>
            <w:pPr>
              <w:spacing w:after="0"/>
              <w:rPr>
                <w:sz w:val="18"/>
                <w:szCs w:val="18"/>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24,614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Non-cash asset impairment write-off</w:t>
            </w:r>
          </w:p>
        </w:tc>
        <w:tc>
          <w:tcPr>
            <w:tcW w:w="4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7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4,163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20"/>
              <w:spacing w:after="0"/>
              <w:rPr>
                <w:sz w:val="20"/>
                <w:szCs w:val="20"/>
                <w:color w:val="auto"/>
              </w:rPr>
            </w:pPr>
            <w:r>
              <w:rPr>
                <w:rFonts w:ascii="Arial" w:cs="Arial" w:eastAsia="Arial" w:hAnsi="Arial"/>
                <w:sz w:val="18"/>
                <w:szCs w:val="18"/>
                <w:color w:val="auto"/>
              </w:rPr>
              <w:t>Provision for depreciation and amortization</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14,893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14,067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Gain on disposal of property, plant, and equipment</w:t>
            </w:r>
          </w:p>
        </w:tc>
        <w:tc>
          <w:tcPr>
            <w:tcW w:w="4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(26)</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20"/>
              <w:spacing w:after="0"/>
              <w:rPr>
                <w:sz w:val="20"/>
                <w:szCs w:val="20"/>
                <w:color w:val="auto"/>
              </w:rPr>
            </w:pPr>
            <w:r>
              <w:rPr>
                <w:rFonts w:ascii="Arial" w:cs="Arial" w:eastAsia="Arial" w:hAnsi="Arial"/>
                <w:sz w:val="18"/>
                <w:szCs w:val="18"/>
                <w:color w:val="auto"/>
              </w:rPr>
              <w:t>Increase in deferred income tax asset</w:t>
            </w:r>
          </w:p>
        </w:tc>
        <w:tc>
          <w:tcPr>
            <w:tcW w:w="420" w:type="dxa"/>
            <w:vAlign w:val="bottom"/>
          </w:tcPr>
          <w:p>
            <w:pPr>
              <w:spacing w:after="0"/>
              <w:rPr>
                <w:sz w:val="18"/>
                <w:szCs w:val="18"/>
                <w:color w:val="auto"/>
              </w:rPr>
            </w:pPr>
          </w:p>
        </w:tc>
        <w:tc>
          <w:tcPr>
            <w:tcW w:w="1080" w:type="dxa"/>
            <w:vAlign w:val="bottom"/>
            <w:gridSpan w:val="2"/>
          </w:tcPr>
          <w:p>
            <w:pPr>
              <w:jc w:val="right"/>
              <w:ind w:right="312"/>
              <w:spacing w:after="0"/>
              <w:rPr>
                <w:sz w:val="20"/>
                <w:szCs w:val="20"/>
                <w:color w:val="auto"/>
              </w:rPr>
            </w:pPr>
            <w:r>
              <w:rPr>
                <w:rFonts w:ascii="Arial" w:cs="Arial" w:eastAsia="Arial" w:hAnsi="Arial"/>
                <w:sz w:val="18"/>
                <w:szCs w:val="18"/>
                <w:color w:val="auto"/>
              </w:rPr>
              <w:t>(931)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(5,274)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Tax benefits related to employee stock option transactions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160</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1,245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Receivables, net</w:t>
            </w:r>
          </w:p>
        </w:tc>
        <w:tc>
          <w:tcPr>
            <w:tcW w:w="4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w w:val="88"/>
              </w:rPr>
              <w:t>(228,034)</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5"/>
              </w:rPr>
              <w:t>(192,209)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8"/>
                <w:szCs w:val="18"/>
                <w:color w:val="auto"/>
              </w:rPr>
              <w:t>Inventories, net</w:t>
            </w:r>
          </w:p>
        </w:tc>
        <w:tc>
          <w:tcPr>
            <w:tcW w:w="420" w:type="dxa"/>
            <w:vAlign w:val="bottom"/>
          </w:tcPr>
          <w:p>
            <w:pPr>
              <w:spacing w:after="0"/>
              <w:rPr>
                <w:sz w:val="18"/>
                <w:szCs w:val="18"/>
                <w:color w:val="auto"/>
              </w:rPr>
            </w:pPr>
          </w:p>
        </w:tc>
        <w:tc>
          <w:tcPr>
            <w:tcW w:w="1080" w:type="dxa"/>
            <w:vAlign w:val="bottom"/>
            <w:gridSpan w:val="2"/>
          </w:tcPr>
          <w:p>
            <w:pPr>
              <w:jc w:val="right"/>
              <w:ind w:right="312"/>
              <w:spacing w:after="0"/>
              <w:rPr>
                <w:sz w:val="20"/>
                <w:szCs w:val="20"/>
                <w:color w:val="auto"/>
              </w:rPr>
            </w:pPr>
            <w:r>
              <w:rPr>
                <w:rFonts w:ascii="Arial" w:cs="Arial" w:eastAsia="Arial" w:hAnsi="Arial"/>
                <w:sz w:val="18"/>
                <w:szCs w:val="18"/>
                <w:color w:val="auto"/>
              </w:rPr>
              <w:t>(33,831)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(1,556)</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1,549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ind w:left="480"/>
              <w:spacing w:after="0"/>
              <w:rPr>
                <w:sz w:val="20"/>
                <w:szCs w:val="20"/>
                <w:color w:val="auto"/>
              </w:rPr>
            </w:pPr>
            <w:r>
              <w:rPr>
                <w:rFonts w:ascii="Arial" w:cs="Arial" w:eastAsia="Arial" w:hAnsi="Arial"/>
                <w:sz w:val="18"/>
                <w:szCs w:val="18"/>
                <w:color w:val="auto"/>
              </w:rPr>
              <w:t>Accounts payable and other accrued liabilities</w:t>
            </w: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73,799</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56,214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74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w w:val="88"/>
              </w:rPr>
              <w:t>(126,574)</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8"/>
              </w:rPr>
              <w:t>(87,960)</w:t>
            </w:r>
          </w:p>
        </w:tc>
        <w:tc>
          <w:tcPr>
            <w:tcW w:w="0" w:type="dxa"/>
            <w:vAlign w:val="bottom"/>
          </w:tcPr>
          <w:p>
            <w:pPr>
              <w:spacing w:after="0"/>
              <w:rPr>
                <w:sz w:val="1"/>
                <w:szCs w:val="1"/>
                <w:color w:val="auto"/>
              </w:rPr>
            </w:pPr>
          </w:p>
        </w:tc>
      </w:tr>
      <w:tr>
        <w:trPr>
          <w:trHeight w:val="108"/>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4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4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(22,795)</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8"/>
              </w:rPr>
              <w:t>(20,914)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20"/>
              <w:spacing w:after="0"/>
              <w:rPr>
                <w:sz w:val="20"/>
                <w:szCs w:val="20"/>
                <w:color w:val="auto"/>
              </w:rPr>
            </w:pPr>
            <w:r>
              <w:rPr>
                <w:rFonts w:ascii="Arial" w:cs="Arial" w:eastAsia="Arial" w:hAnsi="Arial"/>
                <w:sz w:val="18"/>
                <w:szCs w:val="18"/>
                <w:color w:val="auto"/>
              </w:rPr>
              <w:t>Proceeds from disposal of property, plant, and equipment</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Decrease in investment in affiliates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20"/>
              <w:spacing w:after="0"/>
              <w:rPr>
                <w:sz w:val="20"/>
                <w:szCs w:val="20"/>
                <w:color w:val="auto"/>
              </w:rPr>
            </w:pPr>
            <w:r>
              <w:rPr>
                <w:rFonts w:ascii="Arial" w:cs="Arial" w:eastAsia="Arial" w:hAnsi="Arial"/>
                <w:sz w:val="18"/>
                <w:szCs w:val="18"/>
                <w:color w:val="auto"/>
              </w:rPr>
              <w:t>Increase in other assets</w:t>
            </w:r>
          </w:p>
        </w:tc>
        <w:tc>
          <w:tcPr>
            <w:tcW w:w="420" w:type="dxa"/>
            <w:vAlign w:val="bottom"/>
          </w:tcPr>
          <w:p>
            <w:pPr>
              <w:spacing w:after="0"/>
              <w:rPr>
                <w:sz w:val="18"/>
                <w:szCs w:val="18"/>
                <w:color w:val="auto"/>
              </w:rPr>
            </w:pPr>
          </w:p>
        </w:tc>
        <w:tc>
          <w:tcPr>
            <w:tcW w:w="1080" w:type="dxa"/>
            <w:vAlign w:val="bottom"/>
            <w:gridSpan w:val="2"/>
          </w:tcPr>
          <w:p>
            <w:pPr>
              <w:jc w:val="right"/>
              <w:ind w:right="312"/>
              <w:spacing w:after="0"/>
              <w:rPr>
                <w:sz w:val="20"/>
                <w:szCs w:val="20"/>
                <w:color w:val="auto"/>
              </w:rPr>
            </w:pPr>
            <w:r>
              <w:rPr>
                <w:rFonts w:ascii="Arial" w:cs="Arial" w:eastAsia="Arial" w:hAnsi="Arial"/>
                <w:sz w:val="18"/>
                <w:szCs w:val="18"/>
                <w:color w:val="auto"/>
              </w:rPr>
              <w:t>(1,036)</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Proceeds from sale of business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1,016</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440" w:type="dxa"/>
            <w:vAlign w:val="bottom"/>
          </w:tcPr>
          <w:p>
            <w:pPr>
              <w:ind w:left="74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24"/>
                <w:szCs w:val="24"/>
                <w:color w:val="auto"/>
              </w:rPr>
            </w:pPr>
          </w:p>
        </w:tc>
        <w:tc>
          <w:tcPr>
            <w:tcW w:w="1080" w:type="dxa"/>
            <w:vAlign w:val="bottom"/>
            <w:gridSpan w:val="2"/>
          </w:tcPr>
          <w:p>
            <w:pPr>
              <w:jc w:val="right"/>
              <w:ind w:right="312"/>
              <w:spacing w:after="0"/>
              <w:rPr>
                <w:sz w:val="20"/>
                <w:szCs w:val="20"/>
                <w:color w:val="auto"/>
              </w:rPr>
            </w:pPr>
            <w:r>
              <w:rPr>
                <w:rFonts w:ascii="Arial" w:cs="Arial" w:eastAsia="Arial" w:hAnsi="Arial"/>
                <w:sz w:val="18"/>
                <w:szCs w:val="18"/>
                <w:color w:val="auto"/>
              </w:rPr>
              <w:t>(20,265)</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(23,958)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20"/>
              <w:spacing w:after="0"/>
              <w:rPr>
                <w:sz w:val="20"/>
                <w:szCs w:val="20"/>
                <w:color w:val="auto"/>
              </w:rPr>
            </w:pPr>
            <w:r>
              <w:rPr>
                <w:rFonts w:ascii="Arial" w:cs="Arial" w:eastAsia="Arial" w:hAnsi="Arial"/>
                <w:sz w:val="18"/>
                <w:szCs w:val="18"/>
                <w:color w:val="auto"/>
              </w:rPr>
              <w:t>Increase in short-term debt</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98,143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95,825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Repayments of long-term debt</w:t>
            </w:r>
          </w:p>
        </w:tc>
        <w:tc>
          <w:tcPr>
            <w:tcW w:w="4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(15,804)</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20"/>
              <w:spacing w:after="0"/>
              <w:rPr>
                <w:sz w:val="20"/>
                <w:szCs w:val="20"/>
                <w:color w:val="auto"/>
              </w:rPr>
            </w:pPr>
            <w:r>
              <w:rPr>
                <w:rFonts w:ascii="Arial" w:cs="Arial" w:eastAsia="Arial" w:hAnsi="Arial"/>
                <w:sz w:val="18"/>
                <w:szCs w:val="18"/>
                <w:color w:val="auto"/>
              </w:rPr>
              <w:t>Increase in other long-term liabilities</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4,039</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10,748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20"/>
              <w:spacing w:after="0"/>
              <w:rPr>
                <w:sz w:val="20"/>
                <w:szCs w:val="20"/>
                <w:color w:val="auto"/>
              </w:rPr>
            </w:pPr>
            <w:r>
              <w:rPr>
                <w:rFonts w:ascii="Arial" w:cs="Arial" w:eastAsia="Arial" w:hAnsi="Arial"/>
                <w:sz w:val="18"/>
                <w:szCs w:val="18"/>
                <w:color w:val="auto"/>
              </w:rPr>
              <w:t>Purchases of common stock</w:t>
            </w:r>
          </w:p>
        </w:tc>
        <w:tc>
          <w:tcPr>
            <w:tcW w:w="420" w:type="dxa"/>
            <w:vAlign w:val="bottom"/>
          </w:tcPr>
          <w:p>
            <w:pPr>
              <w:spacing w:after="0"/>
              <w:rPr>
                <w:sz w:val="18"/>
                <w:szCs w:val="18"/>
                <w:color w:val="auto"/>
              </w:rPr>
            </w:pPr>
          </w:p>
        </w:tc>
        <w:tc>
          <w:tcPr>
            <w:tcW w:w="1080" w:type="dxa"/>
            <w:vAlign w:val="bottom"/>
            <w:gridSpan w:val="2"/>
          </w:tcPr>
          <w:p>
            <w:pPr>
              <w:jc w:val="right"/>
              <w:ind w:right="312"/>
              <w:spacing w:after="0"/>
              <w:rPr>
                <w:sz w:val="20"/>
                <w:szCs w:val="20"/>
                <w:color w:val="auto"/>
              </w:rPr>
            </w:pPr>
            <w:r>
              <w:rPr>
                <w:rFonts w:ascii="Arial" w:cs="Arial" w:eastAsia="Arial" w:hAnsi="Arial"/>
                <w:sz w:val="18"/>
                <w:szCs w:val="18"/>
                <w:color w:val="auto"/>
              </w:rPr>
              <w:t>(722)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(5,311)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Dividends on common stock</w:t>
            </w:r>
          </w:p>
        </w:tc>
        <w:tc>
          <w:tcPr>
            <w:tcW w:w="4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(2,997)</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440" w:type="dxa"/>
            <w:vAlign w:val="bottom"/>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82,823</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98,294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8"/>
                <w:szCs w:val="18"/>
                <w:color w:val="auto"/>
              </w:rPr>
              <w:t>Foreign currency translation adjustment</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1,226</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6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6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420" w:type="dxa"/>
            <w:vAlign w:val="bottom"/>
          </w:tcPr>
          <w:p>
            <w:pPr>
              <w:spacing w:after="0"/>
              <w:rPr>
                <w:sz w:val="24"/>
                <w:szCs w:val="24"/>
                <w:color w:val="auto"/>
              </w:rPr>
            </w:pPr>
          </w:p>
        </w:tc>
        <w:tc>
          <w:tcPr>
            <w:tcW w:w="1080" w:type="dxa"/>
            <w:vAlign w:val="bottom"/>
            <w:gridSpan w:val="2"/>
          </w:tcPr>
          <w:p>
            <w:pPr>
              <w:jc w:val="right"/>
              <w:ind w:right="312"/>
              <w:spacing w:after="0"/>
              <w:rPr>
                <w:sz w:val="20"/>
                <w:szCs w:val="20"/>
                <w:color w:val="auto"/>
              </w:rPr>
            </w:pPr>
            <w:r>
              <w:rPr>
                <w:rFonts w:ascii="Arial" w:cs="Arial" w:eastAsia="Arial" w:hAnsi="Arial"/>
                <w:sz w:val="18"/>
                <w:szCs w:val="18"/>
                <w:color w:val="auto"/>
              </w:rPr>
              <w:t>(62,790)</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(12,814)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62,816</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12,876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6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60" w:type="dxa"/>
            <w:vAlign w:val="bottom"/>
            <w:gridSpan w:val="2"/>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700"/>
      </w:cols>
      <w:pgMar w:left="1100" w:top="935"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lowerLetter"/>
      <w:start w:val="3"/>
    </w:lvl>
  </w:abstractNum>
  <w:abstractNum w:abstractNumId="1">
    <w:nsid w:val="431BD7B7"/>
    <w:multiLevelType w:val="hybridMultilevel"/>
    <w:lvl w:ilvl="0">
      <w:lvlJc w:val="left"/>
      <w:lvlText w:val="4"/>
      <w:numFmt w:val="bullet"/>
      <w:start w:val="1"/>
    </w:lvl>
  </w:abstractNum>
  <w:abstractNum w:abstractNumId="2">
    <w:nsid w:val="3F2DBA31"/>
    <w:multiLevelType w:val="hybridMultilevel"/>
    <w:lvl w:ilvl="0">
      <w:lvlJc w:val="left"/>
      <w:lvlText w:val="%1."/>
      <w:numFmt w:val="upperLetter"/>
      <w:start w:val="1"/>
    </w:lvl>
    <w:lvl w:ilvl="1">
      <w:lvlJc w:val="left"/>
      <w:lvlText w:val="(%2)"/>
      <w:numFmt w:val="lowerRoman"/>
      <w:start w:val="1"/>
    </w:lvl>
  </w:abstractNum>
  <w:abstractNum w:abstractNumId="3">
    <w:nsid w:val="7C83E458"/>
    <w:multiLevelType w:val="hybridMultilevel"/>
    <w:lvl w:ilvl="0">
      <w:lvlJc w:val="left"/>
      <w:lvlText w:val="(%1)"/>
      <w:numFmt w:val="lowerRoman"/>
      <w:start w:val="2"/>
    </w:lvl>
  </w:abstractNum>
  <w:abstractNum w:abstractNumId="4">
    <w:nsid w:val="257130A3"/>
    <w:multiLevelType w:val="hybridMultilevel"/>
    <w:lvl w:ilvl="0">
      <w:lvlJc w:val="left"/>
      <w:lvlText w:val="%1."/>
      <w:numFmt w:val="upperLetter"/>
      <w:start w:val="3"/>
    </w:lvl>
    <w:lvl w:ilvl="1">
      <w:lvlJc w:val="left"/>
      <w:lvlText w:val="(%2)"/>
      <w:numFmt w:val="lowerRoman"/>
      <w:start w:val="1"/>
    </w:lvl>
    <w:lvl w:ilvl="2">
      <w:lvlJc w:val="left"/>
      <w:lvlText w:val="(%3)"/>
      <w:numFmt w:val="lowerLetter"/>
      <w:start w:val="1"/>
    </w:lvl>
  </w:abstractNum>
  <w:abstractNum w:abstractNumId="5">
    <w:nsid w:val="62BBD95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
    </w:lvl>
  </w:abstractNum>
  <w:abstractNum w:abstractNumId="6">
    <w:nsid w:val="436C6125"/>
    <w:multiLevelType w:val="hybridMultilevel"/>
    <w:lvl w:ilvl="0">
      <w:lvlJc w:val="left"/>
      <w:lvlText w:val="%1"/>
      <w:numFmt w:val="upperLetter"/>
      <w:start w:val="1"/>
    </w:lvl>
    <w:lvl w:ilvl="1">
      <w:lvlJc w:val="left"/>
      <w:lvlText w:val="(%2)"/>
      <w:numFmt w:val="lowerLetter"/>
      <w:start w:val="35"/>
    </w:lvl>
    <w:lvl w:ilvl="2">
      <w:lvlJc w:val="left"/>
      <w:lvlText w:val="%3"/>
      <w:numFmt w:val="lowerLetter"/>
      <w:start w:val="1"/>
    </w:lvl>
  </w:abstractNum>
  <w:abstractNum w:abstractNumId="7">
    <w:nsid w:val="628C895D"/>
    <w:multiLevelType w:val="hybridMultilevel"/>
    <w:lvl w:ilvl="0">
      <w:lvlJc w:val="left"/>
      <w:lvlText w:val="%1."/>
      <w:numFmt w:val="upperLetter"/>
      <w:start w:val="5"/>
    </w:lvl>
    <w:lvl w:ilvl="1">
      <w:lvlJc w:val="left"/>
      <w:lvlText w:val="%2"/>
      <w:numFmt w:val="lowerLetter"/>
      <w:start w:val="1"/>
    </w:lvl>
    <w:lvl w:ilvl="2">
      <w:lvlJc w:val="left"/>
      <w:lvlText w:val="%3"/>
      <w:numFmt w:val="lowerLetter"/>
      <w:start w:val="1"/>
    </w:lvl>
  </w:abstractNum>
  <w:abstractNum w:abstractNumId="8">
    <w:nsid w:val="333AB105"/>
    <w:multiLevelType w:val="hybridMultilevel"/>
    <w:lvl w:ilvl="0">
      <w:lvlJc w:val="left"/>
      <w:lvlText w:val="%1."/>
      <w:numFmt w:val="upperLetter"/>
      <w:start w:val="6"/>
    </w:lvl>
  </w:abstractNum>
  <w:abstractNum w:abstractNumId="9">
    <w:nsid w:val="721DA317"/>
    <w:multiLevelType w:val="hybridMultilevel"/>
    <w:lvl w:ilvl="0">
      <w:lvlJc w:val="left"/>
      <w:lvlText w:val="%1."/>
      <w:numFmt w:val="upperLetter"/>
      <w:start w:val="9"/>
    </w:lvl>
  </w:abstractNum>
  <w:abstractNum w:abstractNumId="10">
    <w:nsid w:val="2443A858"/>
    <w:multiLevelType w:val="hybridMultilevel"/>
    <w:lvl w:ilvl="0">
      <w:lvlJc w:val="left"/>
      <w:lvlText w:val="%1."/>
      <w:numFmt w:val="upperLetter"/>
      <w:start w:val="1"/>
    </w:lvl>
  </w:abstractNum>
  <w:abstractNum w:abstractNumId="11">
    <w:nsid w:val="2D1D5AE9"/>
    <w:multiLevelType w:val="hybridMultilevel"/>
    <w:lvl w:ilvl="0">
      <w:lvlJc w:val="left"/>
      <w:lvlText w:val="(%1)"/>
      <w:numFmt w:val="lowerRoman"/>
      <w:start w:val="1"/>
    </w:lvl>
  </w:abstractNum>
  <w:abstractNum w:abstractNumId="12">
    <w:nsid w:val="6763845E"/>
    <w:multiLevelType w:val="hybridMultilevel"/>
    <w:lvl w:ilvl="0">
      <w:lvlJc w:val="left"/>
      <w:lvlText w:val="(%1)"/>
      <w:numFmt w:val="lowerRoman"/>
      <w:start w:val="2"/>
    </w:lvl>
  </w:abstractNum>
  <w:abstractNum w:abstractNumId="13">
    <w:nsid w:val="75A2A8D4"/>
    <w:multiLevelType w:val="hybridMultilevel"/>
    <w:lvl w:ilvl="0">
      <w:lvlJc w:val="left"/>
      <w:lvlText w:val="(%1)"/>
      <w:numFmt w:val="lowerRoman"/>
      <w:start w:val="3"/>
    </w:lvl>
  </w:abstractNum>
  <w:abstractNum w:abstractNumId="14">
    <w:nsid w:val="8EDBDAB"/>
    <w:multiLevelType w:val="hybridMultilevel"/>
    <w:lvl w:ilvl="0">
      <w:lvlJc w:val="left"/>
      <w:lvlText w:val="%1."/>
      <w:numFmt w:val="upperLetter"/>
      <w:start w:val="2"/>
    </w:lvl>
  </w:abstractNum>
  <w:abstractNum w:abstractNumId="15">
    <w:nsid w:val="79838CB2"/>
    <w:multiLevelType w:val="hybridMultilevel"/>
    <w:lvl w:ilvl="0">
      <w:lvlJc w:val="left"/>
      <w:lvlText w:val="%1."/>
      <w:numFmt w:val="upperLetter"/>
      <w:start w:val="1"/>
    </w:lvl>
  </w:abstractNum>
  <w:abstractNum w:abstractNumId="16">
    <w:nsid w:val="4353D0CD"/>
    <w:multiLevelType w:val="hybridMultilevel"/>
    <w:lvl w:ilvl="0">
      <w:lvlJc w:val="left"/>
      <w:lvlText w:val="(%1)"/>
      <w:numFmt w:val="lowerLetter"/>
      <w:start w:val="9"/>
    </w:lvl>
    <w:lvl w:ilvl="1">
      <w:lvlJc w:val="left"/>
      <w:lvlText w:val="(%2)"/>
      <w:numFmt w:val="lowerLetter"/>
      <w:start w:val="1"/>
    </w:lvl>
  </w:abstractNum>
  <w:abstractNum w:abstractNumId="17">
    <w:nsid w:val="B03E0C6"/>
    <w:multiLevelType w:val="hybridMultilevel"/>
    <w:lvl w:ilvl="0">
      <w:lvlJc w:val="left"/>
      <w:lvlText w:val="(%1)"/>
      <w:numFmt w:val="lowerRoman"/>
      <w:start w:val="2"/>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
    </w:lvl>
  </w:abstractNum>
  <w:abstractNum w:abstractNumId="20">
    <w:nsid w:val="71F32454"/>
    <w:multiLevelType w:val="hybridMultilevel"/>
    <w:lvl w:ilvl="0">
      <w:lvlJc w:val="left"/>
      <w:lvlText w:val="(%1)"/>
      <w:numFmt w:val="lowerRoman"/>
      <w:start w:val="3"/>
    </w:lvl>
    <w:lvl w:ilvl="1">
      <w:lvlJc w:val="left"/>
      <w:lvlText w:val="(%2)"/>
      <w:numFmt w:val="lowerLetter"/>
      <w:start w:val="1"/>
    </w:lvl>
    <w:lvl w:ilvl="2">
      <w:lvlJc w:val="left"/>
      <w:lvlText w:val="%3"/>
      <w:numFmt w:val="lowerLetter"/>
      <w:start w:val="1"/>
    </w:lvl>
  </w:abstractNum>
  <w:abstractNum w:abstractNumId="21">
    <w:nsid w:val="2CA88611"/>
    <w:multiLevelType w:val="hybridMultilevel"/>
    <w:lvl w:ilvl="0">
      <w:lvlJc w:val="left"/>
      <w:lvlText w:val="(%1)"/>
      <w:numFmt w:val="lowerRoman"/>
      <w:start w:val="5"/>
    </w:lvl>
  </w:abstractNum>
  <w:abstractNum w:abstractNumId="22">
    <w:nsid w:val="836C40E"/>
    <w:multiLevelType w:val="hybridMultilevel"/>
    <w:lvl w:ilvl="0">
      <w:lvlJc w:val="left"/>
      <w:lvlText w:val="%1."/>
      <w:numFmt w:val="upperLetter"/>
      <w:start w:val="1"/>
    </w:lvl>
    <w:lvl w:ilvl="1">
      <w:lvlJc w:val="left"/>
      <w:lvlText w:val="(%2)"/>
      <w:numFmt w:val="lowerRoman"/>
      <w:start w:val="1"/>
    </w:lvl>
  </w:abstractNum>
  <w:abstractNum w:abstractNumId="23">
    <w:nsid w:val="2901D82"/>
    <w:multiLevelType w:val="hybridMultilevel"/>
    <w:lvl w:ilvl="0">
      <w:lvlJc w:val="left"/>
      <w:lvlText w:val="(%1)"/>
      <w:numFmt w:val="lowerRoman"/>
      <w:start w:val="1"/>
    </w:lvl>
  </w:abstractNum>
  <w:abstractNum w:abstractNumId="24">
    <w:nsid w:val="3A95F874"/>
    <w:multiLevelType w:val="hybridMultilevel"/>
    <w:lvl w:ilvl="0">
      <w:lvlJc w:val="left"/>
      <w:lvlText w:val="%1"/>
      <w:numFmt w:val="upperLetter"/>
      <w:start w:val="1"/>
    </w:lvl>
    <w:lvl w:ilvl="1">
      <w:lvlJc w:val="left"/>
      <w:lvlText w:val="(%2)"/>
      <w:numFmt w:val="lowerRoman"/>
      <w:start w:val="2"/>
    </w:lvl>
  </w:abstractNum>
  <w:abstractNum w:abstractNumId="25">
    <w:nsid w:val="8138641"/>
    <w:multiLevelType w:val="hybridMultilevel"/>
    <w:lvl w:ilvl="0">
      <w:lvlJc w:val="left"/>
      <w:lvlText w:val="%1."/>
      <w:numFmt w:val="upperLetter"/>
      <w:start w:val="4"/>
    </w:lvl>
    <w:lvl w:ilvl="1">
      <w:lvlJc w:val="left"/>
      <w:lvlText w:val="%2"/>
      <w:numFmt w:val="lowerRoman"/>
      <w:start w:val="1"/>
    </w:lvl>
  </w:abstractNum>
  <w:abstractNum w:abstractNumId="26">
    <w:nsid w:val="1E7FF521"/>
    <w:multiLevelType w:val="hybridMultilevel"/>
    <w:lvl w:ilvl="0">
      <w:lvlJc w:val="left"/>
      <w:lvlText w:val="%1."/>
      <w:numFmt w:val="upperLetter"/>
      <w:start w:val="9"/>
    </w:lvl>
  </w:abstractNum>
  <w:abstractNum w:abstractNumId="27">
    <w:nsid w:val="7C3DBD3D"/>
    <w:multiLevelType w:val="hybridMultilevel"/>
    <w:lvl w:ilvl="0">
      <w:lvlJc w:val="left"/>
      <w:lvlText w:val="%1."/>
      <w:numFmt w:val="upperLetter"/>
      <w:start w:val="1"/>
    </w:lvl>
  </w:abstractNum>
  <w:abstractNum w:abstractNumId="28">
    <w:nsid w:val="737B8DDC"/>
    <w:multiLevelType w:val="hybridMultilevel"/>
    <w:lvl w:ilvl="0">
      <w:lvlJc w:val="left"/>
      <w:lvlText w:val="%1."/>
      <w:numFmt w:val="upperLetter"/>
      <w:start w:val="2"/>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decimal"/>
      <w:start w:val="2"/>
    </w:lvl>
  </w:abstractNum>
  <w:abstractNum w:abstractNumId="31">
    <w:nsid w:val="4516DDE9"/>
    <w:multiLevelType w:val="hybridMultilevel"/>
    <w:lvl w:ilvl="0">
      <w:lvlJc w:val="left"/>
      <w:lvlText w:val="(%1)"/>
      <w:numFmt w:val="decimal"/>
      <w:start w:val="3"/>
    </w:lvl>
  </w:abstractNum>
  <w:abstractNum w:abstractNumId="32">
    <w:nsid w:val="3006C83E"/>
    <w:multiLevelType w:val="hybridMultilevel"/>
    <w:lvl w:ilvl="0">
      <w:lvlJc w:val="left"/>
      <w:lvlText w:val="(%1)"/>
      <w:numFmt w:val="upperLetter"/>
      <w:start w:val="2"/>
    </w:lvl>
  </w:abstractNum>
  <w:abstractNum w:abstractNumId="33">
    <w:nsid w:val="614FD4A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2019-12-13T13:54:48Z</dcterms:created>
  <dcterms:modified xsi:type="dcterms:W3CDTF">2019-12-13T13:54:48Z</dcterms:modified>
</cp:coreProperties>
</file>