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12/07/2017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VP, Treasurer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12/07/2017</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8"/>
              </w:rPr>
              <w:t>15,606</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81,651.335</w:t>
            </w:r>
            <w:r>
              <w:rPr>
                <w:rFonts w:ascii="Arial" w:cs="Arial" w:eastAsia="Arial" w:hAnsi="Arial"/>
                <w:sz w:val="22"/>
                <w:szCs w:val="22"/>
                <w:color w:val="008000"/>
                <w:w w:val="89"/>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80" w:type="dxa"/>
            <w:vAlign w:val="bottom"/>
            <w:gridSpan w:val="3"/>
          </w:tcPr>
          <w:p>
            <w:pPr>
              <w:jc w:val="center"/>
              <w:ind w:right="299"/>
              <w:spacing w:after="0"/>
              <w:rPr>
                <w:sz w:val="20"/>
                <w:szCs w:val="20"/>
                <w:color w:val="auto"/>
              </w:rPr>
            </w:pPr>
            <w:r>
              <w:rPr>
                <w:rFonts w:ascii="Arial" w:cs="Arial" w:eastAsia="Arial" w:hAnsi="Arial"/>
                <w:sz w:val="17"/>
                <w:szCs w:val="17"/>
                <w:color w:val="0000FF"/>
                <w:w w:val="91"/>
              </w:rPr>
              <w:t>54,472.344</w:t>
            </w: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8"/>
              </w:rPr>
              <w:t>572.528</w:t>
            </w:r>
            <w:r>
              <w:rPr>
                <w:rFonts w:ascii="Arial" w:cs="Arial" w:eastAsia="Arial" w:hAnsi="Arial"/>
                <w:sz w:val="22"/>
                <w:szCs w:val="22"/>
                <w:color w:val="008000"/>
                <w:w w:val="88"/>
                <w:vertAlign w:val="superscript"/>
              </w:rPr>
              <w:t>(3)</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65.93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12/08/2017</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28,400</w:t>
            </w:r>
          </w:p>
        </w:tc>
        <w:tc>
          <w:tcPr>
            <w:tcW w:w="320" w:type="dxa"/>
            <w:vAlign w:val="bottom"/>
          </w:tcPr>
          <w:p>
            <w:pPr>
              <w:spacing w:after="0"/>
              <w:rPr>
                <w:sz w:val="17"/>
                <w:szCs w:val="17"/>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80" w:type="dxa"/>
            <w:vAlign w:val="bottom"/>
          </w:tcPr>
          <w:p>
            <w:pPr>
              <w:ind w:left="60"/>
              <w:spacing w:after="0"/>
              <w:rPr>
                <w:sz w:val="20"/>
                <w:szCs w:val="20"/>
                <w:color w:val="auto"/>
              </w:rPr>
            </w:pPr>
            <w:r>
              <w:rPr>
                <w:rFonts w:ascii="Arial" w:cs="Arial" w:eastAsia="Arial" w:hAnsi="Arial"/>
                <w:sz w:val="13"/>
                <w:szCs w:val="13"/>
                <w:color w:val="0000FF"/>
              </w:rPr>
              <w:t>12/08/2027</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28,400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28,400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2015 to Fiscal 2017 Performance Period under The Toro Company Amended and Restated 2010 Equity and Incentive Plan, as amended and restated, as approved by the issuer's Compensation &amp; Human Resources Committee of its Board of Directors on December 5, 2017, and which was conditioned upon and subject to confirmation by the issuer's Fiscal 2017 financial results that were released on December 7, 2017.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183.268 performance share units acquired by the reporting person since the date of her last report under the dividend reinvestment feature of the Deferred Plan.</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1.561 net shares of common stock acquired by the reporting person since the date of her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12/11/2017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2019-12-23T21:12:42Z</dcterms:created>
  <dcterms:modified xsi:type="dcterms:W3CDTF">2019-12-23T21:12:42Z</dcterms:modified>
</cp:coreProperties>
</file>