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WILLIAM E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12/04/2014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Group VP, Comm. &amp; Irrigation</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4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95"/>
              </w:rPr>
              <w:t>if any</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12/04/2014</w:t>
            </w: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3,853</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8"/>
              </w:rPr>
              <w:t>107,797.001</w:t>
            </w:r>
            <w:r>
              <w:rPr>
                <w:rFonts w:ascii="Arial" w:cs="Arial" w:eastAsia="Arial" w:hAnsi="Arial"/>
                <w:sz w:val="22"/>
                <w:szCs w:val="22"/>
                <w:color w:val="008000"/>
                <w:w w:val="88"/>
                <w:vertAlign w:val="superscript"/>
              </w:rPr>
              <w:t>(2)</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2"/>
          </w:tcPr>
          <w:p>
            <w:pPr>
              <w:ind w:left="740"/>
              <w:spacing w:after="0"/>
              <w:rPr>
                <w:sz w:val="20"/>
                <w:szCs w:val="20"/>
                <w:color w:val="auto"/>
              </w:rPr>
            </w:pPr>
            <w:r>
              <w:rPr>
                <w:rFonts w:ascii="Arial" w:cs="Arial" w:eastAsia="Arial" w:hAnsi="Arial"/>
                <w:sz w:val="17"/>
                <w:szCs w:val="17"/>
                <w:color w:val="0000FF"/>
              </w:rPr>
              <w:t>12/04/2014</w:t>
            </w: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Pr>
          <w:p>
            <w:pPr>
              <w:jc w:val="right"/>
              <w:ind w:right="93"/>
              <w:spacing w:after="0"/>
              <w:rPr>
                <w:sz w:val="20"/>
                <w:szCs w:val="20"/>
                <w:color w:val="auto"/>
              </w:rPr>
            </w:pPr>
            <w:r>
              <w:rPr>
                <w:rFonts w:ascii="Arial" w:cs="Arial" w:eastAsia="Arial" w:hAnsi="Arial"/>
                <w:sz w:val="17"/>
                <w:szCs w:val="17"/>
                <w:color w:val="0000FF"/>
              </w:rPr>
              <w:t>1,295</w:t>
            </w:r>
          </w:p>
        </w:tc>
        <w:tc>
          <w:tcPr>
            <w:tcW w:w="600" w:type="dxa"/>
            <w:vAlign w:val="bottom"/>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64.97</w:t>
            </w:r>
          </w:p>
        </w:tc>
        <w:tc>
          <w:tcPr>
            <w:tcW w:w="1600" w:type="dxa"/>
            <w:vAlign w:val="bottom"/>
            <w:gridSpan w:val="3"/>
          </w:tcPr>
          <w:p>
            <w:pPr>
              <w:jc w:val="center"/>
              <w:ind w:right="299"/>
              <w:spacing w:after="0"/>
              <w:rPr>
                <w:sz w:val="20"/>
                <w:szCs w:val="20"/>
                <w:color w:val="auto"/>
              </w:rPr>
            </w:pPr>
            <w:r>
              <w:rPr>
                <w:rFonts w:ascii="Arial" w:cs="Arial" w:eastAsia="Arial" w:hAnsi="Arial"/>
                <w:sz w:val="17"/>
                <w:szCs w:val="17"/>
                <w:color w:val="0000FF"/>
                <w:w w:val="93"/>
              </w:rPr>
              <w:t>106,502.001</w:t>
            </w: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9"/>
              </w:rPr>
              <w:t>4,952.772</w:t>
            </w:r>
            <w:r>
              <w:rPr>
                <w:rFonts w:ascii="Arial" w:cs="Arial" w:eastAsia="Arial" w:hAnsi="Arial"/>
                <w:sz w:val="22"/>
                <w:szCs w:val="22"/>
                <w:color w:val="008000"/>
                <w:w w:val="89"/>
                <w:vertAlign w:val="superscript"/>
              </w:rPr>
              <w:t>(3)</w:t>
            </w: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12/05/2014</w:t>
            </w:r>
          </w:p>
        </w:tc>
        <w:tc>
          <w:tcPr>
            <w:tcW w:w="1180" w:type="dxa"/>
            <w:vAlign w:val="bottom"/>
          </w:tcPr>
          <w:p>
            <w:pPr>
              <w:spacing w:after="0"/>
              <w:rPr>
                <w:sz w:val="17"/>
                <w:szCs w:val="17"/>
                <w:color w:val="auto"/>
              </w:rPr>
            </w:pPr>
          </w:p>
        </w:tc>
        <w:tc>
          <w:tcPr>
            <w:tcW w:w="480" w:type="dxa"/>
            <w:vAlign w:val="bottom"/>
          </w:tcPr>
          <w:p>
            <w:pPr>
              <w:ind w:left="180"/>
              <w:spacing w:after="0"/>
              <w:rPr>
                <w:sz w:val="20"/>
                <w:szCs w:val="20"/>
                <w:color w:val="auto"/>
              </w:rPr>
            </w:pPr>
            <w:r>
              <w:rPr>
                <w:rFonts w:ascii="Arial" w:cs="Arial" w:eastAsia="Arial" w:hAnsi="Arial"/>
                <w:sz w:val="13"/>
                <w:szCs w:val="13"/>
                <w:color w:val="0000FF"/>
              </w:rPr>
              <w:t>A</w:t>
            </w:r>
          </w:p>
        </w:tc>
        <w:tc>
          <w:tcPr>
            <w:tcW w:w="4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3"/>
                <w:szCs w:val="13"/>
                <w:color w:val="0000FF"/>
              </w:rPr>
              <w:t>11,300</w:t>
            </w:r>
          </w:p>
        </w:tc>
        <w:tc>
          <w:tcPr>
            <w:tcW w:w="30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80" w:type="dxa"/>
            <w:vAlign w:val="bottom"/>
          </w:tcPr>
          <w:p>
            <w:pPr>
              <w:ind w:left="100"/>
              <w:spacing w:after="0"/>
              <w:rPr>
                <w:sz w:val="20"/>
                <w:szCs w:val="20"/>
                <w:color w:val="auto"/>
              </w:rPr>
            </w:pPr>
            <w:r>
              <w:rPr>
                <w:rFonts w:ascii="Arial" w:cs="Arial" w:eastAsia="Arial" w:hAnsi="Arial"/>
                <w:sz w:val="13"/>
                <w:szCs w:val="13"/>
                <w:color w:val="0000FF"/>
              </w:rPr>
              <w:t>12/05/2024</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20" w:type="dxa"/>
            <w:vAlign w:val="bottom"/>
          </w:tcPr>
          <w:p>
            <w:pPr>
              <w:ind w:left="120"/>
              <w:spacing w:after="0"/>
              <w:rPr>
                <w:sz w:val="20"/>
                <w:szCs w:val="20"/>
                <w:color w:val="auto"/>
              </w:rPr>
            </w:pPr>
            <w:r>
              <w:rPr>
                <w:rFonts w:ascii="Arial" w:cs="Arial" w:eastAsia="Arial" w:hAnsi="Arial"/>
                <w:sz w:val="17"/>
                <w:szCs w:val="17"/>
                <w:color w:val="0000FF"/>
                <w:w w:val="92"/>
              </w:rPr>
              <w:t>11,300</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11,300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2012 to Fiscal 2014 Performance Period under The Toro Company 2010 Equity and Incentive Plan, as amended (the "2010 Plan"), as approved by the registrant's Compensation &amp; Human Resources Committee of its Board of Directors on December 2, 2014, and which was conditioned upon and subject to confirmation by the registrant's Fiscal 2014 financial results that were released on December 4, 2014. Performance Share Awards are paid in shares of common stock under the 2010 Plan.</w:t>
      </w:r>
    </w:p>
    <w:p>
      <w:pPr>
        <w:spacing w:after="0" w:line="2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30.7 shares of common stock acquired by the reporting person since the date of his last report under The Toro Company Dividend Reinvestment Plan (the "DRIP") on 3,071.301 shares of restricted stock. The restricted stock and all related DRIP shares vest in full on the third anniversary of the date of grant, which was March 20, 2012.</w:t>
      </w:r>
    </w:p>
    <w:p>
      <w:pPr>
        <w:spacing w:after="0" w:line="9" w:lineRule="exact"/>
        <w:rPr>
          <w:rFonts w:ascii="Arial" w:cs="Arial" w:eastAsia="Arial" w:hAnsi="Arial"/>
          <w:sz w:val="13"/>
          <w:szCs w:val="13"/>
          <w:color w:val="008000"/>
        </w:rPr>
      </w:pPr>
    </w:p>
    <w:p>
      <w:pPr>
        <w:ind w:left="40" w:right="44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48.633 net shares acquired under the dividend reinvestment feature of The Toro Company Investment, Savings &amp; ESOP (IS&amp;ESOP) less quarterly non-discretionary administrative fees; and 58.661 shares acquired through issuer annual investment fund contributions to the IS&amp;ESOP.</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12/08/2014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2019-12-17T03:01:11Z</dcterms:created>
  <dcterms:modified xsi:type="dcterms:W3CDTF">2019-12-17T03:01:11Z</dcterms:modified>
</cp:coreProperties>
</file>