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UNITED STATES SECURITIES AND EXCHANGE COMMISSION</w:t>
      </w:r>
    </w:p>
    <w:p>
      <w:pPr>
        <w:jc w:val="center"/>
        <w:ind w:right="1679"/>
        <w:spacing w:after="0"/>
        <w:tabs>
          <w:tab w:leader="none" w:pos="20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10-K</w:t>
      </w:r>
    </w:p>
    <w:p>
      <w:pPr>
        <w:spacing w:after="0" w:line="207" w:lineRule="exact"/>
        <w:rPr>
          <w:sz w:val="24"/>
          <w:szCs w:val="24"/>
          <w:color w:val="auto"/>
        </w:rPr>
      </w:pPr>
    </w:p>
    <w:p>
      <w:pPr>
        <w:ind w:right="2619" w:firstLine="535"/>
        <w:spacing w:after="0" w:line="235" w:lineRule="auto"/>
        <w:tabs>
          <w:tab w:leader="none" w:pos="948"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 Pursuant to Section 13 or 15(d) of the Securities Exchange Act of 1934</w:t>
      </w:r>
    </w:p>
    <w:p>
      <w:pPr>
        <w:spacing w:after="0" w:line="1" w:lineRule="exact"/>
        <w:rPr>
          <w:rFonts w:ascii="Courier New" w:cs="Courier New" w:eastAsia="Courier New" w:hAnsi="Courier New"/>
          <w:sz w:val="18"/>
          <w:szCs w:val="18"/>
          <w:color w:val="auto"/>
        </w:rPr>
      </w:pP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 the Fiscal Year Ended  July 31, 1994</w:t>
      </w:r>
    </w:p>
    <w:p>
      <w:pPr>
        <w:ind w:left="390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right="2199" w:firstLine="535"/>
        <w:spacing w:after="0" w:line="235" w:lineRule="auto"/>
        <w:tabs>
          <w:tab w:leader="none" w:pos="737"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w:t>
      </w:r>
    </w:p>
    <w:p>
      <w:pPr>
        <w:ind w:left="1160"/>
        <w:spacing w:after="0"/>
        <w:tabs>
          <w:tab w:leader="none" w:pos="6000" w:val="left"/>
        </w:tabs>
        <w:rPr>
          <w:sz w:val="20"/>
          <w:szCs w:val="20"/>
          <w:color w:val="auto"/>
        </w:rPr>
      </w:pPr>
      <w:r>
        <w:rPr>
          <w:rFonts w:ascii="Courier New" w:cs="Courier New" w:eastAsia="Courier New" w:hAnsi="Courier New"/>
          <w:sz w:val="18"/>
          <w:szCs w:val="18"/>
          <w:color w:val="auto"/>
        </w:rPr>
        <w:t>For the transition period from</w:t>
      </w:r>
      <w:r>
        <w:rPr>
          <w:sz w:val="20"/>
          <w:szCs w:val="20"/>
          <w:color w:val="auto"/>
        </w:rPr>
        <w:tab/>
      </w:r>
      <w:r>
        <w:rPr>
          <w:rFonts w:ascii="Courier New" w:cs="Courier New" w:eastAsia="Courier New" w:hAnsi="Courier New"/>
          <w:sz w:val="16"/>
          <w:szCs w:val="16"/>
          <w:color w:val="auto"/>
        </w:rPr>
        <w:t>to</w:t>
      </w:r>
    </w:p>
    <w:p>
      <w:pPr>
        <w:sectPr>
          <w:pgSz w:w="11900" w:h="16838" w:orient="portrait"/>
          <w:cols w:equalWidth="0" w:num="1">
            <w:col w:w="10219"/>
          </w:cols>
          <w:pgMar w:left="240" w:top="852" w:right="1440" w:bottom="1440" w:gutter="0" w:footer="0" w:header="0"/>
        </w:sectPr>
      </w:pPr>
    </w:p>
    <w:p>
      <w:pPr>
        <w:spacing w:after="0" w:line="4" w:lineRule="exact"/>
        <w:rPr>
          <w:sz w:val="24"/>
          <w:szCs w:val="24"/>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900" w:space="420"/>
            <w:col w:w="3899"/>
          </w:cols>
          <w:pgMar w:left="240" w:top="852" w:right="1440" w:bottom="1440" w:gutter="0" w:footer="0" w:header="0"/>
          <w:type w:val="continuous"/>
        </w:sectPr>
      </w:pPr>
    </w:p>
    <w:p>
      <w:pPr>
        <w:spacing w:after="0" w:line="24" w:lineRule="exact"/>
        <w:rPr>
          <w:sz w:val="24"/>
          <w:szCs w:val="24"/>
          <w:color w:val="auto"/>
        </w:rPr>
      </w:pPr>
    </w:p>
    <w:p>
      <w:pPr>
        <w:ind w:left="2640"/>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jc w:val="center"/>
        <w:ind w:right="4319"/>
        <w:spacing w:after="0"/>
        <w:rPr>
          <w:sz w:val="20"/>
          <w:szCs w:val="20"/>
          <w:color w:val="auto"/>
        </w:rPr>
      </w:pPr>
      <w:r>
        <w:rPr>
          <w:rFonts w:ascii="Courier New" w:cs="Courier New" w:eastAsia="Courier New" w:hAnsi="Courier New"/>
          <w:sz w:val="18"/>
          <w:szCs w:val="18"/>
          <w:color w:val="auto"/>
        </w:rPr>
        <w:t>1-8649</w:t>
      </w:r>
    </w:p>
    <w:p>
      <w:pPr>
        <w:spacing w:after="0" w:line="4" w:lineRule="exact"/>
        <w:rPr>
          <w:sz w:val="24"/>
          <w:szCs w:val="24"/>
          <w:color w:val="auto"/>
        </w:rPr>
      </w:pPr>
    </w:p>
    <w:p>
      <w:pPr>
        <w:jc w:val="center"/>
        <w:ind w:right="431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4960" w:space="100"/>
            <w:col w:w="5159"/>
          </w:cols>
          <w:pgMar w:left="240" w:top="852" w:right="1440" w:bottom="1440" w:gutter="0" w:footer="0" w:header="0"/>
          <w:type w:val="continuous"/>
        </w:sectPr>
      </w:pPr>
    </w:p>
    <w:p>
      <w:pPr>
        <w:spacing w:after="0" w:line="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TORO COMPANY</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852" w:right="1440" w:bottom="1440" w:gutter="0" w:footer="0" w:header="0"/>
          <w:type w:val="continuous"/>
        </w:sectPr>
      </w:pPr>
    </w:p>
    <w:p>
      <w:pPr>
        <w:spacing w:after="0" w:line="218" w:lineRule="exact"/>
        <w:rPr>
          <w:sz w:val="24"/>
          <w:szCs w:val="24"/>
          <w:color w:val="auto"/>
        </w:rPr>
      </w:pPr>
    </w:p>
    <w:p>
      <w:pPr>
        <w:jc w:val="center"/>
        <w:ind w:right="22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jc w:val="center"/>
        <w:ind w:right="220"/>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41-0580470</w:t>
      </w:r>
    </w:p>
    <w:p>
      <w:pPr>
        <w:spacing w:after="0" w:line="4"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6"/>
          <w:szCs w:val="16"/>
          <w:color w:val="auto"/>
        </w:rPr>
        <w:t>(I.R.S. Employer Identification Number)</w:t>
      </w:r>
    </w:p>
    <w:p>
      <w:pPr>
        <w:spacing w:after="0" w:line="200" w:lineRule="exact"/>
        <w:rPr>
          <w:sz w:val="24"/>
          <w:szCs w:val="24"/>
          <w:color w:val="auto"/>
        </w:rPr>
      </w:pPr>
    </w:p>
    <w:p>
      <w:pPr>
        <w:sectPr>
          <w:pgSz w:w="11900" w:h="16838" w:orient="portrait"/>
          <w:cols w:equalWidth="0" w:num="2">
            <w:col w:w="3180" w:space="720"/>
            <w:col w:w="6319"/>
          </w:cols>
          <w:pgMar w:left="240" w:top="852" w:right="1440" w:bottom="1440" w:gutter="0" w:footer="0" w:header="0"/>
          <w:type w:val="continuous"/>
        </w:sectPr>
      </w:pPr>
    </w:p>
    <w:p>
      <w:pPr>
        <w:spacing w:after="0" w:line="18"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8111 LYNDALE AVENUE SOUTH</w:t>
      </w:r>
    </w:p>
    <w:p>
      <w:pPr>
        <w:jc w:val="center"/>
        <w:ind w:right="1679"/>
        <w:spacing w:after="0"/>
        <w:tabs>
          <w:tab w:leader="none" w:pos="200" w:val="left"/>
        </w:tabs>
        <w:rPr>
          <w:sz w:val="20"/>
          <w:szCs w:val="20"/>
          <w:color w:val="auto"/>
        </w:rPr>
      </w:pPr>
      <w:r>
        <w:rPr>
          <w:rFonts w:ascii="Courier New" w:cs="Courier New" w:eastAsia="Courier New" w:hAnsi="Courier New"/>
          <w:sz w:val="18"/>
          <w:szCs w:val="18"/>
          <w:color w:val="auto"/>
        </w:rPr>
        <w:t>BLOOMINGTON, MINNESOTA</w:t>
      </w:r>
      <w:r>
        <w:rPr>
          <w:sz w:val="20"/>
          <w:szCs w:val="20"/>
          <w:color w:val="auto"/>
        </w:rPr>
        <w:tab/>
      </w:r>
      <w:r>
        <w:rPr>
          <w:rFonts w:ascii="Courier New" w:cs="Courier New" w:eastAsia="Courier New" w:hAnsi="Courier New"/>
          <w:sz w:val="16"/>
          <w:szCs w:val="16"/>
          <w:color w:val="auto"/>
        </w:rPr>
        <w:t>55420</w:t>
      </w:r>
    </w:p>
    <w:p>
      <w:pPr>
        <w:sectPr>
          <w:pgSz w:w="11900" w:h="16838" w:orient="portrait"/>
          <w:cols w:equalWidth="0" w:num="1">
            <w:col w:w="10219"/>
          </w:cols>
          <w:pgMar w:left="240" w:top="852" w:right="1440" w:bottom="1440" w:gutter="0" w:footer="0" w:header="0"/>
          <w:type w:val="continuous"/>
        </w:sectPr>
      </w:pPr>
    </w:p>
    <w:p>
      <w:pPr>
        <w:ind w:left="2540"/>
        <w:spacing w:after="0"/>
        <w:rPr>
          <w:sz w:val="20"/>
          <w:szCs w:val="20"/>
          <w:color w:val="auto"/>
        </w:rPr>
      </w:pPr>
      <w:r>
        <w:rPr>
          <w:rFonts w:ascii="Courier New" w:cs="Courier New" w:eastAsia="Courier New" w:hAnsi="Courier New"/>
          <w:sz w:val="18"/>
          <w:szCs w:val="18"/>
          <w:color w:val="auto"/>
        </w:rPr>
        <w:t>TELEPHONE NUMBER: (612) 888-8801</w:t>
      </w:r>
    </w:p>
    <w:p>
      <w:pPr>
        <w:spacing w:after="0" w:line="3"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(Address, including zip code, and telephone number, including area code, of</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registrant's principal executive offices)</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ind w:left="1160"/>
        <w:spacing w:after="0"/>
        <w:rPr>
          <w:sz w:val="20"/>
          <w:szCs w:val="20"/>
          <w:color w:val="auto"/>
        </w:rPr>
      </w:pPr>
      <w:r>
        <w:rPr>
          <w:rFonts w:ascii="Courier New" w:cs="Courier New" w:eastAsia="Courier New" w:hAnsi="Courier New"/>
          <w:sz w:val="18"/>
          <w:szCs w:val="18"/>
          <w:color w:val="auto"/>
        </w:rPr>
        <w:t>Securities registered pursuant to Section 12(b) of the Act:</w:t>
      </w:r>
    </w:p>
    <w:p>
      <w:pPr>
        <w:sectPr>
          <w:pgSz w:w="11900" w:h="16838" w:orient="portrait"/>
          <w:cols w:equalWidth="0" w:num="1">
            <w:col w:w="10219"/>
          </w:cols>
          <w:pgMar w:left="240" w:top="852" w:right="1440" w:bottom="1440" w:gutter="0" w:footer="0" w:header="0"/>
          <w:type w:val="continuous"/>
        </w:sectPr>
      </w:pPr>
    </w:p>
    <w:p>
      <w:pPr>
        <w:spacing w:after="0" w:line="206" w:lineRule="exact"/>
        <w:rPr>
          <w:sz w:val="24"/>
          <w:szCs w:val="24"/>
          <w:color w:val="auto"/>
        </w:rPr>
      </w:pPr>
    </w:p>
    <w:p>
      <w:pPr>
        <w:ind w:right="1300"/>
        <w:spacing w:after="0" w:line="235" w:lineRule="auto"/>
        <w:rPr>
          <w:sz w:val="20"/>
          <w:szCs w:val="20"/>
          <w:color w:val="auto"/>
        </w:rPr>
      </w:pPr>
      <w:r>
        <w:rPr>
          <w:rFonts w:ascii="Courier New" w:cs="Courier New" w:eastAsia="Courier New" w:hAnsi="Courier New"/>
          <w:sz w:val="18"/>
          <w:szCs w:val="18"/>
          <w:color w:val="auto"/>
        </w:rPr>
        <w:t>TITLE OF EACH CLASS Common Stock</w:t>
      </w:r>
    </w:p>
    <w:p>
      <w:pPr>
        <w:spacing w:after="0" w:line="20" w:lineRule="exact"/>
        <w:rPr>
          <w:sz w:val="24"/>
          <w:szCs w:val="24"/>
          <w:color w:val="auto"/>
        </w:rPr>
      </w:pPr>
      <w:r>
        <w:rPr>
          <w:sz w:val="24"/>
          <w:szCs w:val="24"/>
          <w:color w:val="auto"/>
        </w:rPr>
        <w:br w:type="column"/>
      </w:r>
    </w:p>
    <w:p>
      <w:pPr>
        <w:spacing w:after="0" w:line="186"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NAME OF EACH EXCHANGE ON WHICH REGISTERED New York Stock Exchange</w:t>
      </w:r>
    </w:p>
    <w:p>
      <w:pPr>
        <w:spacing w:after="0" w:line="6" w:lineRule="exact"/>
        <w:rPr>
          <w:sz w:val="24"/>
          <w:szCs w:val="24"/>
          <w:color w:val="auto"/>
        </w:rPr>
      </w:pPr>
    </w:p>
    <w:p>
      <w:pPr>
        <w:sectPr>
          <w:pgSz w:w="11900" w:h="16838" w:orient="portrait"/>
          <w:cols w:equalWidth="0" w:num="2">
            <w:col w:w="3300" w:space="720"/>
            <w:col w:w="6199"/>
          </w:cols>
          <w:pgMar w:left="240" w:top="852" w:right="1440" w:bottom="1440" w:gutter="0" w:footer="0" w:header="0"/>
          <w:type w:val="continuous"/>
        </w:sectPr>
      </w:pPr>
    </w:p>
    <w:p>
      <w:pPr>
        <w:ind w:left="220"/>
        <w:spacing w:after="0"/>
        <w:rPr>
          <w:sz w:val="20"/>
          <w:szCs w:val="20"/>
          <w:color w:val="auto"/>
        </w:rPr>
      </w:pPr>
      <w:r>
        <w:rPr>
          <w:rFonts w:ascii="Courier New" w:cs="Courier New" w:eastAsia="Courier New" w:hAnsi="Courier New"/>
          <w:sz w:val="16"/>
          <w:szCs w:val="16"/>
          <w:color w:val="auto"/>
        </w:rPr>
        <w:t>par value $1.00 per share</w:t>
      </w:r>
    </w:p>
    <w:p>
      <w:pPr>
        <w:sectPr>
          <w:pgSz w:w="11900" w:h="16838" w:orient="portrait"/>
          <w:cols w:equalWidth="0" w:num="1">
            <w:col w:w="10219"/>
          </w:cols>
          <w:pgMar w:left="240" w:top="852" w:right="1440" w:bottom="1440" w:gutter="0" w:footer="0" w:header="0"/>
          <w:type w:val="continuous"/>
        </w:sectPr>
      </w:pP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Preferred Share Purchase Rights</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New York Stock Exchange</w:t>
      </w:r>
    </w:p>
    <w:p>
      <w:pPr>
        <w:spacing w:after="0" w:line="200" w:lineRule="exact"/>
        <w:rPr>
          <w:sz w:val="24"/>
          <w:szCs w:val="24"/>
          <w:color w:val="auto"/>
        </w:rPr>
      </w:pPr>
    </w:p>
    <w:p>
      <w:pPr>
        <w:sectPr>
          <w:pgSz w:w="11900" w:h="16838" w:orient="portrait"/>
          <w:cols w:equalWidth="0" w:num="2">
            <w:col w:w="3300" w:space="720"/>
            <w:col w:w="6199"/>
          </w:cols>
          <w:pgMar w:left="240" w:top="852" w:right="1440" w:bottom="1440" w:gutter="0" w:footer="0" w:header="0"/>
          <w:type w:val="continuous"/>
        </w:sectPr>
      </w:pPr>
    </w:p>
    <w:p>
      <w:pPr>
        <w:spacing w:after="0" w:line="2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6"/>
          <w:szCs w:val="16"/>
          <w:color w:val="auto"/>
        </w:rPr>
        <w:t>Securities registered pursuant to Section 12(g) of the Act:</w:t>
      </w:r>
    </w:p>
    <w:p>
      <w:pPr>
        <w:spacing w:after="0" w:line="1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852" w:right="1440" w:bottom="1440" w:gutter="0" w:footer="0" w:header="0"/>
          <w:type w:val="continuous"/>
        </w:sectPr>
      </w:pP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20"/>
                <w:szCs w:val="20"/>
                <w:color w:val="auto"/>
              </w:rPr>
            </w:pPr>
            <w:r>
              <w:rPr>
                <w:rFonts w:ascii="Courier New" w:cs="Courier New" w:eastAsia="Courier New" w:hAnsi="Courier New"/>
                <w:sz w:val="18"/>
                <w:szCs w:val="18"/>
                <w:color w:val="auto"/>
              </w:rPr>
              <w:t>Indicate by</w:t>
            </w:r>
          </w:p>
        </w:tc>
        <w:tc>
          <w:tcPr>
            <w:tcW w:w="11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check mark</w:t>
            </w:r>
          </w:p>
        </w:tc>
        <w:tc>
          <w:tcPr>
            <w:tcW w:w="8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whether</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the</w:t>
            </w:r>
          </w:p>
        </w:tc>
        <w:tc>
          <w:tcPr>
            <w:tcW w:w="4800" w:type="dxa"/>
            <w:vAlign w:val="bottom"/>
            <w:gridSpan w:val="5"/>
          </w:tcPr>
          <w:p>
            <w:pPr>
              <w:ind w:left="60"/>
              <w:spacing w:after="0"/>
              <w:rPr>
                <w:sz w:val="20"/>
                <w:szCs w:val="20"/>
                <w:color w:val="auto"/>
              </w:rPr>
            </w:pPr>
            <w:r>
              <w:rPr>
                <w:rFonts w:ascii="Courier New" w:cs="Courier New" w:eastAsia="Courier New" w:hAnsi="Courier New"/>
                <w:sz w:val="18"/>
                <w:szCs w:val="18"/>
                <w:color w:val="auto"/>
                <w:w w:val="97"/>
              </w:rPr>
              <w:t>registrant (1) has filed all reports required</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to be filed</w:t>
            </w:r>
          </w:p>
        </w:tc>
        <w:tc>
          <w:tcPr>
            <w:tcW w:w="1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by Section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or</w:t>
            </w:r>
          </w:p>
        </w:tc>
        <w:tc>
          <w:tcPr>
            <w:tcW w:w="10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15 (d) of</w:t>
            </w:r>
          </w:p>
        </w:tc>
        <w:tc>
          <w:tcPr>
            <w:tcW w:w="25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the Securities Exchange</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Act of 1934</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during the preceding</w:t>
            </w:r>
          </w:p>
        </w:tc>
        <w:tc>
          <w:tcPr>
            <w:tcW w:w="10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12 months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c>
          <w:tcPr>
            <w:tcW w:w="438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has been subject to such filing</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requirements for the</w:t>
            </w:r>
          </w:p>
        </w:tc>
        <w:tc>
          <w:tcPr>
            <w:tcW w:w="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past</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90</w:t>
            </w:r>
          </w:p>
        </w:tc>
        <w:tc>
          <w:tcPr>
            <w:tcW w:w="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days.</w:t>
            </w:r>
          </w:p>
        </w:tc>
        <w:tc>
          <w:tcPr>
            <w:tcW w:w="420" w:type="dxa"/>
            <w:vAlign w:val="bottom"/>
          </w:tcPr>
          <w:p>
            <w:pPr>
              <w:spacing w:after="0"/>
              <w:rPr>
                <w:sz w:val="17"/>
                <w:szCs w:val="17"/>
                <w:color w:val="auto"/>
              </w:rPr>
            </w:pP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Yes</w:t>
            </w:r>
          </w:p>
        </w:tc>
        <w:tc>
          <w:tcPr>
            <w:tcW w:w="142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2"/>
              </w:rPr>
              <w:t>X</w:t>
            </w:r>
          </w:p>
        </w:tc>
        <w:tc>
          <w:tcPr>
            <w:tcW w:w="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w:t>
            </w:r>
          </w:p>
        </w:tc>
        <w:tc>
          <w:tcPr>
            <w:tcW w:w="184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spacing w:after="0"/>
              <w:rPr>
                <w:sz w:val="17"/>
                <w:szCs w:val="17"/>
                <w:color w:val="auto"/>
              </w:rPr>
            </w:pP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209" w:lineRule="exact"/>
        <w:rPr>
          <w:sz w:val="24"/>
          <w:szCs w:val="24"/>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The aggregate market value of the voting stock held by nonaffiliates of the Registrant, based upon the close price of the Common Stock on September 30, 1994 as reported on the New York Stock Exchange, was approximately $314,586,300.</w:t>
      </w:r>
    </w:p>
    <w:p>
      <w:pPr>
        <w:spacing w:after="0" w:line="178" w:lineRule="exact"/>
        <w:rPr>
          <w:sz w:val="24"/>
          <w:szCs w:val="24"/>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The number of shares of Common Stock outstanding as of September 30, 1994 was 12,583,452.</w:t>
      </w:r>
    </w:p>
    <w:p>
      <w:pPr>
        <w:spacing w:after="0" w:line="203"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DOCUMENTS INCORPORATED BY REFERENCE</w:t>
      </w:r>
    </w:p>
    <w:p>
      <w:pPr>
        <w:spacing w:after="0" w:line="207" w:lineRule="exact"/>
        <w:rPr>
          <w:sz w:val="24"/>
          <w:szCs w:val="24"/>
          <w:color w:val="auto"/>
        </w:rPr>
      </w:pPr>
    </w:p>
    <w:p>
      <w:pPr>
        <w:ind w:right="1999"/>
        <w:spacing w:after="0" w:line="290" w:lineRule="auto"/>
        <w:rPr>
          <w:sz w:val="20"/>
          <w:szCs w:val="20"/>
          <w:color w:val="auto"/>
        </w:rPr>
      </w:pPr>
      <w:r>
        <w:rPr>
          <w:rFonts w:ascii="Courier New" w:cs="Courier New" w:eastAsia="Courier New" w:hAnsi="Courier New"/>
          <w:sz w:val="16"/>
          <w:szCs w:val="16"/>
          <w:color w:val="auto"/>
        </w:rPr>
        <w:t>Portions of the Registrant's Annual Report to Stockholders for the fiscal year ended July 31, 1994, are incorporated by reference into Parts I, II and IV.</w:t>
      </w:r>
    </w:p>
    <w:p>
      <w:pPr>
        <w:spacing w:after="0" w:line="170"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Portions of the Registrant's Proxy Statement for the Annual Meeting of Stockholders to be held December 15, 1994, are incorporated by reference into Part III.</w:t>
      </w:r>
    </w:p>
    <w:p>
      <w:pPr>
        <w:sectPr>
          <w:pgSz w:w="11900" w:h="16838" w:orient="portrait"/>
          <w:cols w:equalWidth="0" w:num="1">
            <w:col w:w="10219"/>
          </w:cols>
          <w:pgMar w:left="240" w:top="852" w:right="1440" w:bottom="1440" w:gutter="0" w:footer="0" w:header="0"/>
          <w:type w:val="continuous"/>
        </w:sectPr>
      </w:pPr>
    </w:p>
    <w:bookmarkStart w:id="1" w:name="page2"/>
    <w:bookmarkEnd w:id="1"/>
    <w:p>
      <w:pPr>
        <w:jc w:val="right"/>
        <w:ind w:right="1779"/>
        <w:spacing w:after="0"/>
        <w:rPr>
          <w:sz w:val="20"/>
          <w:szCs w:val="20"/>
          <w:color w:val="auto"/>
        </w:rPr>
      </w:pPr>
      <w:r>
        <w:rPr>
          <w:rFonts w:ascii="Courier New" w:cs="Courier New" w:eastAsia="Courier New" w:hAnsi="Courier New"/>
          <w:sz w:val="18"/>
          <w:szCs w:val="18"/>
          <w:color w:val="auto"/>
        </w:rPr>
        <w:t>PART IV</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ITEM 14. EXHIBITS, FINANCIAL STATEMENT SCHEDULES AND REPORTS ON FORM 8-K</w:t>
      </w:r>
    </w:p>
    <w:p>
      <w:pPr>
        <w:spacing w:after="0" w:line="200" w:lineRule="exact"/>
        <w:rPr>
          <w:sz w:val="20"/>
          <w:szCs w:val="20"/>
          <w:color w:val="auto"/>
        </w:rPr>
      </w:pPr>
    </w:p>
    <w:p>
      <w:pPr>
        <w:spacing w:after="0" w:line="209" w:lineRule="exact"/>
        <w:rPr>
          <w:sz w:val="20"/>
          <w:szCs w:val="20"/>
          <w:color w:val="auto"/>
        </w:rPr>
      </w:pPr>
    </w:p>
    <w:p>
      <w:pPr>
        <w:ind w:right="3679" w:firstLine="8"/>
        <w:spacing w:after="0" w:line="536" w:lineRule="auto"/>
        <w:tabs>
          <w:tab w:leader="none" w:pos="527"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1. INDEX TO CONSOLIDATED FINANCIAL STATEMENTS Incorporated by reference into Part II, Item 8 of this report:</w:t>
      </w:r>
    </w:p>
    <w:p>
      <w:pPr>
        <w:spacing w:after="0" w:line="1" w:lineRule="exact"/>
        <w:rPr>
          <w:sz w:val="20"/>
          <w:szCs w:val="20"/>
          <w:color w:val="auto"/>
        </w:rPr>
      </w:pPr>
    </w:p>
    <w:p>
      <w:pPr>
        <w:jc w:val="center"/>
        <w:ind w:left="3340"/>
        <w:spacing w:after="0"/>
        <w:rPr>
          <w:sz w:val="20"/>
          <w:szCs w:val="20"/>
          <w:color w:val="auto"/>
        </w:rPr>
      </w:pPr>
      <w:r>
        <w:rPr>
          <w:rFonts w:ascii="Courier New" w:cs="Courier New" w:eastAsia="Courier New" w:hAnsi="Courier New"/>
          <w:sz w:val="16"/>
          <w:szCs w:val="16"/>
          <w:color w:val="auto"/>
        </w:rPr>
        <w:t>Pages in Fiscal 1994</w:t>
      </w:r>
    </w:p>
    <w:p>
      <w:pPr>
        <w:spacing w:after="0" w:line="16" w:lineRule="exact"/>
        <w:rPr>
          <w:sz w:val="20"/>
          <w:szCs w:val="20"/>
          <w:color w:val="auto"/>
        </w:rPr>
      </w:pPr>
    </w:p>
    <w:p>
      <w:pPr>
        <w:jc w:val="center"/>
        <w:ind w:left="3240"/>
        <w:spacing w:after="0"/>
        <w:rPr>
          <w:sz w:val="20"/>
          <w:szCs w:val="20"/>
          <w:color w:val="auto"/>
        </w:rPr>
      </w:pPr>
      <w:r>
        <w:rPr>
          <w:rFonts w:ascii="Courier New" w:cs="Courier New" w:eastAsia="Courier New" w:hAnsi="Courier New"/>
          <w:sz w:val="18"/>
          <w:szCs w:val="18"/>
          <w:color w:val="auto"/>
        </w:rPr>
        <w:t>Annual Report</w:t>
      </w:r>
    </w:p>
    <w:p>
      <w:pPr>
        <w:jc w:val="center"/>
        <w:ind w:left="3240"/>
        <w:spacing w:after="0" w:line="238" w:lineRule="auto"/>
        <w:rPr>
          <w:sz w:val="20"/>
          <w:szCs w:val="20"/>
          <w:color w:val="auto"/>
        </w:rPr>
      </w:pPr>
      <w:r>
        <w:rPr>
          <w:rFonts w:ascii="Courier New" w:cs="Courier New" w:eastAsia="Courier New" w:hAnsi="Courier New"/>
          <w:sz w:val="18"/>
          <w:szCs w:val="18"/>
          <w:color w:val="auto"/>
        </w:rPr>
        <w:t>to Stockholders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Independent Auditors' Report . . . . . . . . . . . . . . . . . . . . . . 19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Consolidated Statements of Operations for the years ended</w:t>
      </w:r>
    </w:p>
    <w:p>
      <w:pPr>
        <w:ind w:left="420"/>
        <w:spacing w:after="0" w:line="238" w:lineRule="auto"/>
        <w:rPr>
          <w:sz w:val="20"/>
          <w:szCs w:val="20"/>
          <w:color w:val="auto"/>
        </w:rPr>
      </w:pPr>
      <w:r>
        <w:rPr>
          <w:rFonts w:ascii="Courier New" w:cs="Courier New" w:eastAsia="Courier New" w:hAnsi="Courier New"/>
          <w:sz w:val="18"/>
          <w:szCs w:val="18"/>
          <w:color w:val="auto"/>
        </w:rPr>
        <w:t>July 31, 1994, 1993 and 1992 . . . . . . . . . . . . . . . . . . . . 19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Consolidated Balance Sheets</w:t>
      </w:r>
    </w:p>
    <w:p>
      <w:pPr>
        <w:ind w:left="420"/>
        <w:spacing w:after="0" w:line="238" w:lineRule="auto"/>
        <w:rPr>
          <w:sz w:val="20"/>
          <w:szCs w:val="20"/>
          <w:color w:val="auto"/>
        </w:rPr>
      </w:pPr>
      <w:r>
        <w:rPr>
          <w:rFonts w:ascii="Courier New" w:cs="Courier New" w:eastAsia="Courier New" w:hAnsi="Courier New"/>
          <w:sz w:val="18"/>
          <w:szCs w:val="18"/>
          <w:color w:val="auto"/>
        </w:rPr>
        <w:t>as of July 31, 1994 and 1993 . . . . . . . . . . . . . . . . . . . . 20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Consolidated Statements of Cash Flows for the</w:t>
      </w:r>
    </w:p>
    <w:p>
      <w:pPr>
        <w:ind w:left="420"/>
        <w:spacing w:after="0" w:line="238" w:lineRule="auto"/>
        <w:rPr>
          <w:sz w:val="20"/>
          <w:szCs w:val="20"/>
          <w:color w:val="auto"/>
        </w:rPr>
      </w:pPr>
      <w:r>
        <w:rPr>
          <w:rFonts w:ascii="Courier New" w:cs="Courier New" w:eastAsia="Courier New" w:hAnsi="Courier New"/>
          <w:sz w:val="18"/>
          <w:szCs w:val="18"/>
          <w:color w:val="auto"/>
        </w:rPr>
        <w:t>years ended July 31, 1994, 1993 and 1992 . . . . . . . . . . . . . . 21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to Consolidated Financial Statements . . . . . . . . . . . . . . . 22-28</w:t>
      </w:r>
    </w:p>
    <w:p>
      <w:pPr>
        <w:spacing w:after="0" w:line="207" w:lineRule="exact"/>
        <w:rPr>
          <w:sz w:val="20"/>
          <w:szCs w:val="20"/>
          <w:color w:val="auto"/>
        </w:rPr>
      </w:pPr>
    </w:p>
    <w:p>
      <w:pPr>
        <w:ind w:right="3899" w:firstLine="8"/>
        <w:spacing w:after="0" w:line="470" w:lineRule="auto"/>
        <w:tabs>
          <w:tab w:leader="none" w:pos="52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2. INDEX TO CONSOLIDATED FINANCIAL STATEMENT SCHEDULES Included in Part IV of this report:</w:t>
      </w:r>
    </w:p>
    <w:p>
      <w:pPr>
        <w:spacing w:after="0" w:line="11" w:lineRule="exact"/>
        <w:rPr>
          <w:rFonts w:ascii="Courier New" w:cs="Courier New" w:eastAsia="Courier New" w:hAnsi="Courier New"/>
          <w:sz w:val="18"/>
          <w:szCs w:val="18"/>
          <w:color w:val="auto"/>
        </w:rPr>
      </w:pPr>
    </w:p>
    <w:p>
      <w:pPr>
        <w:jc w:val="both"/>
        <w:ind w:left="420" w:right="231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Independent Auditors' Report . . . . . . . . . . . . . . . . . . . . 13 Schedule VIII - Valuation and Qualifying Accounts. . . . . . . . . . 14</w:t>
      </w:r>
    </w:p>
    <w:p>
      <w:pPr>
        <w:ind w:left="420"/>
        <w:spacing w:after="0" w:line="234" w:lineRule="auto"/>
        <w:rPr>
          <w:sz w:val="20"/>
          <w:szCs w:val="20"/>
          <w:color w:val="auto"/>
        </w:rPr>
      </w:pPr>
      <w:r>
        <w:rPr>
          <w:rFonts w:ascii="Courier New" w:cs="Courier New" w:eastAsia="Courier New" w:hAnsi="Courier New"/>
          <w:sz w:val="18"/>
          <w:szCs w:val="18"/>
          <w:color w:val="auto"/>
        </w:rPr>
        <w:t>Schedule IX - Short-term Borrowing . . . . . . . . . . . . . . . . . 15</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Schedule X - Supplementary Income Statement Information. . . . . . . 16</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All other schedules are omitted as the required information is inapplicable or the information is presented in the consolidated financial statements or related notes.</w:t>
      </w:r>
    </w:p>
    <w:p>
      <w:pPr>
        <w:spacing w:after="0" w:line="203"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3.  EXHIBITS</w:t>
      </w:r>
    </w:p>
    <w:p>
      <w:pPr>
        <w:spacing w:after="0" w:line="207" w:lineRule="exact"/>
        <w:rPr>
          <w:sz w:val="20"/>
          <w:szCs w:val="20"/>
          <w:color w:val="auto"/>
        </w:rPr>
      </w:pPr>
    </w:p>
    <w:p>
      <w:pPr>
        <w:jc w:val="both"/>
        <w:ind w:left="2120" w:right="1779" w:hanging="1895"/>
        <w:spacing w:after="0" w:line="279" w:lineRule="auto"/>
        <w:tabs>
          <w:tab w:leader="none" w:pos="2100" w:val="left"/>
        </w:tabs>
        <w:rPr>
          <w:sz w:val="20"/>
          <w:szCs w:val="20"/>
          <w:color w:val="auto"/>
        </w:rPr>
      </w:pPr>
      <w:r>
        <w:rPr>
          <w:rFonts w:ascii="Courier New" w:cs="Courier New" w:eastAsia="Courier New" w:hAnsi="Courier New"/>
          <w:sz w:val="18"/>
          <w:szCs w:val="18"/>
          <w:color w:val="auto"/>
        </w:rPr>
        <w:t>3(i)(a) and 4(a)</w:t>
      </w:r>
      <w:r>
        <w:rPr>
          <w:sz w:val="20"/>
          <w:szCs w:val="20"/>
          <w:color w:val="auto"/>
        </w:rPr>
        <w:tab/>
      </w:r>
      <w:r>
        <w:rPr>
          <w:rFonts w:ascii="Courier New" w:cs="Courier New" w:eastAsia="Courier New" w:hAnsi="Courier New"/>
          <w:sz w:val="16"/>
          <w:szCs w:val="16"/>
          <w:color w:val="auto"/>
        </w:rPr>
        <w:t>Certificate of Incorporation of the Registrant (incorporated by reference to Exhibit 4.2 to the Registrant's Registration Statement on Form S-3, Registration No. 33-16125).</w:t>
      </w:r>
    </w:p>
    <w:p>
      <w:pPr>
        <w:spacing w:after="0" w:line="178" w:lineRule="exact"/>
        <w:rPr>
          <w:sz w:val="20"/>
          <w:szCs w:val="20"/>
          <w:color w:val="auto"/>
        </w:rPr>
      </w:pPr>
    </w:p>
    <w:p>
      <w:pPr>
        <w:ind w:left="2120" w:right="1779" w:hanging="1895"/>
        <w:spacing w:after="0" w:line="237" w:lineRule="auto"/>
        <w:tabs>
          <w:tab w:leader="none" w:pos="2100" w:val="left"/>
        </w:tabs>
        <w:rPr>
          <w:sz w:val="20"/>
          <w:szCs w:val="20"/>
          <w:color w:val="auto"/>
        </w:rPr>
      </w:pPr>
      <w:r>
        <w:rPr>
          <w:rFonts w:ascii="Courier New" w:cs="Courier New" w:eastAsia="Courier New" w:hAnsi="Courier New"/>
          <w:sz w:val="18"/>
          <w:szCs w:val="18"/>
          <w:color w:val="auto"/>
        </w:rPr>
        <w:t>3(i)(b) and 4(b)</w:t>
        <w:tab/>
        <w:t>Certificate of Amendment to Certificate of Incorporation of the Registrant dated December 9, 1986 (incorporated by reference to Exhibit 3 to Registrant's Quarterly Report on Form 10-Q for the quarter ended January 30, 1987, Commission file No. 1-8649).</w:t>
      </w:r>
    </w:p>
    <w:p>
      <w:pPr>
        <w:spacing w:after="0" w:line="209" w:lineRule="exact"/>
        <w:rPr>
          <w:sz w:val="20"/>
          <w:szCs w:val="20"/>
          <w:color w:val="auto"/>
        </w:rPr>
      </w:pPr>
    </w:p>
    <w:p>
      <w:pPr>
        <w:ind w:left="2120" w:right="1879" w:hanging="1895"/>
        <w:spacing w:after="0" w:line="237" w:lineRule="auto"/>
        <w:tabs>
          <w:tab w:leader="none" w:pos="2100" w:val="left"/>
        </w:tabs>
        <w:rPr>
          <w:sz w:val="20"/>
          <w:szCs w:val="20"/>
          <w:color w:val="auto"/>
        </w:rPr>
      </w:pPr>
      <w:r>
        <w:rPr>
          <w:rFonts w:ascii="Courier New" w:cs="Courier New" w:eastAsia="Courier New" w:hAnsi="Courier New"/>
          <w:sz w:val="18"/>
          <w:szCs w:val="18"/>
          <w:color w:val="auto"/>
        </w:rPr>
        <w:t>3(i)(c) and 4(c)</w:t>
        <w:tab/>
        <w:t>Certificate of Amendment to Certificate of Incorporation of the Registrant dated December 8, 1987 (incorporated by reference to Exhibit 3 to the Registrant's Quarterly Report on Form 10-Q for the quarter ended January 29, 1988, Commission File No. 1-8649).</w:t>
      </w: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- 10 -</w:t>
      </w:r>
    </w:p>
    <w:p>
      <w:pPr>
        <w:sectPr>
          <w:pgSz w:w="11900" w:h="16838" w:orient="portrait"/>
          <w:cols w:equalWidth="0" w:num="1">
            <w:col w:w="10219"/>
          </w:cols>
          <w:pgMar w:left="240" w:top="717" w:right="1440" w:bottom="1440" w:gutter="0" w:footer="0" w:header="0"/>
        </w:sectPr>
      </w:pPr>
    </w:p>
    <w:bookmarkStart w:id="2" w:name="page3"/>
    <w:bookmarkEnd w:id="2"/>
    <w:tbl>
      <w:tblPr>
        <w:tblLayout w:type="fixed"/>
        <w:tblInd w:w="112" w:type="dxa"/>
        <w:tblCellMar>
          <w:top w:w="0" w:type="dxa"/>
          <w:left w:w="0" w:type="dxa"/>
          <w:bottom w:w="0" w:type="dxa"/>
          <w:right w:w="0" w:type="dxa"/>
        </w:tblCellMar>
      </w:tblPr>
      <w:tr>
        <w:trPr>
          <w:trHeight w:val="204"/>
        </w:trPr>
        <w:tc>
          <w:tcPr>
            <w:tcW w:w="1780" w:type="dxa"/>
            <w:vAlign w:val="bottom"/>
          </w:tcPr>
          <w:p>
            <w:pPr>
              <w:ind w:left="100"/>
              <w:spacing w:after="0"/>
              <w:rPr>
                <w:sz w:val="20"/>
                <w:szCs w:val="20"/>
                <w:color w:val="auto"/>
              </w:rPr>
            </w:pPr>
            <w:r>
              <w:rPr>
                <w:rFonts w:ascii="Courier New" w:cs="Courier New" w:eastAsia="Courier New" w:hAnsi="Courier New"/>
                <w:sz w:val="18"/>
                <w:szCs w:val="18"/>
                <w:color w:val="auto"/>
              </w:rPr>
              <w:t>3(ii) and 4(d)</w:t>
            </w:r>
          </w:p>
        </w:tc>
        <w:tc>
          <w:tcPr>
            <w:tcW w:w="6540" w:type="dxa"/>
            <w:vAlign w:val="bottom"/>
          </w:tcPr>
          <w:p>
            <w:pPr>
              <w:ind w:left="220"/>
              <w:spacing w:after="0"/>
              <w:rPr>
                <w:sz w:val="20"/>
                <w:szCs w:val="20"/>
                <w:color w:val="auto"/>
              </w:rPr>
            </w:pPr>
            <w:r>
              <w:rPr>
                <w:rFonts w:ascii="Courier New" w:cs="Courier New" w:eastAsia="Courier New" w:hAnsi="Courier New"/>
                <w:sz w:val="18"/>
                <w:szCs w:val="18"/>
                <w:color w:val="auto"/>
              </w:rPr>
              <w:t>Bylaws of the Registrant (incorporated by reference to</w:t>
            </w:r>
          </w:p>
        </w:tc>
      </w:tr>
      <w:tr>
        <w:trPr>
          <w:trHeight w:val="203"/>
        </w:trPr>
        <w:tc>
          <w:tcPr>
            <w:tcW w:w="1780" w:type="dxa"/>
            <w:vAlign w:val="bottom"/>
          </w:tcPr>
          <w:p>
            <w:pPr>
              <w:spacing w:after="0"/>
              <w:rPr>
                <w:sz w:val="17"/>
                <w:szCs w:val="17"/>
                <w:color w:val="auto"/>
              </w:rPr>
            </w:pPr>
          </w:p>
        </w:tc>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Exhibit 3.3 to the Registrant's Annual Report on Form 10-K</w:t>
            </w:r>
          </w:p>
        </w:tc>
      </w:tr>
      <w:tr>
        <w:trPr>
          <w:trHeight w:val="203"/>
        </w:trPr>
        <w:tc>
          <w:tcPr>
            <w:tcW w:w="1780" w:type="dxa"/>
            <w:vAlign w:val="bottom"/>
          </w:tcPr>
          <w:p>
            <w:pPr>
              <w:spacing w:after="0"/>
              <w:rPr>
                <w:sz w:val="17"/>
                <w:szCs w:val="17"/>
                <w:color w:val="auto"/>
              </w:rPr>
            </w:pPr>
          </w:p>
        </w:tc>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for the year ended July 31, 1991, Commission file</w:t>
            </w:r>
          </w:p>
        </w:tc>
      </w:tr>
      <w:tr>
        <w:trPr>
          <w:trHeight w:val="203"/>
        </w:trPr>
        <w:tc>
          <w:tcPr>
            <w:tcW w:w="1780" w:type="dxa"/>
            <w:vAlign w:val="bottom"/>
          </w:tcPr>
          <w:p>
            <w:pPr>
              <w:spacing w:after="0"/>
              <w:rPr>
                <w:sz w:val="17"/>
                <w:szCs w:val="17"/>
                <w:color w:val="auto"/>
              </w:rPr>
            </w:pPr>
          </w:p>
        </w:tc>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 1-8649)</w:t>
            </w:r>
          </w:p>
        </w:tc>
      </w:tr>
      <w:tr>
        <w:trPr>
          <w:trHeight w:val="405"/>
        </w:trPr>
        <w:tc>
          <w:tcPr>
            <w:tcW w:w="1780" w:type="dxa"/>
            <w:vAlign w:val="bottom"/>
          </w:tcPr>
          <w:p>
            <w:pPr>
              <w:ind w:left="100"/>
              <w:spacing w:after="0"/>
              <w:rPr>
                <w:sz w:val="20"/>
                <w:szCs w:val="20"/>
                <w:color w:val="auto"/>
              </w:rPr>
            </w:pPr>
            <w:r>
              <w:rPr>
                <w:rFonts w:ascii="Courier New" w:cs="Courier New" w:eastAsia="Courier New" w:hAnsi="Courier New"/>
                <w:sz w:val="18"/>
                <w:szCs w:val="18"/>
                <w:color w:val="auto"/>
              </w:rPr>
              <w:t>4(e)</w:t>
            </w:r>
          </w:p>
        </w:tc>
        <w:tc>
          <w:tcPr>
            <w:tcW w:w="6540" w:type="dxa"/>
            <w:vAlign w:val="bottom"/>
          </w:tcPr>
          <w:p>
            <w:pPr>
              <w:ind w:left="220"/>
              <w:spacing w:after="0"/>
              <w:rPr>
                <w:sz w:val="20"/>
                <w:szCs w:val="20"/>
                <w:color w:val="auto"/>
              </w:rPr>
            </w:pPr>
            <w:r>
              <w:rPr>
                <w:rFonts w:ascii="Courier New" w:cs="Courier New" w:eastAsia="Courier New" w:hAnsi="Courier New"/>
                <w:sz w:val="18"/>
                <w:szCs w:val="18"/>
                <w:color w:val="auto"/>
              </w:rPr>
              <w:t>Specimen form of Common Stock certificate (incorporated by</w:t>
            </w:r>
          </w:p>
        </w:tc>
      </w:tr>
      <w:tr>
        <w:trPr>
          <w:trHeight w:val="203"/>
        </w:trPr>
        <w:tc>
          <w:tcPr>
            <w:tcW w:w="1780" w:type="dxa"/>
            <w:vAlign w:val="bottom"/>
          </w:tcPr>
          <w:p>
            <w:pPr>
              <w:spacing w:after="0"/>
              <w:rPr>
                <w:sz w:val="17"/>
                <w:szCs w:val="17"/>
                <w:color w:val="auto"/>
              </w:rPr>
            </w:pPr>
          </w:p>
        </w:tc>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reference to Exhibit 4(c) to the Registrant's Registration</w:t>
            </w:r>
          </w:p>
        </w:tc>
      </w:tr>
      <w:tr>
        <w:trPr>
          <w:trHeight w:val="203"/>
        </w:trPr>
        <w:tc>
          <w:tcPr>
            <w:tcW w:w="1780" w:type="dxa"/>
            <w:vAlign w:val="bottom"/>
          </w:tcPr>
          <w:p>
            <w:pPr>
              <w:spacing w:after="0"/>
              <w:rPr>
                <w:sz w:val="17"/>
                <w:szCs w:val="17"/>
                <w:color w:val="auto"/>
              </w:rPr>
            </w:pPr>
          </w:p>
        </w:tc>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Statement on Form S-8, Registration No. 2-94417).</w:t>
            </w:r>
          </w:p>
        </w:tc>
      </w:tr>
      <w:tr>
        <w:trPr>
          <w:trHeight w:val="405"/>
        </w:trPr>
        <w:tc>
          <w:tcPr>
            <w:tcW w:w="1780" w:type="dxa"/>
            <w:vAlign w:val="bottom"/>
          </w:tcPr>
          <w:p>
            <w:pPr>
              <w:ind w:left="100"/>
              <w:spacing w:after="0"/>
              <w:rPr>
                <w:sz w:val="20"/>
                <w:szCs w:val="20"/>
                <w:color w:val="auto"/>
              </w:rPr>
            </w:pPr>
            <w:r>
              <w:rPr>
                <w:rFonts w:ascii="Courier New" w:cs="Courier New" w:eastAsia="Courier New" w:hAnsi="Courier New"/>
                <w:sz w:val="18"/>
                <w:szCs w:val="18"/>
                <w:color w:val="auto"/>
              </w:rPr>
              <w:t>4(f)</w:t>
            </w:r>
          </w:p>
        </w:tc>
        <w:tc>
          <w:tcPr>
            <w:tcW w:w="6540" w:type="dxa"/>
            <w:vAlign w:val="bottom"/>
          </w:tcPr>
          <w:p>
            <w:pPr>
              <w:ind w:left="220"/>
              <w:spacing w:after="0"/>
              <w:rPr>
                <w:sz w:val="20"/>
                <w:szCs w:val="20"/>
                <w:color w:val="auto"/>
              </w:rPr>
            </w:pPr>
            <w:r>
              <w:rPr>
                <w:rFonts w:ascii="Courier New" w:cs="Courier New" w:eastAsia="Courier New" w:hAnsi="Courier New"/>
                <w:sz w:val="18"/>
                <w:szCs w:val="18"/>
                <w:color w:val="auto"/>
              </w:rPr>
              <w:t>Rights Agreement dated as of June 14, 1988, between the</w:t>
            </w:r>
          </w:p>
        </w:tc>
      </w:tr>
      <w:tr>
        <w:trPr>
          <w:trHeight w:val="203"/>
        </w:trPr>
        <w:tc>
          <w:tcPr>
            <w:tcW w:w="1780" w:type="dxa"/>
            <w:vAlign w:val="bottom"/>
          </w:tcPr>
          <w:p>
            <w:pPr>
              <w:spacing w:after="0"/>
              <w:rPr>
                <w:sz w:val="17"/>
                <w:szCs w:val="17"/>
                <w:color w:val="auto"/>
              </w:rPr>
            </w:pPr>
          </w:p>
        </w:tc>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Registrant and Norwest Bank Minnesota, National Association</w:t>
            </w:r>
          </w:p>
        </w:tc>
      </w:tr>
      <w:tr>
        <w:trPr>
          <w:trHeight w:val="203"/>
        </w:trPr>
        <w:tc>
          <w:tcPr>
            <w:tcW w:w="1780" w:type="dxa"/>
            <w:vAlign w:val="bottom"/>
          </w:tcPr>
          <w:p>
            <w:pPr>
              <w:spacing w:after="0"/>
              <w:rPr>
                <w:sz w:val="17"/>
                <w:szCs w:val="17"/>
                <w:color w:val="auto"/>
              </w:rPr>
            </w:pPr>
          </w:p>
        </w:tc>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relating to rights to purchase Series B Junior Participating</w:t>
            </w:r>
          </w:p>
        </w:tc>
      </w:tr>
      <w:tr>
        <w:trPr>
          <w:trHeight w:val="203"/>
        </w:trPr>
        <w:tc>
          <w:tcPr>
            <w:tcW w:w="1780" w:type="dxa"/>
            <w:vAlign w:val="bottom"/>
          </w:tcPr>
          <w:p>
            <w:pPr>
              <w:spacing w:after="0"/>
              <w:rPr>
                <w:sz w:val="17"/>
                <w:szCs w:val="17"/>
                <w:color w:val="auto"/>
              </w:rPr>
            </w:pPr>
          </w:p>
        </w:tc>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Voting Preferred Stock, as amended (incorporated by</w:t>
            </w:r>
          </w:p>
        </w:tc>
      </w:tr>
      <w:tr>
        <w:trPr>
          <w:trHeight w:val="203"/>
        </w:trPr>
        <w:tc>
          <w:tcPr>
            <w:tcW w:w="1780" w:type="dxa"/>
            <w:vAlign w:val="bottom"/>
          </w:tcPr>
          <w:p>
            <w:pPr>
              <w:spacing w:after="0"/>
              <w:rPr>
                <w:sz w:val="17"/>
                <w:szCs w:val="17"/>
                <w:color w:val="auto"/>
              </w:rPr>
            </w:pPr>
          </w:p>
        </w:tc>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reference to Exhibit 1 to Registrant's Registration</w:t>
            </w:r>
          </w:p>
        </w:tc>
      </w:tr>
      <w:tr>
        <w:trPr>
          <w:trHeight w:val="203"/>
        </w:trPr>
        <w:tc>
          <w:tcPr>
            <w:tcW w:w="1780" w:type="dxa"/>
            <w:vAlign w:val="bottom"/>
          </w:tcPr>
          <w:p>
            <w:pPr>
              <w:spacing w:after="0"/>
              <w:rPr>
                <w:sz w:val="17"/>
                <w:szCs w:val="17"/>
                <w:color w:val="auto"/>
              </w:rPr>
            </w:pPr>
          </w:p>
        </w:tc>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Statement on Form 8-A dated June 17, 1988, Commission File</w:t>
            </w:r>
          </w:p>
        </w:tc>
      </w:tr>
      <w:tr>
        <w:trPr>
          <w:trHeight w:val="203"/>
        </w:trPr>
        <w:tc>
          <w:tcPr>
            <w:tcW w:w="1780" w:type="dxa"/>
            <w:vAlign w:val="bottom"/>
          </w:tcPr>
          <w:p>
            <w:pPr>
              <w:spacing w:after="0"/>
              <w:rPr>
                <w:sz w:val="17"/>
                <w:szCs w:val="17"/>
                <w:color w:val="auto"/>
              </w:rPr>
            </w:pPr>
          </w:p>
        </w:tc>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 1-8649, as amended).</w:t>
            </w:r>
          </w:p>
        </w:tc>
      </w:tr>
      <w:tr>
        <w:trPr>
          <w:trHeight w:val="405"/>
        </w:trPr>
        <w:tc>
          <w:tcPr>
            <w:tcW w:w="1780" w:type="dxa"/>
            <w:vAlign w:val="bottom"/>
          </w:tcPr>
          <w:p>
            <w:pPr>
              <w:ind w:left="100"/>
              <w:spacing w:after="0"/>
              <w:rPr>
                <w:sz w:val="20"/>
                <w:szCs w:val="20"/>
                <w:color w:val="auto"/>
              </w:rPr>
            </w:pPr>
            <w:r>
              <w:rPr>
                <w:rFonts w:ascii="Courier New" w:cs="Courier New" w:eastAsia="Courier New" w:hAnsi="Courier New"/>
                <w:sz w:val="18"/>
                <w:szCs w:val="18"/>
                <w:color w:val="auto"/>
              </w:rPr>
              <w:t>4(g)</w:t>
            </w:r>
          </w:p>
        </w:tc>
        <w:tc>
          <w:tcPr>
            <w:tcW w:w="6540" w:type="dxa"/>
            <w:vAlign w:val="bottom"/>
          </w:tcPr>
          <w:p>
            <w:pPr>
              <w:ind w:left="220"/>
              <w:spacing w:after="0"/>
              <w:rPr>
                <w:sz w:val="20"/>
                <w:szCs w:val="20"/>
                <w:color w:val="auto"/>
              </w:rPr>
            </w:pPr>
            <w:r>
              <w:rPr>
                <w:rFonts w:ascii="Courier New" w:cs="Courier New" w:eastAsia="Courier New" w:hAnsi="Courier New"/>
                <w:sz w:val="18"/>
                <w:szCs w:val="18"/>
                <w:color w:val="auto"/>
                <w:w w:val="98"/>
              </w:rPr>
              <w:t>Indenture dated as of July 15, 1987, between the Registrant</w:t>
            </w:r>
          </w:p>
        </w:tc>
      </w:tr>
      <w:tr>
        <w:trPr>
          <w:trHeight w:val="203"/>
        </w:trPr>
        <w:tc>
          <w:tcPr>
            <w:tcW w:w="1780" w:type="dxa"/>
            <w:vAlign w:val="bottom"/>
          </w:tcPr>
          <w:p>
            <w:pPr>
              <w:spacing w:after="0"/>
              <w:rPr>
                <w:sz w:val="17"/>
                <w:szCs w:val="17"/>
                <w:color w:val="auto"/>
              </w:rPr>
            </w:pPr>
          </w:p>
        </w:tc>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Manufacturers Hanover Trust Company, Trustee, relating</w:t>
            </w:r>
          </w:p>
        </w:tc>
      </w:tr>
      <w:tr>
        <w:trPr>
          <w:trHeight w:val="203"/>
        </w:trPr>
        <w:tc>
          <w:tcPr>
            <w:tcW w:w="1780" w:type="dxa"/>
            <w:vAlign w:val="bottom"/>
          </w:tcPr>
          <w:p>
            <w:pPr>
              <w:spacing w:after="0"/>
              <w:rPr>
                <w:sz w:val="17"/>
                <w:szCs w:val="17"/>
                <w:color w:val="auto"/>
              </w:rPr>
            </w:pPr>
          </w:p>
        </w:tc>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 the Registrant's 11% Sinking Fund Debentures Due August</w:t>
            </w:r>
          </w:p>
        </w:tc>
      </w:tr>
      <w:tr>
        <w:trPr>
          <w:trHeight w:val="203"/>
        </w:trPr>
        <w:tc>
          <w:tcPr>
            <w:tcW w:w="1780" w:type="dxa"/>
            <w:vAlign w:val="bottom"/>
          </w:tcPr>
          <w:p>
            <w:pPr>
              <w:spacing w:after="0"/>
              <w:rPr>
                <w:sz w:val="17"/>
                <w:szCs w:val="17"/>
                <w:color w:val="auto"/>
              </w:rPr>
            </w:pPr>
          </w:p>
        </w:tc>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 2017 (incorporated by reference to Exhibit 4 to the</w:t>
            </w:r>
          </w:p>
        </w:tc>
      </w:tr>
      <w:tr>
        <w:trPr>
          <w:trHeight w:val="203"/>
        </w:trPr>
        <w:tc>
          <w:tcPr>
            <w:tcW w:w="1780" w:type="dxa"/>
            <w:vAlign w:val="bottom"/>
          </w:tcPr>
          <w:p>
            <w:pPr>
              <w:spacing w:after="0"/>
              <w:rPr>
                <w:sz w:val="17"/>
                <w:szCs w:val="17"/>
                <w:color w:val="auto"/>
              </w:rPr>
            </w:pPr>
          </w:p>
        </w:tc>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Registrant's Registration Statement on Form S-3,</w:t>
            </w:r>
          </w:p>
        </w:tc>
      </w:tr>
      <w:tr>
        <w:trPr>
          <w:trHeight w:val="203"/>
        </w:trPr>
        <w:tc>
          <w:tcPr>
            <w:tcW w:w="1780" w:type="dxa"/>
            <w:vAlign w:val="bottom"/>
          </w:tcPr>
          <w:p>
            <w:pPr>
              <w:spacing w:after="0"/>
              <w:rPr>
                <w:sz w:val="17"/>
                <w:szCs w:val="17"/>
                <w:color w:val="auto"/>
              </w:rPr>
            </w:pPr>
          </w:p>
        </w:tc>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Registration No. 44-16175).</w:t>
            </w:r>
          </w:p>
        </w:tc>
      </w:tr>
      <w:tr>
        <w:trPr>
          <w:trHeight w:val="405"/>
        </w:trPr>
        <w:tc>
          <w:tcPr>
            <w:tcW w:w="1780" w:type="dxa"/>
            <w:vAlign w:val="bottom"/>
          </w:tcPr>
          <w:p>
            <w:pPr>
              <w:ind w:left="100"/>
              <w:spacing w:after="0"/>
              <w:rPr>
                <w:sz w:val="20"/>
                <w:szCs w:val="20"/>
                <w:color w:val="auto"/>
              </w:rPr>
            </w:pPr>
            <w:r>
              <w:rPr>
                <w:rFonts w:ascii="Courier New" w:cs="Courier New" w:eastAsia="Courier New" w:hAnsi="Courier New"/>
                <w:sz w:val="18"/>
                <w:szCs w:val="18"/>
                <w:color w:val="auto"/>
              </w:rPr>
              <w:t>10(a)</w:t>
            </w:r>
          </w:p>
        </w:tc>
        <w:tc>
          <w:tcPr>
            <w:tcW w:w="6540" w:type="dxa"/>
            <w:vAlign w:val="bottom"/>
          </w:tcPr>
          <w:p>
            <w:pPr>
              <w:ind w:left="220"/>
              <w:spacing w:after="0"/>
              <w:rPr>
                <w:sz w:val="20"/>
                <w:szCs w:val="20"/>
                <w:color w:val="auto"/>
              </w:rPr>
            </w:pPr>
            <w:r>
              <w:rPr>
                <w:rFonts w:ascii="Courier New" w:cs="Courier New" w:eastAsia="Courier New" w:hAnsi="Courier New"/>
                <w:sz w:val="18"/>
                <w:szCs w:val="18"/>
                <w:color w:val="auto"/>
                <w:w w:val="98"/>
              </w:rPr>
              <w:t>Form of Employment Agreement in effect for certain officers</w:t>
            </w:r>
          </w:p>
        </w:tc>
      </w:tr>
      <w:tr>
        <w:trPr>
          <w:trHeight w:val="203"/>
        </w:trPr>
        <w:tc>
          <w:tcPr>
            <w:tcW w:w="1780" w:type="dxa"/>
            <w:vAlign w:val="bottom"/>
          </w:tcPr>
          <w:p>
            <w:pPr>
              <w:spacing w:after="0"/>
              <w:rPr>
                <w:sz w:val="17"/>
                <w:szCs w:val="17"/>
                <w:color w:val="auto"/>
              </w:rPr>
            </w:pPr>
          </w:p>
        </w:tc>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 the Registrant (incorporated by reference to Exhibit</w:t>
            </w:r>
          </w:p>
        </w:tc>
      </w:tr>
      <w:tr>
        <w:trPr>
          <w:trHeight w:val="203"/>
        </w:trPr>
        <w:tc>
          <w:tcPr>
            <w:tcW w:w="1780" w:type="dxa"/>
            <w:vAlign w:val="bottom"/>
          </w:tcPr>
          <w:p>
            <w:pPr>
              <w:spacing w:after="0"/>
              <w:rPr>
                <w:sz w:val="17"/>
                <w:szCs w:val="17"/>
                <w:color w:val="auto"/>
              </w:rPr>
            </w:pPr>
          </w:p>
        </w:tc>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10(a) to the Registrant's Annual Report on Form 10-K for the</w:t>
            </w:r>
          </w:p>
        </w:tc>
      </w:tr>
      <w:tr>
        <w:trPr>
          <w:trHeight w:val="203"/>
        </w:trPr>
        <w:tc>
          <w:tcPr>
            <w:tcW w:w="1780" w:type="dxa"/>
            <w:vAlign w:val="bottom"/>
          </w:tcPr>
          <w:p>
            <w:pPr>
              <w:spacing w:after="0"/>
              <w:rPr>
                <w:sz w:val="17"/>
                <w:szCs w:val="17"/>
                <w:color w:val="auto"/>
              </w:rPr>
            </w:pPr>
          </w:p>
        </w:tc>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year ended July 31, 1993).</w:t>
            </w:r>
          </w:p>
        </w:tc>
      </w:tr>
      <w:tr>
        <w:trPr>
          <w:trHeight w:val="405"/>
        </w:trPr>
        <w:tc>
          <w:tcPr>
            <w:tcW w:w="1780" w:type="dxa"/>
            <w:vAlign w:val="bottom"/>
          </w:tcPr>
          <w:p>
            <w:pPr>
              <w:ind w:left="100"/>
              <w:spacing w:after="0"/>
              <w:rPr>
                <w:sz w:val="20"/>
                <w:szCs w:val="20"/>
                <w:color w:val="auto"/>
              </w:rPr>
            </w:pPr>
            <w:r>
              <w:rPr>
                <w:rFonts w:ascii="Courier New" w:cs="Courier New" w:eastAsia="Courier New" w:hAnsi="Courier New"/>
                <w:sz w:val="18"/>
                <w:szCs w:val="18"/>
                <w:color w:val="auto"/>
              </w:rPr>
              <w:t>10(b)</w:t>
            </w:r>
          </w:p>
        </w:tc>
        <w:tc>
          <w:tcPr>
            <w:tcW w:w="6540" w:type="dxa"/>
            <w:vAlign w:val="bottom"/>
          </w:tcPr>
          <w:p>
            <w:pPr>
              <w:ind w:left="220"/>
              <w:spacing w:after="0"/>
              <w:rPr>
                <w:sz w:val="20"/>
                <w:szCs w:val="20"/>
                <w:color w:val="auto"/>
              </w:rPr>
            </w:pPr>
            <w:r>
              <w:rPr>
                <w:rFonts w:ascii="Courier New" w:cs="Courier New" w:eastAsia="Courier New" w:hAnsi="Courier New"/>
                <w:sz w:val="18"/>
                <w:szCs w:val="18"/>
                <w:color w:val="auto"/>
                <w:w w:val="97"/>
              </w:rPr>
              <w:t>1985 Incentive Stock Option Plan and 1989 Stock Option Plan,</w:t>
            </w:r>
          </w:p>
        </w:tc>
      </w:tr>
      <w:tr>
        <w:trPr>
          <w:trHeight w:val="203"/>
        </w:trPr>
        <w:tc>
          <w:tcPr>
            <w:tcW w:w="1780" w:type="dxa"/>
            <w:vAlign w:val="bottom"/>
          </w:tcPr>
          <w:p>
            <w:pPr>
              <w:spacing w:after="0"/>
              <w:rPr>
                <w:sz w:val="17"/>
                <w:szCs w:val="17"/>
                <w:color w:val="auto"/>
              </w:rPr>
            </w:pPr>
          </w:p>
        </w:tc>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both as amended (incorporated by reference Exhibit 10(b) to</w:t>
            </w:r>
          </w:p>
        </w:tc>
      </w:tr>
      <w:tr>
        <w:trPr>
          <w:trHeight w:val="203"/>
        </w:trPr>
        <w:tc>
          <w:tcPr>
            <w:tcW w:w="1780" w:type="dxa"/>
            <w:vAlign w:val="bottom"/>
          </w:tcPr>
          <w:p>
            <w:pPr>
              <w:spacing w:after="0"/>
              <w:rPr>
                <w:sz w:val="17"/>
                <w:szCs w:val="17"/>
                <w:color w:val="auto"/>
              </w:rPr>
            </w:pPr>
          </w:p>
        </w:tc>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the Registrant's Annual Report on Form 10-K for the year</w:t>
            </w:r>
          </w:p>
        </w:tc>
      </w:tr>
      <w:tr>
        <w:trPr>
          <w:trHeight w:val="203"/>
        </w:trPr>
        <w:tc>
          <w:tcPr>
            <w:tcW w:w="1780" w:type="dxa"/>
            <w:vAlign w:val="bottom"/>
          </w:tcPr>
          <w:p>
            <w:pPr>
              <w:spacing w:after="0"/>
              <w:rPr>
                <w:sz w:val="17"/>
                <w:szCs w:val="17"/>
                <w:color w:val="auto"/>
              </w:rPr>
            </w:pPr>
          </w:p>
        </w:tc>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ended July 31, 1993).</w:t>
            </w:r>
          </w:p>
        </w:tc>
      </w:tr>
      <w:tr>
        <w:trPr>
          <w:trHeight w:val="405"/>
        </w:trPr>
        <w:tc>
          <w:tcPr>
            <w:tcW w:w="1780" w:type="dxa"/>
            <w:vAlign w:val="bottom"/>
          </w:tcPr>
          <w:p>
            <w:pPr>
              <w:ind w:left="100"/>
              <w:spacing w:after="0"/>
              <w:rPr>
                <w:sz w:val="20"/>
                <w:szCs w:val="20"/>
                <w:color w:val="auto"/>
              </w:rPr>
            </w:pPr>
            <w:r>
              <w:rPr>
                <w:rFonts w:ascii="Courier New" w:cs="Courier New" w:eastAsia="Courier New" w:hAnsi="Courier New"/>
                <w:sz w:val="18"/>
                <w:szCs w:val="18"/>
                <w:color w:val="auto"/>
              </w:rPr>
              <w:t>10(c)</w:t>
            </w:r>
          </w:p>
        </w:tc>
        <w:tc>
          <w:tcPr>
            <w:tcW w:w="6540" w:type="dxa"/>
            <w:vAlign w:val="bottom"/>
          </w:tcPr>
          <w:p>
            <w:pPr>
              <w:ind w:left="220"/>
              <w:spacing w:after="0"/>
              <w:rPr>
                <w:sz w:val="20"/>
                <w:szCs w:val="20"/>
                <w:color w:val="auto"/>
              </w:rPr>
            </w:pPr>
            <w:r>
              <w:rPr>
                <w:rFonts w:ascii="Courier New" w:cs="Courier New" w:eastAsia="Courier New" w:hAnsi="Courier New"/>
                <w:sz w:val="18"/>
                <w:szCs w:val="18"/>
                <w:color w:val="auto"/>
                <w:w w:val="98"/>
              </w:rPr>
              <w:t>The Toro Company Matching Stock Purchase Plan (incorporated</w:t>
            </w:r>
          </w:p>
        </w:tc>
      </w:tr>
      <w:tr>
        <w:trPr>
          <w:trHeight w:val="203"/>
        </w:trPr>
        <w:tc>
          <w:tcPr>
            <w:tcW w:w="1780" w:type="dxa"/>
            <w:vAlign w:val="bottom"/>
          </w:tcPr>
          <w:p>
            <w:pPr>
              <w:spacing w:after="0"/>
              <w:rPr>
                <w:sz w:val="17"/>
                <w:szCs w:val="17"/>
                <w:color w:val="auto"/>
              </w:rPr>
            </w:pPr>
          </w:p>
        </w:tc>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by reference to Exhibit 28 to the Registrant's Registration</w:t>
            </w:r>
          </w:p>
        </w:tc>
      </w:tr>
      <w:tr>
        <w:trPr>
          <w:trHeight w:val="203"/>
        </w:trPr>
        <w:tc>
          <w:tcPr>
            <w:tcW w:w="1780" w:type="dxa"/>
            <w:vAlign w:val="bottom"/>
          </w:tcPr>
          <w:p>
            <w:pPr>
              <w:spacing w:after="0"/>
              <w:rPr>
                <w:sz w:val="17"/>
                <w:szCs w:val="17"/>
                <w:color w:val="auto"/>
              </w:rPr>
            </w:pPr>
          </w:p>
        </w:tc>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Statement on Form S-8, Registration No. 33-22469).</w:t>
            </w:r>
          </w:p>
        </w:tc>
      </w:tr>
      <w:tr>
        <w:trPr>
          <w:trHeight w:val="405"/>
        </w:trPr>
        <w:tc>
          <w:tcPr>
            <w:tcW w:w="1780" w:type="dxa"/>
            <w:vAlign w:val="bottom"/>
          </w:tcPr>
          <w:p>
            <w:pPr>
              <w:ind w:left="100"/>
              <w:spacing w:after="0"/>
              <w:rPr>
                <w:sz w:val="20"/>
                <w:szCs w:val="20"/>
                <w:color w:val="auto"/>
              </w:rPr>
            </w:pPr>
            <w:r>
              <w:rPr>
                <w:rFonts w:ascii="Courier New" w:cs="Courier New" w:eastAsia="Courier New" w:hAnsi="Courier New"/>
                <w:sz w:val="18"/>
                <w:szCs w:val="18"/>
                <w:color w:val="auto"/>
              </w:rPr>
              <w:t>10(d)</w:t>
            </w:r>
          </w:p>
        </w:tc>
        <w:tc>
          <w:tcPr>
            <w:tcW w:w="6540" w:type="dxa"/>
            <w:vAlign w:val="bottom"/>
          </w:tcPr>
          <w:p>
            <w:pPr>
              <w:ind w:left="220"/>
              <w:spacing w:after="0"/>
              <w:rPr>
                <w:sz w:val="20"/>
                <w:szCs w:val="20"/>
                <w:color w:val="auto"/>
              </w:rPr>
            </w:pPr>
            <w:r>
              <w:rPr>
                <w:rFonts w:ascii="Courier New" w:cs="Courier New" w:eastAsia="Courier New" w:hAnsi="Courier New"/>
                <w:sz w:val="18"/>
                <w:szCs w:val="18"/>
                <w:color w:val="auto"/>
                <w:w w:val="97"/>
              </w:rPr>
              <w:t>1993 Stock Option Plan (incorporated by reference to Exhibit</w:t>
            </w:r>
          </w:p>
        </w:tc>
      </w:tr>
      <w:tr>
        <w:trPr>
          <w:trHeight w:val="203"/>
        </w:trPr>
        <w:tc>
          <w:tcPr>
            <w:tcW w:w="1780" w:type="dxa"/>
            <w:vAlign w:val="bottom"/>
          </w:tcPr>
          <w:p>
            <w:pPr>
              <w:spacing w:after="0"/>
              <w:rPr>
                <w:sz w:val="17"/>
                <w:szCs w:val="17"/>
                <w:color w:val="auto"/>
              </w:rPr>
            </w:pPr>
          </w:p>
        </w:tc>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 to Registrant's Proxy Statement dated October 29, 1993).</w:t>
            </w:r>
          </w:p>
        </w:tc>
      </w:tr>
      <w:tr>
        <w:trPr>
          <w:trHeight w:val="405"/>
        </w:trPr>
        <w:tc>
          <w:tcPr>
            <w:tcW w:w="1780" w:type="dxa"/>
            <w:vAlign w:val="bottom"/>
          </w:tcPr>
          <w:p>
            <w:pPr>
              <w:ind w:left="100"/>
              <w:spacing w:after="0"/>
              <w:rPr>
                <w:sz w:val="20"/>
                <w:szCs w:val="20"/>
                <w:color w:val="auto"/>
              </w:rPr>
            </w:pPr>
            <w:r>
              <w:rPr>
                <w:rFonts w:ascii="Courier New" w:cs="Courier New" w:eastAsia="Courier New" w:hAnsi="Courier New"/>
                <w:sz w:val="18"/>
                <w:szCs w:val="18"/>
                <w:color w:val="auto"/>
              </w:rPr>
              <w:t>10(e)</w:t>
            </w:r>
          </w:p>
        </w:tc>
        <w:tc>
          <w:tcPr>
            <w:tcW w:w="6540" w:type="dxa"/>
            <w:vAlign w:val="bottom"/>
          </w:tcPr>
          <w:p>
            <w:pPr>
              <w:ind w:left="220"/>
              <w:spacing w:after="0"/>
              <w:rPr>
                <w:sz w:val="20"/>
                <w:szCs w:val="20"/>
                <w:color w:val="auto"/>
              </w:rPr>
            </w:pPr>
            <w:r>
              <w:rPr>
                <w:rFonts w:ascii="Courier New" w:cs="Courier New" w:eastAsia="Courier New" w:hAnsi="Courier New"/>
                <w:sz w:val="18"/>
                <w:szCs w:val="18"/>
                <w:color w:val="auto"/>
                <w:w w:val="97"/>
              </w:rPr>
              <w:t>Continuous Performance Award Plan (incorporated by reference</w:t>
            </w:r>
          </w:p>
        </w:tc>
      </w:tr>
      <w:tr>
        <w:trPr>
          <w:trHeight w:val="203"/>
        </w:trPr>
        <w:tc>
          <w:tcPr>
            <w:tcW w:w="1780" w:type="dxa"/>
            <w:vAlign w:val="bottom"/>
          </w:tcPr>
          <w:p>
            <w:pPr>
              <w:spacing w:after="0"/>
              <w:rPr>
                <w:sz w:val="17"/>
                <w:szCs w:val="17"/>
                <w:color w:val="auto"/>
              </w:rPr>
            </w:pPr>
          </w:p>
        </w:tc>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 Exhibit A to Registrant's Proxy Statement dated</w:t>
            </w:r>
          </w:p>
        </w:tc>
      </w:tr>
      <w:tr>
        <w:trPr>
          <w:trHeight w:val="203"/>
        </w:trPr>
        <w:tc>
          <w:tcPr>
            <w:tcW w:w="1780" w:type="dxa"/>
            <w:vAlign w:val="bottom"/>
          </w:tcPr>
          <w:p>
            <w:pPr>
              <w:spacing w:after="0"/>
              <w:rPr>
                <w:sz w:val="17"/>
                <w:szCs w:val="17"/>
                <w:color w:val="auto"/>
              </w:rPr>
            </w:pPr>
          </w:p>
        </w:tc>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October 31, 1991).</w:t>
            </w:r>
          </w:p>
        </w:tc>
      </w:tr>
      <w:tr>
        <w:trPr>
          <w:trHeight w:val="405"/>
        </w:trPr>
        <w:tc>
          <w:tcPr>
            <w:tcW w:w="1780" w:type="dxa"/>
            <w:vAlign w:val="bottom"/>
          </w:tcPr>
          <w:p>
            <w:pPr>
              <w:ind w:left="100"/>
              <w:spacing w:after="0"/>
              <w:rPr>
                <w:sz w:val="20"/>
                <w:szCs w:val="20"/>
                <w:color w:val="auto"/>
              </w:rPr>
            </w:pPr>
            <w:r>
              <w:rPr>
                <w:rFonts w:ascii="Courier New" w:cs="Courier New" w:eastAsia="Courier New" w:hAnsi="Courier New"/>
                <w:sz w:val="18"/>
                <w:szCs w:val="18"/>
                <w:color w:val="auto"/>
              </w:rPr>
              <w:t>11</w:t>
            </w:r>
          </w:p>
        </w:tc>
        <w:tc>
          <w:tcPr>
            <w:tcW w:w="6540" w:type="dxa"/>
            <w:vAlign w:val="bottom"/>
          </w:tcPr>
          <w:p>
            <w:pPr>
              <w:ind w:left="220"/>
              <w:spacing w:after="0"/>
              <w:rPr>
                <w:sz w:val="20"/>
                <w:szCs w:val="20"/>
                <w:color w:val="auto"/>
              </w:rPr>
            </w:pPr>
            <w:r>
              <w:rPr>
                <w:rFonts w:ascii="Courier New" w:cs="Courier New" w:eastAsia="Courier New" w:hAnsi="Courier New"/>
                <w:sz w:val="18"/>
                <w:szCs w:val="18"/>
                <w:color w:val="auto"/>
                <w:w w:val="97"/>
              </w:rPr>
              <w:t>Computation of Earnings (Loss) per Share of Common Stock and</w:t>
            </w:r>
          </w:p>
        </w:tc>
      </w:tr>
      <w:tr>
        <w:trPr>
          <w:trHeight w:val="203"/>
        </w:trPr>
        <w:tc>
          <w:tcPr>
            <w:tcW w:w="1780" w:type="dxa"/>
            <w:vAlign w:val="bottom"/>
          </w:tcPr>
          <w:p>
            <w:pPr>
              <w:spacing w:after="0"/>
              <w:rPr>
                <w:sz w:val="17"/>
                <w:szCs w:val="17"/>
                <w:color w:val="auto"/>
              </w:rPr>
            </w:pPr>
          </w:p>
        </w:tc>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Equivalent (page 17 of this report).</w:t>
            </w:r>
          </w:p>
        </w:tc>
      </w:tr>
      <w:tr>
        <w:trPr>
          <w:trHeight w:val="405"/>
        </w:trPr>
        <w:tc>
          <w:tcPr>
            <w:tcW w:w="1780" w:type="dxa"/>
            <w:vAlign w:val="bottom"/>
          </w:tcPr>
          <w:p>
            <w:pPr>
              <w:ind w:left="100"/>
              <w:spacing w:after="0"/>
              <w:rPr>
                <w:sz w:val="20"/>
                <w:szCs w:val="20"/>
                <w:color w:val="auto"/>
              </w:rPr>
            </w:pPr>
            <w:r>
              <w:rPr>
                <w:rFonts w:ascii="Courier New" w:cs="Courier New" w:eastAsia="Courier New" w:hAnsi="Courier New"/>
                <w:sz w:val="18"/>
                <w:szCs w:val="18"/>
                <w:color w:val="auto"/>
              </w:rPr>
              <w:t>13</w:t>
            </w:r>
          </w:p>
        </w:tc>
        <w:tc>
          <w:tcPr>
            <w:tcW w:w="6540" w:type="dxa"/>
            <w:vAlign w:val="bottom"/>
          </w:tcPr>
          <w:p>
            <w:pPr>
              <w:ind w:left="220"/>
              <w:spacing w:after="0"/>
              <w:rPr>
                <w:sz w:val="20"/>
                <w:szCs w:val="20"/>
                <w:color w:val="auto"/>
              </w:rPr>
            </w:pPr>
            <w:r>
              <w:rPr>
                <w:rFonts w:ascii="Courier New" w:cs="Courier New" w:eastAsia="Courier New" w:hAnsi="Courier New"/>
                <w:sz w:val="18"/>
                <w:szCs w:val="18"/>
                <w:color w:val="auto"/>
              </w:rPr>
              <w:t>Registrant's Fiscal 1994 Annual Report to Stockholders.</w:t>
            </w:r>
          </w:p>
        </w:tc>
      </w:tr>
      <w:tr>
        <w:trPr>
          <w:trHeight w:val="405"/>
        </w:trPr>
        <w:tc>
          <w:tcPr>
            <w:tcW w:w="1780" w:type="dxa"/>
            <w:vAlign w:val="bottom"/>
          </w:tcPr>
          <w:p>
            <w:pPr>
              <w:ind w:left="100"/>
              <w:spacing w:after="0"/>
              <w:rPr>
                <w:sz w:val="20"/>
                <w:szCs w:val="20"/>
                <w:color w:val="auto"/>
              </w:rPr>
            </w:pPr>
            <w:r>
              <w:rPr>
                <w:rFonts w:ascii="Courier New" w:cs="Courier New" w:eastAsia="Courier New" w:hAnsi="Courier New"/>
                <w:sz w:val="18"/>
                <w:szCs w:val="18"/>
                <w:color w:val="auto"/>
              </w:rPr>
              <w:t>21</w:t>
            </w:r>
          </w:p>
        </w:tc>
        <w:tc>
          <w:tcPr>
            <w:tcW w:w="6540" w:type="dxa"/>
            <w:vAlign w:val="bottom"/>
          </w:tcPr>
          <w:p>
            <w:pPr>
              <w:ind w:left="220"/>
              <w:spacing w:after="0"/>
              <w:rPr>
                <w:sz w:val="20"/>
                <w:szCs w:val="20"/>
                <w:color w:val="auto"/>
              </w:rPr>
            </w:pPr>
            <w:r>
              <w:rPr>
                <w:rFonts w:ascii="Courier New" w:cs="Courier New" w:eastAsia="Courier New" w:hAnsi="Courier New"/>
                <w:sz w:val="18"/>
                <w:szCs w:val="18"/>
                <w:color w:val="auto"/>
              </w:rPr>
              <w:t>Subsidiaries of Registrant (page 18 of this report).</w:t>
            </w:r>
          </w:p>
        </w:tc>
      </w:tr>
      <w:tr>
        <w:trPr>
          <w:trHeight w:val="405"/>
        </w:trPr>
        <w:tc>
          <w:tcPr>
            <w:tcW w:w="1780" w:type="dxa"/>
            <w:vAlign w:val="bottom"/>
          </w:tcPr>
          <w:p>
            <w:pPr>
              <w:ind w:left="100"/>
              <w:spacing w:after="0"/>
              <w:rPr>
                <w:sz w:val="20"/>
                <w:szCs w:val="20"/>
                <w:color w:val="auto"/>
              </w:rPr>
            </w:pPr>
            <w:r>
              <w:rPr>
                <w:rFonts w:ascii="Courier New" w:cs="Courier New" w:eastAsia="Courier New" w:hAnsi="Courier New"/>
                <w:sz w:val="18"/>
                <w:szCs w:val="18"/>
                <w:color w:val="auto"/>
              </w:rPr>
              <w:t>23</w:t>
            </w:r>
          </w:p>
        </w:tc>
        <w:tc>
          <w:tcPr>
            <w:tcW w:w="6540" w:type="dxa"/>
            <w:vAlign w:val="bottom"/>
          </w:tcPr>
          <w:p>
            <w:pPr>
              <w:ind w:left="220"/>
              <w:spacing w:after="0"/>
              <w:rPr>
                <w:sz w:val="20"/>
                <w:szCs w:val="20"/>
                <w:color w:val="auto"/>
              </w:rPr>
            </w:pPr>
            <w:r>
              <w:rPr>
                <w:rFonts w:ascii="Courier New" w:cs="Courier New" w:eastAsia="Courier New" w:hAnsi="Courier New"/>
                <w:sz w:val="18"/>
                <w:szCs w:val="18"/>
                <w:color w:val="auto"/>
              </w:rPr>
              <w:t>Independent Auditors' Consent (page 19 of this report).</w:t>
            </w:r>
          </w:p>
        </w:tc>
      </w:tr>
      <w:tr>
        <w:trPr>
          <w:trHeight w:val="405"/>
        </w:trPr>
        <w:tc>
          <w:tcPr>
            <w:tcW w:w="1780" w:type="dxa"/>
            <w:vAlign w:val="bottom"/>
          </w:tcPr>
          <w:p>
            <w:pPr>
              <w:spacing w:after="0"/>
              <w:rPr>
                <w:sz w:val="20"/>
                <w:szCs w:val="20"/>
                <w:color w:val="auto"/>
              </w:rPr>
            </w:pPr>
            <w:r>
              <w:rPr>
                <w:rFonts w:ascii="Courier New" w:cs="Courier New" w:eastAsia="Courier New" w:hAnsi="Courier New"/>
                <w:sz w:val="18"/>
                <w:szCs w:val="18"/>
                <w:color w:val="auto"/>
              </w:rPr>
              <w:t>*27</w:t>
            </w:r>
          </w:p>
        </w:tc>
        <w:tc>
          <w:tcPr>
            <w:tcW w:w="6540" w:type="dxa"/>
            <w:vAlign w:val="bottom"/>
          </w:tcPr>
          <w:p>
            <w:pPr>
              <w:ind w:left="220"/>
              <w:spacing w:after="0"/>
              <w:rPr>
                <w:sz w:val="20"/>
                <w:szCs w:val="20"/>
                <w:color w:val="auto"/>
              </w:rPr>
            </w:pPr>
            <w:r>
              <w:rPr>
                <w:rFonts w:ascii="Courier New" w:cs="Courier New" w:eastAsia="Courier New" w:hAnsi="Courier New"/>
                <w:sz w:val="18"/>
                <w:szCs w:val="18"/>
                <w:color w:val="auto"/>
              </w:rPr>
              <w:t>Financial Data Schedule</w:t>
            </w:r>
          </w:p>
        </w:tc>
      </w:tr>
    </w:tbl>
    <w:p>
      <w:pPr>
        <w:spacing w:after="0" w:line="207" w:lineRule="exact"/>
        <w:rPr>
          <w:sz w:val="20"/>
          <w:szCs w:val="20"/>
          <w:color w:val="auto"/>
        </w:rPr>
      </w:pPr>
    </w:p>
    <w:p>
      <w:pPr>
        <w:ind w:left="212" w:right="7679" w:hanging="212"/>
        <w:spacing w:after="0" w:line="470" w:lineRule="auto"/>
        <w:tabs>
          <w:tab w:leader="none" w:pos="52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 None.</w:t>
      </w:r>
    </w:p>
    <w:p>
      <w:pPr>
        <w:spacing w:after="0" w:line="6" w:lineRule="exact"/>
        <w:rPr>
          <w:rFonts w:ascii="Courier New" w:cs="Courier New" w:eastAsia="Courier New" w:hAnsi="Courier New"/>
          <w:sz w:val="18"/>
          <w:szCs w:val="18"/>
          <w:color w:val="auto"/>
        </w:rPr>
      </w:pPr>
    </w:p>
    <w:p>
      <w:pPr>
        <w:ind w:left="21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Filed Herewith</w:t>
      </w:r>
    </w:p>
    <w:p>
      <w:pPr>
        <w:spacing w:after="0" w:line="201" w:lineRule="exact"/>
        <w:rPr>
          <w:sz w:val="20"/>
          <w:szCs w:val="20"/>
          <w:color w:val="auto"/>
        </w:rPr>
      </w:pPr>
    </w:p>
    <w:p>
      <w:pPr>
        <w:ind w:left="3892"/>
        <w:spacing w:after="0"/>
        <w:rPr>
          <w:sz w:val="20"/>
          <w:szCs w:val="20"/>
          <w:color w:val="auto"/>
        </w:rPr>
      </w:pPr>
      <w:r>
        <w:rPr>
          <w:rFonts w:ascii="Courier New" w:cs="Courier New" w:eastAsia="Courier New" w:hAnsi="Courier New"/>
          <w:sz w:val="18"/>
          <w:szCs w:val="18"/>
          <w:color w:val="auto"/>
        </w:rPr>
        <w:t>- 11 -</w:t>
      </w:r>
    </w:p>
    <w:p>
      <w:pPr>
        <w:sectPr>
          <w:pgSz w:w="11900" w:h="16838" w:orient="portrait"/>
          <w:cols w:equalWidth="0" w:num="1">
            <w:col w:w="10211"/>
          </w:cols>
          <w:pgMar w:left="248" w:top="717" w:right="1440" w:bottom="1440" w:gutter="0" w:footer="0" w:header="0"/>
        </w:sectPr>
      </w:pPr>
    </w:p>
    <w:bookmarkStart w:id="3" w:name="page4"/>
    <w:bookmarkEnd w:id="3"/>
    <w:p>
      <w:pPr>
        <w:ind w:left="306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879" w:firstLine="211"/>
        <w:spacing w:after="0" w:line="236" w:lineRule="auto"/>
        <w:rPr>
          <w:sz w:val="20"/>
          <w:szCs w:val="20"/>
          <w:color w:val="auto"/>
        </w:rPr>
      </w:pPr>
      <w:r>
        <w:rPr>
          <w:rFonts w:ascii="Courier New" w:cs="Courier New" w:eastAsia="Courier New" w:hAnsi="Courier New"/>
          <w:sz w:val="18"/>
          <w:szCs w:val="18"/>
          <w:color w:val="auto"/>
        </w:rPr>
        <w:t>Pursuant to the requirements of Section 13 or 15(d) of the Securities Exchange Act of 1934, the registrant has caused this report to be signed on its behalf by the undersigned, thereunto duly authorized.</w:t>
      </w:r>
    </w:p>
    <w:p>
      <w:pPr>
        <w:spacing w:after="0" w:line="203"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THE TORO COMPANY</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Dated: October 18, 1994</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 Gerald T. Knight</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Gerald T. Knight</w:t>
      </w:r>
    </w:p>
    <w:p>
      <w:pPr>
        <w:ind w:left="540"/>
        <w:spacing w:after="0" w:line="237" w:lineRule="auto"/>
        <w:rPr>
          <w:sz w:val="20"/>
          <w:szCs w:val="20"/>
          <w:color w:val="auto"/>
        </w:rPr>
      </w:pPr>
      <w:r>
        <w:rPr>
          <w:rFonts w:ascii="Courier New" w:cs="Courier New" w:eastAsia="Courier New" w:hAnsi="Courier New"/>
          <w:sz w:val="18"/>
          <w:szCs w:val="18"/>
          <w:color w:val="auto"/>
        </w:rPr>
        <w:t>Vice President - Finance</w:t>
      </w:r>
    </w:p>
    <w:p>
      <w:pPr>
        <w:ind w:left="540"/>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line="208" w:lineRule="exact"/>
        <w:rPr>
          <w:sz w:val="20"/>
          <w:szCs w:val="20"/>
          <w:color w:val="auto"/>
        </w:rPr>
      </w:pPr>
    </w:p>
    <w:p>
      <w:pPr>
        <w:ind w:right="2199" w:firstLine="316"/>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ind w:left="640"/>
              <w:spacing w:after="0"/>
              <w:rPr>
                <w:sz w:val="20"/>
                <w:szCs w:val="20"/>
                <w:color w:val="auto"/>
              </w:rPr>
            </w:pPr>
            <w:r>
              <w:rPr>
                <w:rFonts w:ascii="Courier New" w:cs="Courier New" w:eastAsia="Courier New" w:hAnsi="Courier New"/>
                <w:sz w:val="18"/>
                <w:szCs w:val="18"/>
                <w:color w:val="auto"/>
              </w:rPr>
              <w:t>Signature</w:t>
            </w:r>
          </w:p>
        </w:tc>
        <w:tc>
          <w:tcPr>
            <w:tcW w:w="3420" w:type="dxa"/>
            <w:vAlign w:val="bottom"/>
          </w:tcPr>
          <w:p>
            <w:pPr>
              <w:ind w:left="900"/>
              <w:spacing w:after="0"/>
              <w:rPr>
                <w:sz w:val="20"/>
                <w:szCs w:val="20"/>
                <w:color w:val="auto"/>
              </w:rPr>
            </w:pPr>
            <w:r>
              <w:rPr>
                <w:rFonts w:ascii="Courier New" w:cs="Courier New" w:eastAsia="Courier New" w:hAnsi="Courier New"/>
                <w:sz w:val="18"/>
                <w:szCs w:val="18"/>
                <w:color w:val="auto"/>
              </w:rPr>
              <w:t>Title</w:t>
            </w:r>
          </w:p>
        </w:tc>
        <w:tc>
          <w:tcPr>
            <w:tcW w:w="2020" w:type="dxa"/>
            <w:vAlign w:val="bottom"/>
          </w:tcPr>
          <w:p>
            <w:pPr>
              <w:ind w:left="740"/>
              <w:spacing w:after="0"/>
              <w:rPr>
                <w:sz w:val="20"/>
                <w:szCs w:val="20"/>
                <w:color w:val="auto"/>
              </w:rPr>
            </w:pPr>
            <w:r>
              <w:rPr>
                <w:rFonts w:ascii="Courier New" w:cs="Courier New" w:eastAsia="Courier New" w:hAnsi="Courier New"/>
                <w:sz w:val="18"/>
                <w:szCs w:val="18"/>
                <w:color w:val="auto"/>
              </w:rPr>
              <w:t>Date</w:t>
            </w:r>
          </w:p>
        </w:tc>
      </w:tr>
      <w:tr>
        <w:trPr>
          <w:trHeight w:val="203"/>
        </w:trPr>
        <w:tc>
          <w:tcPr>
            <w:tcW w:w="2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c>
          <w:tcPr>
            <w:tcW w:w="342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w:t>
            </w:r>
          </w:p>
        </w:tc>
        <w:tc>
          <w:tcPr>
            <w:tcW w:w="20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/s/ Kendrick B. Melrose</w:t>
            </w:r>
          </w:p>
        </w:tc>
        <w:tc>
          <w:tcPr>
            <w:tcW w:w="3420" w:type="dxa"/>
            <w:vAlign w:val="bottom"/>
          </w:tcPr>
          <w:p>
            <w:pPr>
              <w:ind w:left="60"/>
              <w:spacing w:after="0"/>
              <w:rPr>
                <w:sz w:val="20"/>
                <w:szCs w:val="20"/>
                <w:color w:val="auto"/>
              </w:rPr>
            </w:pPr>
            <w:r>
              <w:rPr>
                <w:rFonts w:ascii="Courier New" w:cs="Courier New" w:eastAsia="Courier New" w:hAnsi="Courier New"/>
                <w:sz w:val="18"/>
                <w:szCs w:val="18"/>
                <w:color w:val="auto"/>
              </w:rPr>
              <w:t>Chairman, Chief Executive</w:t>
            </w:r>
          </w:p>
        </w:tc>
        <w:tc>
          <w:tcPr>
            <w:tcW w:w="2020" w:type="dxa"/>
            <w:vAlign w:val="bottom"/>
          </w:tcPr>
          <w:p>
            <w:pPr>
              <w:ind w:left="320"/>
              <w:spacing w:after="0"/>
              <w:rPr>
                <w:sz w:val="20"/>
                <w:szCs w:val="20"/>
                <w:color w:val="auto"/>
              </w:rPr>
            </w:pPr>
            <w:r>
              <w:rPr>
                <w:rFonts w:ascii="Courier New" w:cs="Courier New" w:eastAsia="Courier New" w:hAnsi="Courier New"/>
                <w:sz w:val="18"/>
                <w:szCs w:val="18"/>
                <w:color w:val="auto"/>
                <w:w w:val="97"/>
              </w:rPr>
              <w:t>October 18, 1994</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3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Officer and Director</w:t>
            </w:r>
          </w:p>
        </w:tc>
        <w:tc>
          <w:tcPr>
            <w:tcW w:w="2020" w:type="dxa"/>
            <w:vAlign w:val="bottom"/>
          </w:tcPr>
          <w:p>
            <w:pPr>
              <w:spacing w:after="0"/>
              <w:rPr>
                <w:sz w:val="17"/>
                <w:szCs w:val="17"/>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Kendrick B. Melrose</w:t>
            </w:r>
          </w:p>
        </w:tc>
        <w:tc>
          <w:tcPr>
            <w:tcW w:w="342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/s/ David H. Morris</w:t>
            </w:r>
          </w:p>
        </w:tc>
        <w:tc>
          <w:tcPr>
            <w:tcW w:w="3420" w:type="dxa"/>
            <w:vAlign w:val="bottom"/>
          </w:tcPr>
          <w:p>
            <w:pPr>
              <w:ind w:left="60"/>
              <w:spacing w:after="0"/>
              <w:rPr>
                <w:sz w:val="20"/>
                <w:szCs w:val="20"/>
                <w:color w:val="auto"/>
              </w:rPr>
            </w:pPr>
            <w:r>
              <w:rPr>
                <w:rFonts w:ascii="Courier New" w:cs="Courier New" w:eastAsia="Courier New" w:hAnsi="Courier New"/>
                <w:sz w:val="18"/>
                <w:szCs w:val="18"/>
                <w:color w:val="auto"/>
              </w:rPr>
              <w:t>President, Chief Operating</w:t>
            </w:r>
          </w:p>
        </w:tc>
        <w:tc>
          <w:tcPr>
            <w:tcW w:w="2020" w:type="dxa"/>
            <w:vAlign w:val="bottom"/>
          </w:tcPr>
          <w:p>
            <w:pPr>
              <w:ind w:left="320"/>
              <w:spacing w:after="0"/>
              <w:rPr>
                <w:sz w:val="20"/>
                <w:szCs w:val="20"/>
                <w:color w:val="auto"/>
              </w:rPr>
            </w:pPr>
            <w:r>
              <w:rPr>
                <w:rFonts w:ascii="Courier New" w:cs="Courier New" w:eastAsia="Courier New" w:hAnsi="Courier New"/>
                <w:sz w:val="18"/>
                <w:szCs w:val="18"/>
                <w:color w:val="auto"/>
                <w:w w:val="97"/>
              </w:rPr>
              <w:t>October 18, 1994</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3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Officer and Director</w:t>
            </w:r>
          </w:p>
        </w:tc>
        <w:tc>
          <w:tcPr>
            <w:tcW w:w="2020" w:type="dxa"/>
            <w:vAlign w:val="bottom"/>
          </w:tcPr>
          <w:p>
            <w:pPr>
              <w:spacing w:after="0"/>
              <w:rPr>
                <w:sz w:val="17"/>
                <w:szCs w:val="17"/>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David H. Morris</w:t>
            </w:r>
          </w:p>
        </w:tc>
        <w:tc>
          <w:tcPr>
            <w:tcW w:w="342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/s/ Gerald T. Knight</w:t>
            </w:r>
          </w:p>
        </w:tc>
        <w:tc>
          <w:tcPr>
            <w:tcW w:w="3420" w:type="dxa"/>
            <w:vAlign w:val="bottom"/>
          </w:tcPr>
          <w:p>
            <w:pPr>
              <w:ind w:left="60"/>
              <w:spacing w:after="0"/>
              <w:rPr>
                <w:sz w:val="20"/>
                <w:szCs w:val="20"/>
                <w:color w:val="auto"/>
              </w:rPr>
            </w:pPr>
            <w:r>
              <w:rPr>
                <w:rFonts w:ascii="Courier New" w:cs="Courier New" w:eastAsia="Courier New" w:hAnsi="Courier New"/>
                <w:sz w:val="18"/>
                <w:szCs w:val="18"/>
                <w:color w:val="auto"/>
              </w:rPr>
              <w:t>Vice President - Finance,</w:t>
            </w:r>
          </w:p>
        </w:tc>
        <w:tc>
          <w:tcPr>
            <w:tcW w:w="2020" w:type="dxa"/>
            <w:vAlign w:val="bottom"/>
          </w:tcPr>
          <w:p>
            <w:pPr>
              <w:ind w:left="320"/>
              <w:spacing w:after="0"/>
              <w:rPr>
                <w:sz w:val="20"/>
                <w:szCs w:val="20"/>
                <w:color w:val="auto"/>
              </w:rPr>
            </w:pPr>
            <w:r>
              <w:rPr>
                <w:rFonts w:ascii="Courier New" w:cs="Courier New" w:eastAsia="Courier New" w:hAnsi="Courier New"/>
                <w:sz w:val="18"/>
                <w:szCs w:val="18"/>
                <w:color w:val="auto"/>
                <w:w w:val="97"/>
              </w:rPr>
              <w:t>October 18, 1994</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3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Chief Financial Officer</w:t>
            </w:r>
          </w:p>
        </w:tc>
        <w:tc>
          <w:tcPr>
            <w:tcW w:w="2020" w:type="dxa"/>
            <w:vAlign w:val="bottom"/>
          </w:tcPr>
          <w:p>
            <w:pPr>
              <w:spacing w:after="0"/>
              <w:rPr>
                <w:sz w:val="17"/>
                <w:szCs w:val="17"/>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Gerald T. Knight</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(principal financial officer)</w:t>
            </w:r>
          </w:p>
        </w:tc>
        <w:tc>
          <w:tcPr>
            <w:tcW w:w="2020" w:type="dxa"/>
            <w:vAlign w:val="bottom"/>
          </w:tcPr>
          <w:p>
            <w:pPr>
              <w:spacing w:after="0"/>
              <w:rPr>
                <w:sz w:val="17"/>
                <w:szCs w:val="17"/>
                <w:color w:val="auto"/>
              </w:rPr>
            </w:pPr>
          </w:p>
        </w:tc>
      </w:tr>
      <w:tr>
        <w:trPr>
          <w:trHeight w:val="608"/>
        </w:trPr>
        <w:tc>
          <w:tcPr>
            <w:tcW w:w="2900" w:type="dxa"/>
            <w:vAlign w:val="bottom"/>
          </w:tcPr>
          <w:p>
            <w:pPr>
              <w:spacing w:after="0"/>
              <w:rPr>
                <w:sz w:val="20"/>
                <w:szCs w:val="20"/>
                <w:color w:val="auto"/>
              </w:rPr>
            </w:pPr>
            <w:r>
              <w:rPr>
                <w:rFonts w:ascii="Courier New" w:cs="Courier New" w:eastAsia="Courier New" w:hAnsi="Courier New"/>
                <w:sz w:val="18"/>
                <w:szCs w:val="18"/>
                <w:color w:val="auto"/>
              </w:rPr>
              <w:t>/s/ Randy B. James</w:t>
            </w:r>
          </w:p>
        </w:tc>
        <w:tc>
          <w:tcPr>
            <w:tcW w:w="3420" w:type="dxa"/>
            <w:vAlign w:val="bottom"/>
          </w:tcPr>
          <w:p>
            <w:pPr>
              <w:ind w:left="60"/>
              <w:spacing w:after="0"/>
              <w:rPr>
                <w:sz w:val="20"/>
                <w:szCs w:val="20"/>
                <w:color w:val="auto"/>
              </w:rPr>
            </w:pPr>
            <w:r>
              <w:rPr>
                <w:rFonts w:ascii="Courier New" w:cs="Courier New" w:eastAsia="Courier New" w:hAnsi="Courier New"/>
                <w:sz w:val="18"/>
                <w:szCs w:val="18"/>
                <w:color w:val="auto"/>
              </w:rPr>
              <w:t>Vice President, Controller</w:t>
            </w:r>
          </w:p>
        </w:tc>
        <w:tc>
          <w:tcPr>
            <w:tcW w:w="2020" w:type="dxa"/>
            <w:vAlign w:val="bottom"/>
          </w:tcPr>
          <w:p>
            <w:pPr>
              <w:ind w:left="320"/>
              <w:spacing w:after="0"/>
              <w:rPr>
                <w:sz w:val="20"/>
                <w:szCs w:val="20"/>
                <w:color w:val="auto"/>
              </w:rPr>
            </w:pPr>
            <w:r>
              <w:rPr>
                <w:rFonts w:ascii="Courier New" w:cs="Courier New" w:eastAsia="Courier New" w:hAnsi="Courier New"/>
                <w:sz w:val="18"/>
                <w:szCs w:val="18"/>
                <w:color w:val="auto"/>
                <w:w w:val="97"/>
              </w:rPr>
              <w:t>October 18, 1994</w:t>
            </w:r>
          </w:p>
        </w:tc>
      </w:tr>
    </w:tbl>
    <w:p>
      <w:pPr>
        <w:spacing w:after="0" w:line="4" w:lineRule="exact"/>
        <w:rPr>
          <w:sz w:val="20"/>
          <w:szCs w:val="20"/>
          <w:color w:val="auto"/>
        </w:rPr>
      </w:pPr>
    </w:p>
    <w:p>
      <w:pPr>
        <w:ind w:right="3999" w:firstLine="8"/>
        <w:spacing w:after="0" w:line="235"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(principal accounting officer) Randy B. James</w:t>
      </w:r>
    </w:p>
    <w:p>
      <w:pPr>
        <w:spacing w:after="0" w:line="203" w:lineRule="exact"/>
        <w:rPr>
          <w:sz w:val="20"/>
          <w:szCs w:val="20"/>
          <w:color w:val="auto"/>
        </w:rPr>
      </w:pPr>
    </w:p>
    <w:p>
      <w:pPr>
        <w:spacing w:after="0"/>
        <w:tabs>
          <w:tab w:leader="none" w:pos="2940" w:val="left"/>
          <w:tab w:leader="none" w:pos="6620" w:val="left"/>
        </w:tabs>
        <w:rPr>
          <w:sz w:val="20"/>
          <w:szCs w:val="20"/>
          <w:color w:val="auto"/>
        </w:rPr>
      </w:pPr>
      <w:r>
        <w:rPr>
          <w:rFonts w:ascii="Courier New" w:cs="Courier New" w:eastAsia="Courier New" w:hAnsi="Courier New"/>
          <w:sz w:val="18"/>
          <w:szCs w:val="18"/>
          <w:color w:val="auto"/>
        </w:rPr>
        <w:t>/s/ Janet K. Cooper</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October 18, 1994</w:t>
      </w:r>
    </w:p>
    <w:p>
      <w:pPr>
        <w:ind w:left="220" w:hanging="212"/>
        <w:spacing w:after="0" w:line="238" w:lineRule="auto"/>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Janet K. Cooper</w:t>
      </w:r>
    </w:p>
    <w:p>
      <w:pPr>
        <w:spacing w:after="0" w:line="202" w:lineRule="exact"/>
        <w:rPr>
          <w:sz w:val="20"/>
          <w:szCs w:val="20"/>
          <w:color w:val="auto"/>
        </w:rPr>
      </w:pPr>
    </w:p>
    <w:p>
      <w:pPr>
        <w:spacing w:after="0"/>
        <w:tabs>
          <w:tab w:leader="none" w:pos="2940" w:val="left"/>
          <w:tab w:leader="none" w:pos="6620" w:val="left"/>
        </w:tabs>
        <w:rPr>
          <w:sz w:val="20"/>
          <w:szCs w:val="20"/>
          <w:color w:val="auto"/>
        </w:rPr>
      </w:pPr>
      <w:r>
        <w:rPr>
          <w:rFonts w:ascii="Courier New" w:cs="Courier New" w:eastAsia="Courier New" w:hAnsi="Courier New"/>
          <w:sz w:val="18"/>
          <w:szCs w:val="18"/>
          <w:color w:val="auto"/>
        </w:rPr>
        <w:t>/s/ William W. George</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October 18, 1994</w:t>
      </w:r>
    </w:p>
    <w:p>
      <w:pPr>
        <w:ind w:left="220" w:hanging="212"/>
        <w:spacing w:after="0" w:line="238" w:lineRule="auto"/>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William W. George</w:t>
      </w:r>
    </w:p>
    <w:p>
      <w:pPr>
        <w:spacing w:after="0" w:line="202" w:lineRule="exact"/>
        <w:rPr>
          <w:sz w:val="20"/>
          <w:szCs w:val="20"/>
          <w:color w:val="auto"/>
        </w:rPr>
      </w:pPr>
    </w:p>
    <w:p>
      <w:pPr>
        <w:spacing w:after="0"/>
        <w:tabs>
          <w:tab w:leader="none" w:pos="2940" w:val="left"/>
          <w:tab w:leader="none" w:pos="6620" w:val="left"/>
        </w:tabs>
        <w:rPr>
          <w:sz w:val="20"/>
          <w:szCs w:val="20"/>
          <w:color w:val="auto"/>
        </w:rPr>
      </w:pPr>
      <w:r>
        <w:rPr>
          <w:rFonts w:ascii="Courier New" w:cs="Courier New" w:eastAsia="Courier New" w:hAnsi="Courier New"/>
          <w:sz w:val="18"/>
          <w:szCs w:val="18"/>
          <w:color w:val="auto"/>
        </w:rPr>
        <w:t>/s/ Alex A. Meyer</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October 18, 1994</w:t>
      </w: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Alex A. Meyer</w:t>
      </w:r>
    </w:p>
    <w:p>
      <w:pPr>
        <w:spacing w:after="0" w:line="202" w:lineRule="exact"/>
        <w:rPr>
          <w:sz w:val="20"/>
          <w:szCs w:val="20"/>
          <w:color w:val="auto"/>
        </w:rPr>
      </w:pPr>
    </w:p>
    <w:p>
      <w:pPr>
        <w:spacing w:after="0"/>
        <w:tabs>
          <w:tab w:leader="none" w:pos="2940" w:val="left"/>
          <w:tab w:leader="none" w:pos="6620" w:val="left"/>
        </w:tabs>
        <w:rPr>
          <w:sz w:val="20"/>
          <w:szCs w:val="20"/>
          <w:color w:val="auto"/>
        </w:rPr>
      </w:pPr>
      <w:r>
        <w:rPr>
          <w:rFonts w:ascii="Courier New" w:cs="Courier New" w:eastAsia="Courier New" w:hAnsi="Courier New"/>
          <w:sz w:val="18"/>
          <w:szCs w:val="18"/>
          <w:color w:val="auto"/>
        </w:rPr>
        <w:t>/s/ Robert H. Nassau</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October 18, 1994</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Robert H. Nassau</w:t>
      </w:r>
    </w:p>
    <w:p>
      <w:pPr>
        <w:spacing w:after="0" w:line="202" w:lineRule="exact"/>
        <w:rPr>
          <w:sz w:val="20"/>
          <w:szCs w:val="20"/>
          <w:color w:val="auto"/>
        </w:rPr>
      </w:pPr>
    </w:p>
    <w:p>
      <w:pPr>
        <w:spacing w:after="0"/>
        <w:tabs>
          <w:tab w:leader="none" w:pos="2940" w:val="left"/>
          <w:tab w:leader="none" w:pos="6620" w:val="left"/>
        </w:tabs>
        <w:rPr>
          <w:sz w:val="20"/>
          <w:szCs w:val="20"/>
          <w:color w:val="auto"/>
        </w:rPr>
      </w:pPr>
      <w:r>
        <w:rPr>
          <w:rFonts w:ascii="Courier New" w:cs="Courier New" w:eastAsia="Courier New" w:hAnsi="Courier New"/>
          <w:sz w:val="18"/>
          <w:szCs w:val="18"/>
          <w:color w:val="auto"/>
        </w:rPr>
        <w:t>/s/ Dale R. Olseth</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October 18, 1994</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Dale R. Olseth</w:t>
      </w:r>
    </w:p>
    <w:p>
      <w:pPr>
        <w:spacing w:after="0" w:line="202" w:lineRule="exact"/>
        <w:rPr>
          <w:sz w:val="20"/>
          <w:szCs w:val="20"/>
          <w:color w:val="auto"/>
        </w:rPr>
      </w:pPr>
    </w:p>
    <w:p>
      <w:pPr>
        <w:spacing w:after="0"/>
        <w:tabs>
          <w:tab w:leader="none" w:pos="2940" w:val="left"/>
          <w:tab w:leader="none" w:pos="6620" w:val="left"/>
        </w:tabs>
        <w:rPr>
          <w:sz w:val="20"/>
          <w:szCs w:val="20"/>
          <w:color w:val="auto"/>
        </w:rPr>
      </w:pPr>
      <w:r>
        <w:rPr>
          <w:rFonts w:ascii="Courier New" w:cs="Courier New" w:eastAsia="Courier New" w:hAnsi="Courier New"/>
          <w:sz w:val="18"/>
          <w:szCs w:val="18"/>
          <w:color w:val="auto"/>
        </w:rPr>
        <w:t>/s/ Dale W. Turnbull</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October 18, 1994</w:t>
      </w:r>
    </w:p>
    <w:p>
      <w:pPr>
        <w:ind w:left="220" w:hanging="212"/>
        <w:spacing w:after="0" w:line="238" w:lineRule="auto"/>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Dale W. Turnbull</w:t>
      </w:r>
    </w:p>
    <w:p>
      <w:pPr>
        <w:spacing w:after="0" w:line="202" w:lineRule="exact"/>
        <w:rPr>
          <w:sz w:val="20"/>
          <w:szCs w:val="20"/>
          <w:color w:val="auto"/>
        </w:rPr>
      </w:pPr>
    </w:p>
    <w:p>
      <w:pPr>
        <w:spacing w:after="0"/>
        <w:tabs>
          <w:tab w:leader="none" w:pos="2940" w:val="left"/>
          <w:tab w:leader="none" w:pos="6620" w:val="left"/>
        </w:tabs>
        <w:rPr>
          <w:sz w:val="20"/>
          <w:szCs w:val="20"/>
          <w:color w:val="auto"/>
        </w:rPr>
      </w:pPr>
      <w:r>
        <w:rPr>
          <w:rFonts w:ascii="Courier New" w:cs="Courier New" w:eastAsia="Courier New" w:hAnsi="Courier New"/>
          <w:sz w:val="18"/>
          <w:szCs w:val="18"/>
          <w:color w:val="auto"/>
        </w:rPr>
        <w:t>/s/ Edwin H. Wingate</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October 18, 1994</w:t>
      </w:r>
    </w:p>
    <w:p>
      <w:pPr>
        <w:ind w:left="220" w:hanging="212"/>
        <w:spacing w:after="0" w:line="238" w:lineRule="auto"/>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Edwin H. Wingate</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- 12 -</w:t>
      </w:r>
    </w:p>
    <w:p>
      <w:pPr>
        <w:sectPr>
          <w:pgSz w:w="11900" w:h="16838" w:orient="portrait"/>
          <w:cols w:equalWidth="0" w:num="1">
            <w:col w:w="10219"/>
          </w:cols>
          <w:pgMar w:left="240" w:top="312" w:right="1440" w:bottom="1440" w:gutter="0" w:footer="0" w:header="0"/>
        </w:sectPr>
      </w:pPr>
    </w:p>
    <w:bookmarkStart w:id="4" w:name="page5"/>
    <w:bookmarkEnd w:id="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ind w:left="12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left="40" w:right="2599"/>
        <w:spacing w:after="0" w:line="279" w:lineRule="auto"/>
        <w:rPr>
          <w:sz w:val="20"/>
          <w:szCs w:val="20"/>
          <w:color w:val="auto"/>
        </w:rPr>
      </w:pPr>
      <w:r>
        <w:rPr>
          <w:rFonts w:ascii="Courier New" w:cs="Courier New" w:eastAsia="Courier New" w:hAnsi="Courier New"/>
          <w:sz w:val="16"/>
          <w:szCs w:val="16"/>
          <w:color w:val="auto"/>
        </w:rPr>
        <w:t>This schedule contains information extracted from the Consolidated Statement of Operations, the Balance Sheet and 10-K Schedule VIII and Exhibit 11 and is qualified in its entirety by reference to those items.</w:t>
      </w:r>
    </w:p>
    <w:p>
      <w:pPr>
        <w:spacing w:after="0" w:line="17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12-MOS</w:t>
      </w:r>
    </w:p>
    <w:p>
      <w:pPr>
        <w:ind w:left="2740"/>
        <w:spacing w:after="0" w:line="238" w:lineRule="auto"/>
        <w:rPr>
          <w:sz w:val="20"/>
          <w:szCs w:val="20"/>
          <w:color w:val="auto"/>
        </w:rPr>
      </w:pPr>
      <w:r>
        <w:rPr>
          <w:rFonts w:ascii="Courier New" w:cs="Courier New" w:eastAsia="Courier New" w:hAnsi="Courier New"/>
          <w:sz w:val="18"/>
          <w:szCs w:val="18"/>
          <w:color w:val="auto"/>
        </w:rPr>
        <w:t>JUL-31-1994</w:t>
      </w:r>
    </w:p>
    <w:p>
      <w:pPr>
        <w:ind w:left="3060"/>
        <w:spacing w:after="0"/>
        <w:rPr>
          <w:sz w:val="20"/>
          <w:szCs w:val="20"/>
          <w:color w:val="auto"/>
        </w:rPr>
      </w:pPr>
      <w:r>
        <w:rPr>
          <w:rFonts w:ascii="Courier New" w:cs="Courier New" w:eastAsia="Courier New" w:hAnsi="Courier New"/>
          <w:sz w:val="18"/>
          <w:szCs w:val="18"/>
          <w:color w:val="auto"/>
        </w:rPr>
        <w:t>AUG-01-1993</w:t>
      </w:r>
    </w:p>
    <w:p>
      <w:pPr>
        <w:ind w:left="3280"/>
        <w:spacing w:after="0" w:line="237" w:lineRule="auto"/>
        <w:rPr>
          <w:sz w:val="20"/>
          <w:szCs w:val="20"/>
          <w:color w:val="auto"/>
        </w:rPr>
      </w:pPr>
      <w:r>
        <w:rPr>
          <w:rFonts w:ascii="Courier New" w:cs="Courier New" w:eastAsia="Courier New" w:hAnsi="Courier New"/>
          <w:sz w:val="18"/>
          <w:szCs w:val="18"/>
          <w:color w:val="auto"/>
        </w:rPr>
        <w:t>JUL-31-1994</w:t>
      </w:r>
    </w:p>
    <w:p>
      <w:pPr>
        <w:ind w:left="4440"/>
        <w:spacing w:after="0" w:line="238" w:lineRule="auto"/>
        <w:rPr>
          <w:sz w:val="20"/>
          <w:szCs w:val="20"/>
          <w:color w:val="auto"/>
        </w:rPr>
      </w:pPr>
      <w:r>
        <w:rPr>
          <w:rFonts w:ascii="Courier New" w:cs="Courier New" w:eastAsia="Courier New" w:hAnsi="Courier New"/>
          <w:sz w:val="18"/>
          <w:szCs w:val="18"/>
          <w:color w:val="auto"/>
        </w:rPr>
        <w:t>36,231</w:t>
      </w:r>
    </w:p>
    <w:p>
      <w:pPr>
        <w:ind w:left="4320"/>
        <w:spacing w:after="0"/>
        <w:rPr>
          <w:sz w:val="20"/>
          <w:szCs w:val="20"/>
          <w:color w:val="auto"/>
        </w:rPr>
      </w:pPr>
      <w:r>
        <w:rPr>
          <w:rFonts w:ascii="Courier New" w:cs="Courier New" w:eastAsia="Courier New" w:hAnsi="Courier New"/>
          <w:sz w:val="18"/>
          <w:szCs w:val="18"/>
          <w:color w:val="auto"/>
        </w:rPr>
        <w:t>0</w:t>
      </w:r>
    </w:p>
    <w:p>
      <w:pPr>
        <w:ind w:left="3580"/>
        <w:spacing w:after="0" w:line="237" w:lineRule="auto"/>
        <w:rPr>
          <w:sz w:val="20"/>
          <w:szCs w:val="20"/>
          <w:color w:val="auto"/>
        </w:rPr>
      </w:pPr>
      <w:r>
        <w:rPr>
          <w:rFonts w:ascii="Courier New" w:cs="Courier New" w:eastAsia="Courier New" w:hAnsi="Courier New"/>
          <w:sz w:val="18"/>
          <w:szCs w:val="18"/>
          <w:color w:val="auto"/>
        </w:rPr>
        <w:t>185,620</w:t>
      </w:r>
    </w:p>
    <w:p>
      <w:pPr>
        <w:ind w:left="3900"/>
        <w:spacing w:after="0"/>
        <w:rPr>
          <w:sz w:val="20"/>
          <w:szCs w:val="20"/>
          <w:color w:val="auto"/>
        </w:rPr>
      </w:pPr>
      <w:r>
        <w:rPr>
          <w:rFonts w:ascii="Courier New" w:cs="Courier New" w:eastAsia="Courier New" w:hAnsi="Courier New"/>
          <w:sz w:val="18"/>
          <w:szCs w:val="18"/>
          <w:color w:val="auto"/>
        </w:rPr>
        <w:t>7,702</w:t>
      </w:r>
    </w:p>
    <w:p>
      <w:pPr>
        <w:ind w:left="3800"/>
        <w:spacing w:after="0" w:line="237" w:lineRule="auto"/>
        <w:rPr>
          <w:sz w:val="20"/>
          <w:szCs w:val="20"/>
          <w:color w:val="auto"/>
        </w:rPr>
      </w:pPr>
      <w:r>
        <w:rPr>
          <w:rFonts w:ascii="Courier New" w:cs="Courier New" w:eastAsia="Courier New" w:hAnsi="Courier New"/>
          <w:sz w:val="18"/>
          <w:szCs w:val="18"/>
          <w:color w:val="auto"/>
        </w:rPr>
        <w:t>118,764</w:t>
      </w:r>
    </w:p>
    <w:p>
      <w:pPr>
        <w:ind w:left="3280"/>
        <w:spacing w:after="0"/>
        <w:rPr>
          <w:sz w:val="20"/>
          <w:szCs w:val="20"/>
          <w:color w:val="auto"/>
        </w:rPr>
      </w:pPr>
      <w:r>
        <w:rPr>
          <w:rFonts w:ascii="Courier New" w:cs="Courier New" w:eastAsia="Courier New" w:hAnsi="Courier New"/>
          <w:sz w:val="18"/>
          <w:szCs w:val="18"/>
          <w:color w:val="auto"/>
        </w:rPr>
        <w:t>364,495</w:t>
      </w:r>
    </w:p>
    <w:p>
      <w:pPr>
        <w:ind w:left="4320"/>
        <w:spacing w:after="0" w:line="237" w:lineRule="auto"/>
        <w:rPr>
          <w:sz w:val="20"/>
          <w:szCs w:val="20"/>
          <w:color w:val="auto"/>
        </w:rPr>
      </w:pPr>
      <w:r>
        <w:rPr>
          <w:rFonts w:ascii="Courier New" w:cs="Courier New" w:eastAsia="Courier New" w:hAnsi="Courier New"/>
          <w:sz w:val="18"/>
          <w:szCs w:val="18"/>
          <w:color w:val="auto"/>
        </w:rPr>
        <w:t>185,478</w:t>
      </w:r>
    </w:p>
    <w:p>
      <w:pPr>
        <w:ind w:left="3480"/>
        <w:spacing w:after="0" w:line="238" w:lineRule="auto"/>
        <w:rPr>
          <w:sz w:val="20"/>
          <w:szCs w:val="20"/>
          <w:color w:val="auto"/>
        </w:rPr>
      </w:pPr>
      <w:r>
        <w:rPr>
          <w:rFonts w:ascii="Courier New" w:cs="Courier New" w:eastAsia="Courier New" w:hAnsi="Courier New"/>
          <w:sz w:val="18"/>
          <w:szCs w:val="18"/>
          <w:color w:val="auto"/>
        </w:rPr>
        <w:t>126,635</w:t>
      </w:r>
    </w:p>
    <w:p>
      <w:pPr>
        <w:ind w:left="3480"/>
        <w:spacing w:after="0"/>
        <w:rPr>
          <w:sz w:val="20"/>
          <w:szCs w:val="20"/>
          <w:color w:val="auto"/>
        </w:rPr>
      </w:pPr>
      <w:r>
        <w:rPr>
          <w:rFonts w:ascii="Courier New" w:cs="Courier New" w:eastAsia="Courier New" w:hAnsi="Courier New"/>
          <w:sz w:val="18"/>
          <w:szCs w:val="18"/>
          <w:color w:val="auto"/>
        </w:rPr>
        <w:t>443,639</w:t>
      </w:r>
    </w:p>
    <w:p>
      <w:pPr>
        <w:ind w:left="2740"/>
        <w:spacing w:after="0" w:line="237" w:lineRule="auto"/>
        <w:rPr>
          <w:sz w:val="20"/>
          <w:szCs w:val="20"/>
          <w:color w:val="auto"/>
        </w:rPr>
      </w:pPr>
      <w:r>
        <w:rPr>
          <w:rFonts w:ascii="Courier New" w:cs="Courier New" w:eastAsia="Courier New" w:hAnsi="Courier New"/>
          <w:sz w:val="18"/>
          <w:szCs w:val="18"/>
          <w:color w:val="auto"/>
        </w:rPr>
        <w:t>188,712</w:t>
      </w:r>
    </w:p>
    <w:p>
      <w:pPr>
        <w:ind w:left="4220"/>
        <w:spacing w:after="0"/>
        <w:rPr>
          <w:sz w:val="20"/>
          <w:szCs w:val="20"/>
          <w:color w:val="auto"/>
        </w:rPr>
      </w:pPr>
      <w:r>
        <w:rPr>
          <w:rFonts w:ascii="Courier New" w:cs="Courier New" w:eastAsia="Courier New" w:hAnsi="Courier New"/>
          <w:sz w:val="18"/>
          <w:szCs w:val="18"/>
          <w:color w:val="auto"/>
        </w:rPr>
        <w:t>101,325</w:t>
      </w:r>
    </w:p>
    <w:p>
      <w:pPr>
        <w:ind w:left="4220"/>
        <w:spacing w:after="0" w:line="237" w:lineRule="auto"/>
        <w:rPr>
          <w:sz w:val="20"/>
          <w:szCs w:val="20"/>
          <w:color w:val="auto"/>
        </w:rPr>
      </w:pPr>
      <w:r>
        <w:rPr>
          <w:rFonts w:ascii="Courier New" w:cs="Courier New" w:eastAsia="Courier New" w:hAnsi="Courier New"/>
          <w:sz w:val="18"/>
          <w:szCs w:val="18"/>
          <w:color w:val="auto"/>
        </w:rPr>
        <w:t>12,561</w:t>
      </w:r>
    </w:p>
    <w:p>
      <w:pPr>
        <w:ind w:left="3380"/>
        <w:spacing w:after="0"/>
        <w:rPr>
          <w:sz w:val="20"/>
          <w:szCs w:val="20"/>
          <w:color w:val="auto"/>
        </w:rPr>
      </w:pPr>
      <w:r>
        <w:rPr>
          <w:rFonts w:ascii="Courier New" w:cs="Courier New" w:eastAsia="Courier New" w:hAnsi="Courier New"/>
          <w:sz w:val="18"/>
          <w:szCs w:val="18"/>
          <w:color w:val="auto"/>
        </w:rPr>
        <w:t>0</w:t>
      </w:r>
    </w:p>
    <w:p>
      <w:pPr>
        <w:ind w:left="4440"/>
        <w:spacing w:after="0" w:line="237" w:lineRule="auto"/>
        <w:rPr>
          <w:sz w:val="20"/>
          <w:szCs w:val="20"/>
          <w:color w:val="auto"/>
        </w:rPr>
      </w:pPr>
      <w:r>
        <w:rPr>
          <w:rFonts w:ascii="Courier New" w:cs="Courier New" w:eastAsia="Courier New" w:hAnsi="Courier New"/>
          <w:sz w:val="18"/>
          <w:szCs w:val="18"/>
          <w:color w:val="auto"/>
        </w:rPr>
        <w:t>0</w:t>
      </w:r>
    </w:p>
    <w:p>
      <w:pPr>
        <w:ind w:left="3900"/>
        <w:spacing w:after="0" w:line="238" w:lineRule="auto"/>
        <w:rPr>
          <w:sz w:val="20"/>
          <w:szCs w:val="20"/>
          <w:color w:val="auto"/>
        </w:rPr>
      </w:pPr>
      <w:r>
        <w:rPr>
          <w:rFonts w:ascii="Courier New" w:cs="Courier New" w:eastAsia="Courier New" w:hAnsi="Courier New"/>
          <w:sz w:val="18"/>
          <w:szCs w:val="18"/>
          <w:color w:val="auto"/>
        </w:rPr>
        <w:t>156,091</w:t>
      </w:r>
    </w:p>
    <w:p>
      <w:pPr>
        <w:ind w:left="2000"/>
        <w:spacing w:after="0"/>
        <w:rPr>
          <w:sz w:val="20"/>
          <w:szCs w:val="20"/>
          <w:color w:val="auto"/>
        </w:rPr>
      </w:pPr>
      <w:r>
        <w:rPr>
          <w:rFonts w:ascii="Courier New" w:cs="Courier New" w:eastAsia="Courier New" w:hAnsi="Courier New"/>
          <w:sz w:val="18"/>
          <w:szCs w:val="18"/>
          <w:color w:val="auto"/>
        </w:rPr>
        <w:t>443,639</w:t>
      </w:r>
    </w:p>
    <w:p>
      <w:pPr>
        <w:ind w:left="4220"/>
        <w:spacing w:after="0" w:line="237" w:lineRule="auto"/>
        <w:rPr>
          <w:sz w:val="20"/>
          <w:szCs w:val="20"/>
          <w:color w:val="auto"/>
        </w:rPr>
      </w:pPr>
      <w:r>
        <w:rPr>
          <w:rFonts w:ascii="Courier New" w:cs="Courier New" w:eastAsia="Courier New" w:hAnsi="Courier New"/>
          <w:sz w:val="18"/>
          <w:szCs w:val="18"/>
          <w:color w:val="auto"/>
        </w:rPr>
        <w:t>794,341</w:t>
      </w:r>
    </w:p>
    <w:p>
      <w:pPr>
        <w:ind w:left="3280"/>
        <w:spacing w:after="0"/>
        <w:rPr>
          <w:sz w:val="20"/>
          <w:szCs w:val="20"/>
          <w:color w:val="auto"/>
        </w:rPr>
      </w:pPr>
      <w:r>
        <w:rPr>
          <w:rFonts w:ascii="Courier New" w:cs="Courier New" w:eastAsia="Courier New" w:hAnsi="Courier New"/>
          <w:sz w:val="18"/>
          <w:szCs w:val="18"/>
          <w:color w:val="auto"/>
        </w:rPr>
        <w:t>794,341</w:t>
      </w:r>
    </w:p>
    <w:p>
      <w:pPr>
        <w:ind w:left="4440"/>
        <w:spacing w:after="0" w:line="237" w:lineRule="auto"/>
        <w:rPr>
          <w:sz w:val="20"/>
          <w:szCs w:val="20"/>
          <w:color w:val="auto"/>
        </w:rPr>
      </w:pPr>
      <w:r>
        <w:rPr>
          <w:rFonts w:ascii="Courier New" w:cs="Courier New" w:eastAsia="Courier New" w:hAnsi="Courier New"/>
          <w:sz w:val="18"/>
          <w:szCs w:val="18"/>
          <w:color w:val="auto"/>
        </w:rPr>
        <w:t>506,816</w:t>
      </w:r>
    </w:p>
    <w:p>
      <w:pPr>
        <w:ind w:left="3580"/>
        <w:spacing w:after="0"/>
        <w:rPr>
          <w:sz w:val="20"/>
          <w:szCs w:val="20"/>
          <w:color w:val="auto"/>
        </w:rPr>
      </w:pPr>
      <w:r>
        <w:rPr>
          <w:rFonts w:ascii="Courier New" w:cs="Courier New" w:eastAsia="Courier New" w:hAnsi="Courier New"/>
          <w:sz w:val="18"/>
          <w:szCs w:val="18"/>
          <w:color w:val="auto"/>
        </w:rPr>
        <w:t>244,943</w:t>
      </w:r>
    </w:p>
    <w:p>
      <w:pPr>
        <w:ind w:left="3280"/>
        <w:spacing w:after="0" w:line="237" w:lineRule="auto"/>
        <w:rPr>
          <w:sz w:val="20"/>
          <w:szCs w:val="20"/>
          <w:color w:val="auto"/>
        </w:rPr>
      </w:pPr>
      <w:r>
        <w:rPr>
          <w:rFonts w:ascii="Courier New" w:cs="Courier New" w:eastAsia="Courier New" w:hAnsi="Courier New"/>
          <w:sz w:val="18"/>
          <w:szCs w:val="18"/>
          <w:color w:val="auto"/>
        </w:rPr>
        <w:t>(8,030)</w:t>
      </w:r>
    </w:p>
    <w:p>
      <w:pPr>
        <w:ind w:left="3480"/>
        <w:spacing w:after="0"/>
        <w:rPr>
          <w:sz w:val="20"/>
          <w:szCs w:val="20"/>
          <w:color w:val="auto"/>
        </w:rPr>
      </w:pPr>
      <w:r>
        <w:rPr>
          <w:rFonts w:ascii="Courier New" w:cs="Courier New" w:eastAsia="Courier New" w:hAnsi="Courier New"/>
          <w:sz w:val="18"/>
          <w:szCs w:val="18"/>
          <w:color w:val="auto"/>
        </w:rPr>
        <w:t>3,032</w:t>
      </w:r>
    </w:p>
    <w:p>
      <w:pPr>
        <w:ind w:left="3160"/>
        <w:spacing w:after="0" w:line="237" w:lineRule="auto"/>
        <w:rPr>
          <w:sz w:val="20"/>
          <w:szCs w:val="20"/>
          <w:color w:val="auto"/>
        </w:rPr>
      </w:pPr>
      <w:r>
        <w:rPr>
          <w:rFonts w:ascii="Courier New" w:cs="Courier New" w:eastAsia="Courier New" w:hAnsi="Courier New"/>
          <w:sz w:val="18"/>
          <w:szCs w:val="18"/>
          <w:color w:val="auto"/>
        </w:rPr>
        <w:t>13,562</w:t>
      </w:r>
    </w:p>
    <w:p>
      <w:pPr>
        <w:ind w:left="3480"/>
        <w:spacing w:after="0" w:line="238" w:lineRule="auto"/>
        <w:rPr>
          <w:sz w:val="20"/>
          <w:szCs w:val="20"/>
          <w:color w:val="auto"/>
        </w:rPr>
      </w:pPr>
      <w:r>
        <w:rPr>
          <w:rFonts w:ascii="Courier New" w:cs="Courier New" w:eastAsia="Courier New" w:hAnsi="Courier New"/>
          <w:sz w:val="18"/>
          <w:szCs w:val="18"/>
          <w:color w:val="auto"/>
        </w:rPr>
        <w:t>37,050</w:t>
      </w:r>
    </w:p>
    <w:p>
      <w:pPr>
        <w:ind w:left="3800"/>
        <w:spacing w:after="0"/>
        <w:rPr>
          <w:sz w:val="20"/>
          <w:szCs w:val="20"/>
          <w:color w:val="auto"/>
        </w:rPr>
      </w:pPr>
      <w:r>
        <w:rPr>
          <w:rFonts w:ascii="Courier New" w:cs="Courier New" w:eastAsia="Courier New" w:hAnsi="Courier New"/>
          <w:sz w:val="18"/>
          <w:szCs w:val="18"/>
          <w:color w:val="auto"/>
        </w:rPr>
        <w:t>14,820</w:t>
      </w:r>
    </w:p>
    <w:p>
      <w:pPr>
        <w:ind w:left="3060"/>
        <w:spacing w:after="0" w:line="237" w:lineRule="auto"/>
        <w:rPr>
          <w:sz w:val="20"/>
          <w:szCs w:val="20"/>
          <w:color w:val="auto"/>
        </w:rPr>
      </w:pPr>
      <w:r>
        <w:rPr>
          <w:rFonts w:ascii="Courier New" w:cs="Courier New" w:eastAsia="Courier New" w:hAnsi="Courier New"/>
          <w:sz w:val="18"/>
          <w:szCs w:val="18"/>
          <w:color w:val="auto"/>
        </w:rPr>
        <w:t>22,230</w:t>
      </w:r>
    </w:p>
    <w:p>
      <w:pPr>
        <w:ind w:left="4120"/>
        <w:spacing w:after="0"/>
        <w:rPr>
          <w:sz w:val="20"/>
          <w:szCs w:val="20"/>
          <w:color w:val="auto"/>
        </w:rPr>
      </w:pPr>
      <w:r>
        <w:rPr>
          <w:rFonts w:ascii="Courier New" w:cs="Courier New" w:eastAsia="Courier New" w:hAnsi="Courier New"/>
          <w:sz w:val="18"/>
          <w:szCs w:val="18"/>
          <w:color w:val="auto"/>
        </w:rPr>
        <w:t>0</w:t>
      </w:r>
    </w:p>
    <w:p>
      <w:pPr>
        <w:ind w:left="4020"/>
        <w:spacing w:after="0" w:line="237" w:lineRule="auto"/>
        <w:rPr>
          <w:sz w:val="20"/>
          <w:szCs w:val="20"/>
          <w:color w:val="auto"/>
        </w:rPr>
      </w:pPr>
      <w:r>
        <w:rPr>
          <w:rFonts w:ascii="Courier New" w:cs="Courier New" w:eastAsia="Courier New" w:hAnsi="Courier New"/>
          <w:sz w:val="18"/>
          <w:szCs w:val="18"/>
          <w:color w:val="auto"/>
        </w:rPr>
        <w:t>0</w:t>
      </w:r>
    </w:p>
    <w:p>
      <w:pPr>
        <w:ind w:left="4640"/>
        <w:spacing w:after="0"/>
        <w:rPr>
          <w:sz w:val="20"/>
          <w:szCs w:val="20"/>
          <w:color w:val="auto"/>
        </w:rPr>
      </w:pPr>
      <w:r>
        <w:rPr>
          <w:rFonts w:ascii="Courier New" w:cs="Courier New" w:eastAsia="Courier New" w:hAnsi="Courier New"/>
          <w:sz w:val="18"/>
          <w:szCs w:val="18"/>
          <w:color w:val="auto"/>
        </w:rPr>
        <w:t>0</w:t>
      </w:r>
    </w:p>
    <w:p>
      <w:pPr>
        <w:jc w:val="center"/>
        <w:ind w:right="1979"/>
        <w:spacing w:after="0" w:line="237" w:lineRule="auto"/>
        <w:rPr>
          <w:sz w:val="20"/>
          <w:szCs w:val="20"/>
          <w:color w:val="auto"/>
        </w:rPr>
      </w:pPr>
      <w:r>
        <w:rPr>
          <w:rFonts w:ascii="Courier New" w:cs="Courier New" w:eastAsia="Courier New" w:hAnsi="Courier New"/>
          <w:sz w:val="18"/>
          <w:szCs w:val="18"/>
          <w:color w:val="auto"/>
        </w:rPr>
        <w:t>22,230</w:t>
      </w:r>
    </w:p>
    <w:p>
      <w:pPr>
        <w:jc w:val="center"/>
        <w:ind w:right="1979"/>
        <w:spacing w:after="0" w:line="238" w:lineRule="auto"/>
        <w:rPr>
          <w:sz w:val="20"/>
          <w:szCs w:val="20"/>
          <w:color w:val="auto"/>
        </w:rPr>
      </w:pPr>
      <w:r>
        <w:rPr>
          <w:rFonts w:ascii="Courier New" w:cs="Courier New" w:eastAsia="Courier New" w:hAnsi="Courier New"/>
          <w:sz w:val="18"/>
          <w:szCs w:val="18"/>
          <w:color w:val="auto"/>
        </w:rPr>
        <w:t>1.71</w:t>
      </w:r>
    </w:p>
    <w:p>
      <w:pPr>
        <w:jc w:val="center"/>
        <w:ind w:right="1979"/>
        <w:spacing w:after="0"/>
        <w:rPr>
          <w:sz w:val="20"/>
          <w:szCs w:val="20"/>
          <w:color w:val="auto"/>
        </w:rPr>
      </w:pPr>
      <w:r>
        <w:rPr>
          <w:rFonts w:ascii="Courier New" w:cs="Courier New" w:eastAsia="Courier New" w:hAnsi="Courier New"/>
          <w:sz w:val="18"/>
          <w:szCs w:val="18"/>
          <w:color w:val="auto"/>
        </w:rPr>
        <w:t>1.71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Total debt</w:t>
      </w:r>
    </w:p>
    <w:p>
      <w:pPr>
        <w:spacing w:after="0" w:line="238" w:lineRule="auto"/>
        <w:rPr>
          <w:sz w:val="20"/>
          <w:szCs w:val="20"/>
          <w:color w:val="auto"/>
        </w:rPr>
      </w:pPr>
      <w:r>
        <w:rPr>
          <w:rFonts w:ascii="Courier New" w:cs="Courier New" w:eastAsia="Courier New" w:hAnsi="Courier New"/>
          <w:sz w:val="18"/>
          <w:szCs w:val="18"/>
          <w:color w:val="auto"/>
        </w:rPr>
        <w:t>Does not include additional paid in capital</w:t>
      </w:r>
    </w:p>
    <w:p>
      <w:pPr>
        <w:spacing w:after="0"/>
        <w:rPr>
          <w:sz w:val="20"/>
          <w:szCs w:val="20"/>
          <w:color w:val="auto"/>
        </w:rPr>
      </w:pPr>
      <w:r>
        <w:rPr>
          <w:rFonts w:ascii="Courier New" w:cs="Courier New" w:eastAsia="Courier New" w:hAnsi="Courier New"/>
          <w:sz w:val="18"/>
          <w:szCs w:val="18"/>
          <w:color w:val="auto"/>
        </w:rPr>
        <w:t>Other income - net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upperLetter"/>
      <w:start w:val="24"/>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lowerLetter"/>
      <w:start w:val="1"/>
    </w:lvl>
  </w:abstractNum>
  <w:abstractNum w:abstractNumId="3">
    <w:nsid w:val="5BD062C2"/>
    <w:multiLevelType w:val="hybridMultilevel"/>
    <w:lvl w:ilvl="0">
      <w:lvlJc w:val="left"/>
      <w:lvlText w:val="(%1)"/>
      <w:numFmt w:val="lowerLetter"/>
      <w:start w:val="1"/>
    </w:lvl>
  </w:abstractNum>
  <w:abstractNum w:abstractNumId="4">
    <w:nsid w:val="12200854"/>
    <w:multiLevelType w:val="hybridMultilevel"/>
    <w:lvl w:ilvl="0">
      <w:lvlJc w:val="left"/>
      <w:lvlText w:val="(%1)"/>
      <w:numFmt w:val="lowerLetter"/>
      <w:start w:val="1"/>
    </w:lvl>
  </w:abstractNum>
  <w:abstractNum w:abstractNumId="5">
    <w:nsid w:val="4DB127F8"/>
    <w:multiLevelType w:val="hybridMultilevel"/>
    <w:lvl w:ilvl="0">
      <w:lvlJc w:val="left"/>
      <w:lvlText w:val="(%1)"/>
      <w:numFmt w:val="lowerLetter"/>
      <w:start w:val="2"/>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2019-12-12T07:41:12Z</dcterms:created>
  <dcterms:modified xsi:type="dcterms:W3CDTF">2019-12-12T07:41:12Z</dcterms:modified>
</cp:coreProperties>
</file>