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1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18"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1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06/28/2018</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Pr>
          <w:p>
            <w:pPr>
              <w:ind w:left="180"/>
              <w:spacing w:after="0"/>
              <w:rPr>
                <w:sz w:val="20"/>
                <w:szCs w:val="20"/>
                <w:color w:val="auto"/>
              </w:rPr>
            </w:pPr>
            <w:r>
              <w:rPr>
                <w:rFonts w:ascii="Arial" w:cs="Arial" w:eastAsia="Arial" w:hAnsi="Arial"/>
                <w:sz w:val="18"/>
                <w:szCs w:val="18"/>
                <w:color w:val="0000FF"/>
              </w:rPr>
              <w:t>5,000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14.1125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13,065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06/28/2018</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ind w:left="180"/>
              <w:spacing w:after="0"/>
              <w:rPr>
                <w:sz w:val="20"/>
                <w:szCs w:val="20"/>
                <w:color w:val="auto"/>
              </w:rPr>
            </w:pPr>
            <w:r>
              <w:rPr>
                <w:rFonts w:ascii="Arial" w:cs="Arial" w:eastAsia="Arial" w:hAnsi="Arial"/>
                <w:sz w:val="18"/>
                <w:szCs w:val="18"/>
                <w:color w:val="0000FF"/>
              </w:rPr>
              <w:t>5,000</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560" w:type="dxa"/>
            <w:vAlign w:val="bottom"/>
          </w:tcPr>
          <w:p>
            <w:pPr>
              <w:jc w:val="center"/>
              <w:ind w:right="152"/>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60</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8,065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8,208.56</w:t>
            </w:r>
            <w:r>
              <w:rPr>
                <w:rFonts w:ascii="Arial" w:cs="Arial" w:eastAsia="Arial" w:hAnsi="Arial"/>
                <w:sz w:val="22"/>
                <w:szCs w:val="22"/>
                <w:color w:val="008000"/>
                <w:w w:val="84"/>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32,828.753</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22,476.887</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14.1125</w:t>
            </w:r>
          </w:p>
        </w:tc>
        <w:tc>
          <w:tcPr>
            <w:tcW w:w="1140" w:type="dxa"/>
            <w:vAlign w:val="bottom"/>
          </w:tcPr>
          <w:p>
            <w:pPr>
              <w:ind w:left="260"/>
              <w:spacing w:after="0"/>
              <w:rPr>
                <w:sz w:val="20"/>
                <w:szCs w:val="20"/>
                <w:color w:val="auto"/>
              </w:rPr>
            </w:pPr>
            <w:r>
              <w:rPr>
                <w:rFonts w:ascii="Arial" w:cs="Arial" w:eastAsia="Arial" w:hAnsi="Arial"/>
                <w:sz w:val="14"/>
                <w:szCs w:val="14"/>
                <w:color w:val="0000FF"/>
              </w:rPr>
              <w:t>06/28/2018</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0000FF"/>
                <w:w w:val="85"/>
              </w:rPr>
              <w:t>5,000</w:t>
            </w:r>
          </w:p>
        </w:tc>
        <w:tc>
          <w:tcPr>
            <w:tcW w:w="840" w:type="dxa"/>
            <w:vAlign w:val="bottom"/>
          </w:tcPr>
          <w:p>
            <w:pPr>
              <w:ind w:left="400"/>
              <w:spacing w:after="0"/>
              <w:rPr>
                <w:sz w:val="20"/>
                <w:szCs w:val="20"/>
                <w:color w:val="auto"/>
              </w:rPr>
            </w:pPr>
            <w:r>
              <w:rPr>
                <w:rFonts w:ascii="Arial" w:cs="Arial" w:eastAsia="Arial" w:hAnsi="Arial"/>
                <w:sz w:val="11"/>
                <w:szCs w:val="11"/>
                <w:color w:val="008000"/>
              </w:rPr>
              <w:t>(4)</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12/07/2021</w:t>
            </w:r>
          </w:p>
        </w:tc>
        <w:tc>
          <w:tcPr>
            <w:tcW w:w="720" w:type="dxa"/>
            <w:vAlign w:val="bottom"/>
            <w:gridSpan w:val="2"/>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5,000</w:t>
            </w:r>
          </w:p>
        </w:tc>
        <w:tc>
          <w:tcPr>
            <w:tcW w:w="20" w:type="dxa"/>
            <w:vAlign w:val="bottom"/>
          </w:tcPr>
          <w:p>
            <w:pPr>
              <w:spacing w:after="0"/>
              <w:rPr>
                <w:sz w:val="17"/>
                <w:szCs w:val="17"/>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5,000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51.496 shares of common stock acquired by the reporting person since the date of his last report under a dividend reinvestment feature of the account in which the shares are held.</w:t>
      </w:r>
    </w:p>
    <w:p>
      <w:pPr>
        <w:spacing w:after="0" w:line="64" w:lineRule="exact"/>
        <w:rPr>
          <w:rFonts w:ascii="Arial" w:cs="Arial" w:eastAsia="Arial" w:hAnsi="Arial"/>
          <w:sz w:val="12"/>
          <w:szCs w:val="12"/>
          <w:color w:val="008000"/>
        </w:rPr>
      </w:pPr>
    </w:p>
    <w:p>
      <w:pPr>
        <w:ind w:left="40" w:right="3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204.172 net shares acquired under the dividend reinvestment feature of The Toro Company Investment, Savings &amp; ESOP (the "IS&amp;ESOP") less quarterly non-discretionary administrative fees; and 65.983 shares acquired through issuer annual investment fund contributions to the IS&amp;ESOP.</w:t>
      </w: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140.637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7, 2011.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06/29/2018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2019-12-23T21:11:58Z</dcterms:created>
  <dcterms:modified xsi:type="dcterms:W3CDTF">2019-12-23T21:11:58Z</dcterms:modified>
</cp:coreProperties>
</file>