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PETERSON RENEE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VP, Treasurer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09/25/2015</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ind w:left="140"/>
              <w:spacing w:after="0"/>
              <w:rPr>
                <w:sz w:val="20"/>
                <w:szCs w:val="20"/>
                <w:color w:val="auto"/>
              </w:rPr>
            </w:pPr>
            <w:r>
              <w:rPr>
                <w:rFonts w:ascii="Arial" w:cs="Arial" w:eastAsia="Arial" w:hAnsi="Arial"/>
                <w:sz w:val="14"/>
                <w:szCs w:val="14"/>
                <w:color w:val="0000FF"/>
              </w:rPr>
              <w:t>G</w:t>
            </w:r>
          </w:p>
        </w:tc>
        <w:tc>
          <w:tcPr>
            <w:tcW w:w="380" w:type="dxa"/>
            <w:vAlign w:val="bottom"/>
          </w:tcPr>
          <w:p>
            <w:pPr>
              <w:ind w:left="100"/>
              <w:spacing w:after="0"/>
              <w:rPr>
                <w:sz w:val="20"/>
                <w:szCs w:val="20"/>
                <w:color w:val="auto"/>
              </w:rPr>
            </w:pPr>
            <w:r>
              <w:rPr>
                <w:rFonts w:ascii="Arial" w:cs="Arial" w:eastAsia="Arial" w:hAnsi="Arial"/>
                <w:sz w:val="14"/>
                <w:szCs w:val="14"/>
                <w:color w:val="0000FF"/>
              </w:rPr>
              <w:t>V</w:t>
            </w:r>
          </w:p>
        </w:tc>
        <w:tc>
          <w:tcPr>
            <w:tcW w:w="780" w:type="dxa"/>
            <w:vAlign w:val="bottom"/>
          </w:tcPr>
          <w:p>
            <w:pPr>
              <w:jc w:val="right"/>
              <w:ind w:right="232"/>
              <w:spacing w:after="0"/>
              <w:rPr>
                <w:sz w:val="20"/>
                <w:szCs w:val="20"/>
                <w:color w:val="auto"/>
              </w:rPr>
            </w:pPr>
            <w:r>
              <w:rPr>
                <w:rFonts w:ascii="Arial" w:cs="Arial" w:eastAsia="Arial" w:hAnsi="Arial"/>
                <w:sz w:val="18"/>
                <w:szCs w:val="18"/>
                <w:color w:val="0000FF"/>
              </w:rPr>
              <w:t>231</w:t>
            </w:r>
          </w:p>
        </w:tc>
        <w:tc>
          <w:tcPr>
            <w:tcW w:w="500" w:type="dxa"/>
            <w:vAlign w:val="bottom"/>
          </w:tcPr>
          <w:p>
            <w:pPr>
              <w:ind w:left="160"/>
              <w:spacing w:after="0"/>
              <w:rPr>
                <w:sz w:val="20"/>
                <w:szCs w:val="20"/>
                <w:color w:val="auto"/>
              </w:rPr>
            </w:pPr>
            <w:r>
              <w:rPr>
                <w:rFonts w:ascii="Arial" w:cs="Arial" w:eastAsia="Arial" w:hAnsi="Arial"/>
                <w:sz w:val="18"/>
                <w:szCs w:val="18"/>
                <w:color w:val="0000FF"/>
              </w:rPr>
              <w:t>D</w:t>
            </w:r>
          </w:p>
        </w:tc>
        <w:tc>
          <w:tcPr>
            <w:tcW w:w="640" w:type="dxa"/>
            <w:vAlign w:val="bottom"/>
          </w:tcPr>
          <w:p>
            <w:pPr>
              <w:jc w:val="center"/>
              <w:ind w:right="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28,396.672</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09/25/2015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232"/>
              <w:spacing w:after="0"/>
              <w:rPr>
                <w:sz w:val="20"/>
                <w:szCs w:val="20"/>
                <w:color w:val="auto"/>
              </w:rPr>
            </w:pPr>
            <w:r>
              <w:rPr>
                <w:rFonts w:ascii="Arial" w:cs="Arial" w:eastAsia="Arial" w:hAnsi="Arial"/>
                <w:sz w:val="18"/>
                <w:szCs w:val="18"/>
                <w:color w:val="0000FF"/>
              </w:rPr>
              <w:t>838</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71.765</w:t>
            </w:r>
            <w:r>
              <w:rPr>
                <w:rFonts w:ascii="Arial" w:cs="Arial" w:eastAsia="Arial" w:hAnsi="Arial"/>
                <w:sz w:val="22"/>
                <w:szCs w:val="22"/>
                <w:color w:val="008000"/>
                <w:w w:val="86"/>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27,558.672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200.803</w:t>
            </w:r>
            <w:r>
              <w:rPr>
                <w:rFonts w:ascii="Arial" w:cs="Arial" w:eastAsia="Arial" w:hAnsi="Arial"/>
                <w:sz w:val="22"/>
                <w:szCs w:val="22"/>
                <w:color w:val="008000"/>
                <w:w w:val="84"/>
                <w:vertAlign w:val="superscript"/>
              </w:rPr>
              <w:t>(2)</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14,583.62</w:t>
            </w:r>
            <w:r>
              <w:rPr>
                <w:rFonts w:ascii="Arial" w:cs="Arial" w:eastAsia="Arial" w:hAnsi="Arial"/>
                <w:sz w:val="22"/>
                <w:szCs w:val="22"/>
                <w:color w:val="008000"/>
                <w:w w:val="83"/>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$71.748 to $71.78,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1.412 net shares of common stock acquired by the reporting person since the date of her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105.908 performance share units acquired by the reporting person since the date of her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09/28/2015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2019-12-23T20:50:20Z</dcterms:created>
  <dcterms:modified xsi:type="dcterms:W3CDTF">2019-12-23T20:50:20Z</dcterms:modified>
</cp:coreProperties>
</file>