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322820" cy="88499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8849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912" w:orient="portrait"/>
          <w:cols w:equalWidth="0" w:num="2">
            <w:col w:w="2380" w:space="240"/>
            <w:col w:w="8900"/>
          </w:cols>
          <w:pgMar w:left="240" w:top="220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JAMES RANDY B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06/18/2003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Vice President &amp; Controller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ectPr>
          <w:pgSz w:w="11900" w:h="16912" w:orient="portrait"/>
          <w:cols w:equalWidth="0" w:num="3">
            <w:col w:w="3360" w:space="720"/>
            <w:col w:w="3257" w:space="720"/>
            <w:col w:w="3463"/>
          </w:cols>
          <w:pgMar w:left="240" w:top="220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06/18/2003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1,780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12.469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0"/>
              </w:rPr>
              <w:t>6,444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06/18/2003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8,020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12.469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14,464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06/18/2003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5,914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16.906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20,378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06/18/2003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1,086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16.906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21,464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06/18/2003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8,000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16.813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29,464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06/18/2003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76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-6,800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40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22,664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06/18/2003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76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-1,100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39.9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21,564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06/18/2003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76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-100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39.88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21,464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06/18/2003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76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-20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39.86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21,444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06/18/2003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76"/>
              </w:rPr>
              <w:t>S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-16,780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39.8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0"/>
              </w:rPr>
              <w:t>4,664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right="1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12.469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06/18/2003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1,780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11/18/1998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11/18/2008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1,780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12.469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5"/>
              </w:rPr>
              <w:t>8,020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12.469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06/18/2003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8,020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11/18/1998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11/18/2008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8,020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12.469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85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16.813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06/18/2003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8,000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12/05/2000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12/05/2010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16.813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85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16.906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06/18/2003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5,914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12/02/1999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12/02/2009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5,914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16.906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5"/>
              </w:rPr>
              <w:t>1,086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16.906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06/18/2003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1,086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12/02/1999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12/02/2009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1,086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16.906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85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00" w:firstLine="9"/>
        <w:spacing w:after="0" w:line="234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Mr. James also holds 11,035.144 shares of Toro Common Stock in The Toro Company Investment, Savings &amp; Employee Stock Ownership Plan. He holds 4,000 shares of Toro Common Stock in a Trust in his name and his spouse holds 11,644 shares in a trust in her name. He also holds in The Toro Company Deferred Compensation Plan for Officers, 5,850.702 Common Stock Units, 2925.256 Matching Units and 18,037.474 Performance Share Units. A unit is equal to one share of Toro Common Stock.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N. Jeanne Ryan,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06/19/2003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17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912" w:orient="portrait"/>
          <w:cols w:equalWidth="0" w:num="1">
            <w:col w:w="11520"/>
          </w:cols>
          <w:pgMar w:left="240" w:top="220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63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167148" TargetMode="External"/><Relationship Id="rId11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2019-12-16T03:57:49Z</dcterms:created>
  <dcterms:modified xsi:type="dcterms:W3CDTF">2019-12-16T03:57:49Z</dcterms:modified>
</cp:coreProperties>
</file>