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9"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60"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Date of Report (Date of earliest event reported) August 26, 2003</w:t>
      </w:r>
    </w:p>
    <w:p>
      <w:pPr>
        <w:spacing w:after="0" w:line="234" w:lineRule="exact"/>
        <w:rPr>
          <w:sz w:val="20"/>
          <w:szCs w:val="20"/>
          <w:color w:val="auto"/>
        </w:rPr>
      </w:pPr>
    </w:p>
    <w:p>
      <w:pPr>
        <w:jc w:val="center"/>
        <w:ind w:right="-1179"/>
        <w:spacing w:after="0"/>
        <w:rPr>
          <w:sz w:val="20"/>
          <w:szCs w:val="20"/>
          <w:color w:val="auto"/>
        </w:rPr>
      </w:pPr>
      <w:r>
        <w:rPr>
          <w:rFonts w:ascii="Arial" w:cs="Arial" w:eastAsia="Arial" w:hAnsi="Arial"/>
          <w:sz w:val="24"/>
          <w:szCs w:val="24"/>
          <w:b w:val="1"/>
          <w:bCs w:val="1"/>
          <w:color w:val="auto"/>
        </w:rPr>
        <w:t>THE TORO COMPANY</w:t>
      </w:r>
    </w:p>
    <w:p>
      <w:pPr>
        <w:spacing w:after="0" w:line="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60"/>
          </w:cols>
          <w:pgMar w:left="240" w:top="122" w:right="139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1-8649</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41-0580470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w:t>
      </w:r>
    </w:p>
    <w:p>
      <w:pPr>
        <w:spacing w:after="0" w:line="200" w:lineRule="exact"/>
        <w:rPr>
          <w:sz w:val="20"/>
          <w:szCs w:val="20"/>
          <w:color w:val="auto"/>
        </w:rPr>
      </w:pPr>
    </w:p>
    <w:p>
      <w:pPr>
        <w:sectPr>
          <w:pgSz w:w="11900" w:h="16838" w:orient="portrait"/>
          <w:cols w:equalWidth="0" w:num="3">
            <w:col w:w="4380" w:space="720"/>
            <w:col w:w="2240" w:space="720"/>
            <w:col w:w="2200"/>
          </w:cols>
          <w:pgMar w:left="240" w:top="122" w:right="1399" w:bottom="1440" w:gutter="0" w:footer="0" w:header="0"/>
          <w:type w:val="continuous"/>
        </w:sectPr>
      </w:pPr>
    </w:p>
    <w:p>
      <w:pPr>
        <w:spacing w:after="0" w:line="13"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(Address, including zip code, and telephone number, including area code, of</w:t>
      </w:r>
    </w:p>
    <w:p>
      <w:pPr>
        <w:spacing w:after="0" w:line="44"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22" w:right="1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LIST</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EX-99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List.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left="700" w:firstLine="219"/>
        <w:spacing w:after="0" w:line="255" w:lineRule="auto"/>
        <w:rPr>
          <w:sz w:val="20"/>
          <w:szCs w:val="20"/>
          <w:color w:val="auto"/>
        </w:rPr>
      </w:pPr>
      <w:r>
        <w:rPr>
          <w:rFonts w:ascii="Arial" w:cs="Arial" w:eastAsia="Arial" w:hAnsi="Arial"/>
          <w:sz w:val="18"/>
          <w:szCs w:val="18"/>
          <w:color w:val="auto"/>
        </w:rPr>
        <w:t>On August 26, 2003, The Toro Company announced its earnings for the three and nine months ended August 1, 2003. Attached to this Current Report on Form 8-K as Exhibit 99 is a copy of The Toro Company’s press release in connection with the announcement. The information is not deemed filed for purposes of the Securities Exchange Act of 1934 and is not deemed incorporated by reference by any general statements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74295</wp:posOffset>
            </wp:positionV>
            <wp:extent cx="1526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83185</wp:posOffset>
            </wp:positionV>
            <wp:extent cx="3636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940" w:space="720"/>
            <w:col w:w="3559"/>
          </w:cols>
          <w:pgMar w:left="240" w:top="419" w:right="1440" w:bottom="1440" w:gutter="0" w:footer="0" w:header="0"/>
          <w:type w:val="continuous"/>
        </w:sectPr>
      </w:pPr>
    </w:p>
    <w:p>
      <w:pPr>
        <w:spacing w:after="0" w:line="31" w:lineRule="exact"/>
        <w:rPr>
          <w:sz w:val="20"/>
          <w:szCs w:val="20"/>
          <w:color w:val="auto"/>
        </w:rPr>
      </w:pPr>
    </w:p>
    <w:p>
      <w:pPr>
        <w:ind w:left="2560"/>
        <w:spacing w:after="0"/>
        <w:tabs>
          <w:tab w:leader="none" w:pos="42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Other</w:t>
      </w:r>
    </w:p>
    <w:p>
      <w:pPr>
        <w:spacing w:after="0" w:line="225" w:lineRule="exact"/>
        <w:rPr>
          <w:sz w:val="20"/>
          <w:szCs w:val="20"/>
          <w:color w:val="auto"/>
        </w:rPr>
      </w:pPr>
    </w:p>
    <w:p>
      <w:pPr>
        <w:jc w:val="right"/>
        <w:ind w:right="2039"/>
        <w:spacing w:after="0"/>
        <w:rPr>
          <w:sz w:val="20"/>
          <w:szCs w:val="20"/>
          <w:color w:val="auto"/>
        </w:rPr>
      </w:pPr>
      <w:r>
        <w:rPr>
          <w:rFonts w:ascii="Arial" w:cs="Arial" w:eastAsia="Arial" w:hAnsi="Arial"/>
          <w:sz w:val="16"/>
          <w:szCs w:val="16"/>
          <w:color w:val="auto"/>
        </w:rPr>
        <w:t>Registrant’s press release dated August 26, 2003 (</w:t>
      </w:r>
      <w:r>
        <w:rPr>
          <w:rFonts w:ascii="Arial" w:cs="Arial" w:eastAsia="Arial" w:hAnsi="Arial"/>
          <w:sz w:val="16"/>
          <w:szCs w:val="16"/>
          <w:i w:val="1"/>
          <w:iCs w:val="1"/>
          <w:color w:val="auto"/>
        </w:rPr>
        <w:t>furnished herewith</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4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August 26, 2003</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80010</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(duly authorized officer and principal financial officer)</w:t>
      </w:r>
    </w:p>
    <w:p>
      <w:pPr>
        <w:sectPr>
          <w:pgSz w:w="11900" w:h="16838" w:orient="portrait"/>
          <w:cols w:equalWidth="0" w:num="1">
            <w:col w:w="11000"/>
          </w:cols>
          <w:pgMar w:left="240" w:top="419" w:right="6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TORO</w:t>
            </w:r>
          </w:p>
        </w:tc>
        <w:tc>
          <w:tcPr>
            <w:tcW w:w="172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28"/>
        </w:trPr>
        <w:tc>
          <w:tcPr>
            <w:tcW w:w="1160" w:type="dxa"/>
            <w:vAlign w:val="bottom"/>
          </w:tcPr>
          <w:p>
            <w:pPr>
              <w:spacing w:after="0"/>
              <w:rPr>
                <w:sz w:val="20"/>
                <w:szCs w:val="20"/>
                <w:color w:val="auto"/>
              </w:rPr>
            </w:pPr>
            <w:r>
              <w:rPr>
                <w:rFonts w:ascii="Arial" w:cs="Arial" w:eastAsia="Arial" w:hAnsi="Arial"/>
                <w:sz w:val="18"/>
                <w:szCs w:val="18"/>
                <w:b w:val="1"/>
                <w:bCs w:val="1"/>
                <w:color w:val="auto"/>
              </w:rPr>
              <w:t>LOGO</w:t>
            </w:r>
          </w:p>
        </w:tc>
        <w:tc>
          <w:tcPr>
            <w:tcW w:w="172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854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10260" w:type="dxa"/>
            <w:vAlign w:val="bottom"/>
            <w:tcBorders>
              <w:bottom w:val="single" w:sz="8" w:color="808080"/>
            </w:tcBorders>
            <w:gridSpan w:val="2"/>
          </w:tcPr>
          <w:p>
            <w:pPr>
              <w:spacing w:after="0"/>
              <w:rPr>
                <w:sz w:val="8"/>
                <w:szCs w:val="8"/>
                <w:color w:val="auto"/>
              </w:rPr>
            </w:pPr>
          </w:p>
        </w:tc>
      </w:tr>
      <w:tr>
        <w:trPr>
          <w:trHeight w:val="309"/>
        </w:trPr>
        <w:tc>
          <w:tcPr>
            <w:tcW w:w="11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8111 Lyndale Avenue South, Bloomington, Minnesota 55420-1196</w:t>
            </w:r>
          </w:p>
        </w:tc>
      </w:tr>
      <w:tr>
        <w:trPr>
          <w:trHeight w:val="222"/>
        </w:trPr>
        <w:tc>
          <w:tcPr>
            <w:tcW w:w="116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#952/888-8801</w:t>
            </w:r>
          </w:p>
        </w:tc>
        <w:tc>
          <w:tcPr>
            <w:tcW w:w="8540" w:type="dxa"/>
            <w:vAlign w:val="bottom"/>
          </w:tcPr>
          <w:p>
            <w:pPr>
              <w:ind w:left="280"/>
              <w:spacing w:after="0"/>
              <w:rPr>
                <w:sz w:val="20"/>
                <w:szCs w:val="20"/>
                <w:color w:val="auto"/>
              </w:rPr>
            </w:pPr>
            <w:r>
              <w:rPr>
                <w:rFonts w:ascii="Arial" w:cs="Arial" w:eastAsia="Arial" w:hAnsi="Arial"/>
                <w:sz w:val="18"/>
                <w:szCs w:val="18"/>
                <w:color w:val="auto"/>
              </w:rPr>
              <w:t>#FAX 952/887-8258</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b w:val="1"/>
                <w:bCs w:val="1"/>
                <w:color w:val="auto"/>
              </w:rPr>
              <w:t>Investor Relations</w:t>
            </w:r>
          </w:p>
        </w:tc>
        <w:tc>
          <w:tcPr>
            <w:tcW w:w="3200" w:type="dxa"/>
            <w:vAlign w:val="bottom"/>
          </w:tcPr>
          <w:p>
            <w:pPr>
              <w:spacing w:after="0"/>
              <w:rPr>
                <w:sz w:val="14"/>
                <w:szCs w:val="14"/>
                <w:color w:val="auto"/>
              </w:rPr>
            </w:pPr>
          </w:p>
        </w:tc>
        <w:tc>
          <w:tcPr>
            <w:tcW w:w="3220" w:type="dxa"/>
            <w:vAlign w:val="bottom"/>
          </w:tcPr>
          <w:p>
            <w:pPr>
              <w:ind w:left="280"/>
              <w:spacing w:after="0"/>
              <w:rPr>
                <w:sz w:val="20"/>
                <w:szCs w:val="20"/>
                <w:color w:val="auto"/>
              </w:rPr>
            </w:pPr>
            <w:r>
              <w:rPr>
                <w:rFonts w:ascii="Arial" w:cs="Arial" w:eastAsia="Arial" w:hAnsi="Arial"/>
                <w:sz w:val="14"/>
                <w:szCs w:val="14"/>
                <w:b w:val="1"/>
                <w:bCs w:val="1"/>
                <w:color w:val="auto"/>
              </w:rPr>
              <w:t>Media Relations</w:t>
            </w:r>
          </w:p>
        </w:tc>
        <w:tc>
          <w:tcPr>
            <w:tcW w:w="2000" w:type="dxa"/>
            <w:vAlign w:val="bottom"/>
          </w:tcPr>
          <w:p>
            <w:pPr>
              <w:ind w:left="120"/>
              <w:spacing w:after="0"/>
              <w:rPr>
                <w:sz w:val="20"/>
                <w:szCs w:val="20"/>
                <w:color w:val="auto"/>
              </w:rPr>
            </w:pPr>
            <w:r>
              <w:rPr>
                <w:rFonts w:ascii="Arial" w:cs="Arial" w:eastAsia="Arial" w:hAnsi="Arial"/>
                <w:sz w:val="14"/>
                <w:szCs w:val="14"/>
                <w:b w:val="1"/>
                <w:bCs w:val="1"/>
                <w:color w:val="auto"/>
              </w:rPr>
              <w:t>Web Site</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w w:val="96"/>
              </w:rPr>
              <w:t>Stephen P. Wolfe Vice President,</w:t>
            </w:r>
          </w:p>
        </w:tc>
        <w:tc>
          <w:tcPr>
            <w:tcW w:w="3200" w:type="dxa"/>
            <w:vAlign w:val="bottom"/>
          </w:tcPr>
          <w:p>
            <w:pPr>
              <w:ind w:left="280"/>
              <w:spacing w:after="0"/>
              <w:rPr>
                <w:sz w:val="20"/>
                <w:szCs w:val="20"/>
                <w:color w:val="auto"/>
              </w:rPr>
            </w:pPr>
            <w:r>
              <w:rPr>
                <w:rFonts w:ascii="Arial" w:cs="Arial" w:eastAsia="Arial" w:hAnsi="Arial"/>
                <w:sz w:val="18"/>
                <w:szCs w:val="18"/>
                <w:color w:val="auto"/>
                <w:w w:val="97"/>
              </w:rPr>
              <w:t>Stephen D. Keating Director, Investor</w:t>
            </w:r>
          </w:p>
        </w:tc>
        <w:tc>
          <w:tcPr>
            <w:tcW w:w="3220" w:type="dxa"/>
            <w:vAlign w:val="bottom"/>
          </w:tcPr>
          <w:p>
            <w:pPr>
              <w:ind w:left="280"/>
              <w:spacing w:after="0"/>
              <w:rPr>
                <w:sz w:val="20"/>
                <w:szCs w:val="20"/>
                <w:color w:val="auto"/>
              </w:rPr>
            </w:pPr>
            <w:r>
              <w:rPr>
                <w:rFonts w:ascii="Arial" w:cs="Arial" w:eastAsia="Arial" w:hAnsi="Arial"/>
                <w:sz w:val="18"/>
                <w:szCs w:val="18"/>
                <w:color w:val="auto"/>
              </w:rPr>
              <w:t>Connie Hawkinson Toro Media</w:t>
            </w:r>
          </w:p>
        </w:tc>
        <w:tc>
          <w:tcPr>
            <w:tcW w:w="2000" w:type="dxa"/>
            <w:vAlign w:val="bottom"/>
          </w:tcPr>
          <w:p>
            <w:pPr>
              <w:ind w:left="120"/>
              <w:spacing w:after="0"/>
              <w:rPr>
                <w:sz w:val="20"/>
                <w:szCs w:val="20"/>
                <w:color w:val="auto"/>
              </w:rPr>
            </w:pPr>
            <w:r>
              <w:rPr>
                <w:rFonts w:ascii="Arial" w:cs="Arial" w:eastAsia="Arial" w:hAnsi="Arial"/>
                <w:sz w:val="18"/>
                <w:szCs w:val="18"/>
                <w:color w:val="auto"/>
                <w:w w:val="87"/>
              </w:rPr>
              <w:t>www.thetorocompany.com</w:t>
            </w: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CFO (952) 887-8076</w:t>
            </w:r>
          </w:p>
        </w:tc>
        <w:tc>
          <w:tcPr>
            <w:tcW w:w="3200" w:type="dxa"/>
            <w:vAlign w:val="bottom"/>
          </w:tcPr>
          <w:p>
            <w:pPr>
              <w:ind w:left="280"/>
              <w:spacing w:after="0"/>
              <w:rPr>
                <w:sz w:val="20"/>
                <w:szCs w:val="20"/>
                <w:color w:val="auto"/>
              </w:rPr>
            </w:pPr>
            <w:r>
              <w:rPr>
                <w:rFonts w:ascii="Arial" w:cs="Arial" w:eastAsia="Arial" w:hAnsi="Arial"/>
                <w:sz w:val="18"/>
                <w:szCs w:val="18"/>
                <w:color w:val="auto"/>
              </w:rPr>
              <w:t>Relations (952) 887-8526</w:t>
            </w:r>
          </w:p>
        </w:tc>
        <w:tc>
          <w:tcPr>
            <w:tcW w:w="3220" w:type="dxa"/>
            <w:vAlign w:val="bottom"/>
          </w:tcPr>
          <w:p>
            <w:pPr>
              <w:ind w:left="280"/>
              <w:spacing w:after="0"/>
              <w:rPr>
                <w:sz w:val="20"/>
                <w:szCs w:val="20"/>
                <w:color w:val="auto"/>
              </w:rPr>
            </w:pPr>
            <w:r>
              <w:rPr>
                <w:rFonts w:ascii="Arial" w:cs="Arial" w:eastAsia="Arial" w:hAnsi="Arial"/>
                <w:sz w:val="18"/>
                <w:szCs w:val="18"/>
                <w:color w:val="auto"/>
                <w:w w:val="91"/>
              </w:rPr>
              <w:t>Relations (952) 887-8984, pr@toro.com</w:t>
            </w:r>
          </w:p>
        </w:tc>
        <w:tc>
          <w:tcPr>
            <w:tcW w:w="2000" w:type="dxa"/>
            <w:vAlign w:val="bottom"/>
          </w:tcPr>
          <w:p>
            <w:pPr>
              <w:spacing w:after="0"/>
              <w:rPr>
                <w:sz w:val="19"/>
                <w:szCs w:val="19"/>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TORO THIRD QUARTER NET EARNINGS PER SHARE UP 23% TO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Raises Fiscal 2003 Guidance;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Profit Improvement Initiatives Continue to Benefit Performance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 CONFERENCE CALL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26, 10 a.m. CDT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www.thetorocompany.com/invest</w:t>
      </w:r>
    </w:p>
    <w:p>
      <w:pPr>
        <w:spacing w:after="0" w:line="21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BLOOMINGTON, Minn. (August 26, 2003) — The Toro Company (NYSE: TTC) today reported net earnings of $27.0 million, or $1.03 per diluted share, on net sales of $394.5 million for its fiscal 2003 third quarter ended August 1, 2003. Results for the quarter included an after-tax restructuring charge of $1.0 million, or $0.04 per diluted share, related to the closing of the company’s two-cycle engine plant in Oxford, Miss. Adjusted to exclude this charge, net earnings for the fiscal 2003 third quarter would have been $28.1 million, or $1.07 per diluted share. In the fiscal 2002 third quarter the company reported net earnings of $21.9 million, or $0.84 per diluted share, on net sales of $375.6 million.</w:t>
      </w:r>
    </w:p>
    <w:p>
      <w:pPr>
        <w:spacing w:after="0" w:line="197" w:lineRule="exact"/>
        <w:rPr>
          <w:sz w:val="20"/>
          <w:szCs w:val="20"/>
          <w:color w:val="auto"/>
        </w:rPr>
      </w:pPr>
    </w:p>
    <w:p>
      <w:pPr>
        <w:ind w:right="120" w:firstLine="220"/>
        <w:spacing w:after="0" w:line="294" w:lineRule="auto"/>
        <w:rPr>
          <w:sz w:val="20"/>
          <w:szCs w:val="20"/>
          <w:color w:val="auto"/>
        </w:rPr>
      </w:pPr>
      <w:r>
        <w:rPr>
          <w:rFonts w:ascii="Arial" w:cs="Arial" w:eastAsia="Arial" w:hAnsi="Arial"/>
          <w:sz w:val="16"/>
          <w:szCs w:val="16"/>
          <w:color w:val="auto"/>
        </w:rPr>
        <w:t>Kendrick B. Melrose, The Toro Company Chairman and Chief Executive Officer, said the company’s financial performance continues to benefit from the profit improvement initiatives implemented under the company’s “5 by Five” program. “We began our ‘5 by Five’ campaign in fiscal 2000 with the goal of significantly improving our after tax profitability by fiscal 2003,” said Melrose. “Our strong third quarter results, building on a solid first half performance, are keeping us on track to meet that goal. In addition, successful new products launched during the season drove revenue growth in both professional and residential segments, despite a lagging economy and above-average rainfall in many of our Eastern markets.”</w:t>
      </w:r>
    </w:p>
    <w:p>
      <w:pPr>
        <w:spacing w:after="0" w:line="170"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For the nine months ended August 1, 2003, Toro reported net earnings of $76.0 million, or $2.92 per diluted share, on net sales of $1,186.3 million. This compared to a reported net income of $30.3 million or $1.17 per diluted share, on net sales of $1,123.9 million for the same nine-month period in fiscal 2002. The company’s results for fiscal 2003’s first nine months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2—Toro Reports Third Quarter Results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include an after-tax restructuring charge of $0.03 per diluted share and a gain of $0.08 per diluted share resulting from a legal settlement. Adjusted to exclude these items, the company’s net earnings for the first nine months of fiscal 2003 would have been $74.8 million, or $2.87 per diluted share. Adjustments to fiscal 2002’s nine-month results include: a non-cash charge of $24.6 million, or $0.95 per diluted share, reflecting the cumulative effect of a change in accounting principle related to the adoption of SFAS no. 142; restructuring and other expenses related to plant closings and asset impairment totaling $6.7 million, or $0.26 per diluted share, and a one-time federal tax refund of $1.8 million or $0.07 per diluted share from prior fiscal years, related to the company’s foreign sales corporation. Excluding these items, the company’s net earnings for the first nine months of fiscal 2002 would have totaled $2.31 per diluted share. Compared with the first nine months of fiscal 2002, the adjusted diluted earnings per share for the same period of fiscal 2003 increased 24.2%.</w:t>
      </w:r>
    </w:p>
    <w:p>
      <w:pPr>
        <w:spacing w:after="0" w:line="172" w:lineRule="exact"/>
        <w:rPr>
          <w:sz w:val="20"/>
          <w:szCs w:val="20"/>
          <w:color w:val="auto"/>
        </w:rPr>
      </w:pPr>
    </w:p>
    <w:p>
      <w:pPr>
        <w:ind w:right="240" w:firstLine="220"/>
        <w:spacing w:after="0" w:line="259" w:lineRule="auto"/>
        <w:rPr>
          <w:sz w:val="20"/>
          <w:szCs w:val="20"/>
          <w:color w:val="auto"/>
        </w:rPr>
      </w:pPr>
      <w:r>
        <w:rPr>
          <w:rFonts w:ascii="Arial" w:cs="Arial" w:eastAsia="Arial" w:hAnsi="Arial"/>
          <w:sz w:val="18"/>
          <w:szCs w:val="18"/>
          <w:color w:val="auto"/>
        </w:rPr>
        <w:t>Earnings per share for all periods reported have been adjusted to reflect the effects of a two-for-one split of the company’s Common Stock effective April 1, 2003. The table below reconciles the company’s third quarter and year-to-date results under Generally Accepted Accounting Principles with the results that exclude the aforementioned unusual items.</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3rd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83185</wp:posOffset>
            </wp:positionV>
            <wp:extent cx="3738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Qtr. Ended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60325</wp:posOffset>
            </wp:positionV>
            <wp:extent cx="471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Qtr. Ended*</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4972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68580</wp:posOffset>
            </wp:positionV>
            <wp:extent cx="308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4">
            <w:col w:w="6500" w:space="720"/>
            <w:col w:w="640" w:space="680"/>
            <w:col w:w="800" w:space="720"/>
            <w:col w:w="1360"/>
          </w:cols>
          <w:pgMar w:left="240" w:top="941" w:right="239" w:bottom="1440" w:gutter="0" w:footer="0" w:header="0"/>
          <w:type w:val="continuous"/>
        </w:sectPr>
      </w:pPr>
    </w:p>
    <w:p>
      <w:pPr>
        <w:spacing w:after="0" w:line="1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Reported diluted earnings per share</w:t>
            </w: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126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Restructuring charge and other expense</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0.84</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YTD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2"/>
              </w:rPr>
              <w:t>YTD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ind w:left="242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8/1/03</w:t>
            </w:r>
          </w:p>
        </w:tc>
        <w:tc>
          <w:tcPr>
            <w:tcW w:w="80" w:type="dxa"/>
            <w:vAlign w:val="bottom"/>
          </w:tcPr>
          <w:p>
            <w:pPr>
              <w:spacing w:after="0"/>
              <w:rPr>
                <w:sz w:val="15"/>
                <w:szCs w:val="15"/>
                <w:color w:val="auto"/>
              </w:rPr>
            </w:pPr>
          </w:p>
        </w:tc>
        <w:tc>
          <w:tcPr>
            <w:tcW w:w="11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8/2/02*</w:t>
            </w:r>
          </w:p>
        </w:tc>
        <w:tc>
          <w:tcPr>
            <w:tcW w:w="20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Reported diluted earnings per share</w:t>
            </w: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 (subtract)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Restructuring and other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One-time tax refund</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(0.07)</w:t>
            </w: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Legal settlement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Adjusted diluted earnings per share</w:t>
            </w: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*Figures have been adjusted for the 2 for 1 split of the company’s common stock effective April 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3—Toro Reports Third Quarter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Segment data is provided in the table following the “Condensed Consolidated Statements of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1"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Compared with the fiscal 2002 third quarter, fiscal 2003 third quarter professional segment sales increased 3.7% to $244.1 million. Professional segment sales benefited from initial stocking orders and strong acceptance of new Exmark and Toro brand landscape contractor equipment. Other key contributors to third quarter professional segment sales growth were new golf greens mowing equipment, service parts, Toro branded residential/commercial irrigation products and favorable effects of currency. Segment earnings before restructuring charges and other expense totaled $42.2 million for the quarter, up 21.2% from $34.8 million in the fiscal 2002 third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1" w:lineRule="exact"/>
        <w:rPr>
          <w:sz w:val="20"/>
          <w:szCs w:val="20"/>
          <w:color w:val="auto"/>
        </w:rPr>
      </w:pPr>
    </w:p>
    <w:p>
      <w:pPr>
        <w:jc w:val="both"/>
        <w:ind w:right="40" w:firstLine="220"/>
        <w:spacing w:after="0" w:line="291" w:lineRule="auto"/>
        <w:rPr>
          <w:sz w:val="20"/>
          <w:szCs w:val="20"/>
          <w:color w:val="auto"/>
        </w:rPr>
      </w:pPr>
      <w:r>
        <w:rPr>
          <w:rFonts w:ascii="Arial" w:cs="Arial" w:eastAsia="Arial" w:hAnsi="Arial"/>
          <w:sz w:val="16"/>
          <w:szCs w:val="16"/>
          <w:color w:val="auto"/>
        </w:rPr>
        <w:t>Residential segment sales for the fiscal 2003 third quarter totaled $129.0 million, up 7.6% from the fiscal 2002 third quarter. The increase resulted primarily from growth in walk power mower shipments, particularly to the mass-market channel. Third quarter sales also benefited from shipments of new riding mowers and new two-stage snow products as well as favorable effects of currency. Offsetting these increases in sales were declines in home solutions and retail irrigation shipments. Segment earnings for fiscal 2003 third quarter were $13.2 million compared to $12.2 million in the comparable fiscal 2002 period. Segment earnings before restructuring and other expense for the fiscal 2003 third quarter totaled $14.9 million, up 22.3% from $12.2 million in the comparable fiscal 2002 period. “The strong growth in the residential segment profit reflects our continuing efforts to improve the profitability of this business,” said Melrose.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w:t>
      </w:r>
    </w:p>
    <w:p>
      <w:pPr>
        <w:spacing w:after="0" w:line="23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Distribution segment sales for the fiscal 2003 third quarter totaled $43.0 million, compared with $50.5 million in the 2002 third quarter. The decline resulted primarily from the company’s sale of a distributor effective December 31, 2002.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4—Toro Reports Third Quarter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31"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Gross margin for the fiscal 2003 third quarter was 37.2%, up from 34.3% in the third quarter of fiscal 2002. The margin improvement reflects further benefits from the company’s “5 by Five” initiatives and resulted primarily from ongoing cost reduction efforts, the relocation of certain production to lower cost facilities, favorable currency exchange rates and a favorable mix of products sold during the quarter. Gross margin also benefited from positive manufacturing variances resulting from the closure of facilities in Riverside, Calif. and Evansville, Ind.</w:t>
      </w:r>
    </w:p>
    <w:p>
      <w:pPr>
        <w:spacing w:after="0" w:line="197"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Selling, general and administrative expenses for the fiscal 2003 third quarter were 25.6% of net sales compared with 24.6% of net sales in the fiscal 2002 third quarter. The increase resulted primarily from more investment in marketing, information technology, and engineering. “We will continue to redirect our spending to these areas that strengthen and grow our company long term, as we drive down other elements of our selling, general and administrative expenses,” said Melrose.</w:t>
      </w:r>
    </w:p>
    <w:p>
      <w:pPr>
        <w:spacing w:after="0" w:line="197"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Interest expense for the quarter was down 10.8% compared with the fiscal 2002 third quarter. The decrease resulted from continued lower average borrowing levels.</w:t>
      </w:r>
    </w:p>
    <w:p>
      <w:pPr>
        <w:spacing w:after="0" w:line="186"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Net inventories at the end of the fiscal 2003 third quarter totaled $236.0 million, up 12.8% from an abnormally low level of $209.3 million at the end of the fiscal 2002 third quarter. This increase was due to lower than expected sales in the residential segment as well as the impact of foreign currency exchange rates on international inventories.</w:t>
      </w:r>
    </w:p>
    <w:p>
      <w:pPr>
        <w:spacing w:after="0" w:line="194" w:lineRule="exact"/>
        <w:rPr>
          <w:sz w:val="20"/>
          <w:szCs w:val="20"/>
          <w:color w:val="auto"/>
        </w:rPr>
      </w:pPr>
    </w:p>
    <w:p>
      <w:pPr>
        <w:jc w:val="both"/>
        <w:ind w:right="80" w:firstLine="220"/>
        <w:spacing w:after="0" w:line="259" w:lineRule="auto"/>
        <w:rPr>
          <w:sz w:val="20"/>
          <w:szCs w:val="20"/>
          <w:color w:val="auto"/>
        </w:rPr>
      </w:pPr>
      <w:r>
        <w:rPr>
          <w:rFonts w:ascii="Arial" w:cs="Arial" w:eastAsia="Arial" w:hAnsi="Arial"/>
          <w:sz w:val="18"/>
          <w:szCs w:val="18"/>
          <w:color w:val="auto"/>
        </w:rPr>
        <w:t>Net receivables at the end of the fiscal 2003 third quarter totaled $373.2 million compared with $341.9 million at the end of the fiscal 2002 third quarter. The increase was a result of higher overall sales and a shift in sales to later in the fiscal 2003 third quarter as well as the impact of foreign currency exchange rates on international receivables.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31" w:lineRule="exact"/>
        <w:rPr>
          <w:sz w:val="20"/>
          <w:szCs w:val="20"/>
          <w:color w:val="auto"/>
        </w:rPr>
      </w:pPr>
    </w:p>
    <w:p>
      <w:pPr>
        <w:ind w:right="180" w:firstLine="220"/>
        <w:spacing w:after="0" w:line="370" w:lineRule="auto"/>
        <w:rPr>
          <w:sz w:val="20"/>
          <w:szCs w:val="20"/>
          <w:color w:val="auto"/>
        </w:rPr>
      </w:pPr>
      <w:r>
        <w:rPr>
          <w:rFonts w:ascii="Arial" w:cs="Arial" w:eastAsia="Arial" w:hAnsi="Arial"/>
          <w:sz w:val="15"/>
          <w:szCs w:val="15"/>
          <w:color w:val="auto"/>
        </w:rPr>
        <w:t>Based on its strong performance through the first nine months of fiscal 2003, Toro said it now expects to report net earnings per diluted share in the range of $3.08 to $3.10 for the full fiscal year. This includes the previously mentioned legal settlement as well as the year-to-date net restructuring and other expenses.</w:t>
      </w:r>
    </w:p>
    <w:p>
      <w:pPr>
        <w:spacing w:after="0" w:line="116"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color w:val="auto"/>
        </w:rPr>
        <w:t>“We began fiscal 2003 strong and we expect to end the year strong,” said Melrose. “Improvements in distribution efficiency, supply chain management and capacity utilization are evident in our results to date. We expect these productivity and efficiency gains to continue into fiscal 2004, augmented by further efforts to streamline our business processes.”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5—Toro Reports Third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48" w:lineRule="exact"/>
        <w:rPr>
          <w:sz w:val="20"/>
          <w:szCs w:val="20"/>
          <w:color w:val="auto"/>
        </w:rPr>
      </w:pPr>
    </w:p>
    <w:p>
      <w:pPr>
        <w:jc w:val="both"/>
        <w:ind w:right="220" w:firstLine="220"/>
        <w:spacing w:after="0" w:line="306" w:lineRule="auto"/>
        <w:rPr>
          <w:sz w:val="20"/>
          <w:szCs w:val="20"/>
          <w:color w:val="auto"/>
        </w:rPr>
      </w:pPr>
      <w:r>
        <w:rPr>
          <w:rFonts w:ascii="Arial" w:cs="Arial" w:eastAsia="Arial" w:hAnsi="Arial"/>
          <w:sz w:val="16"/>
          <w:szCs w:val="16"/>
          <w:i w:val="1"/>
          <w:iCs w:val="1"/>
          <w:color w:val="auto"/>
        </w:rPr>
        <w:t>The Toro Company will conduct a conference call and webcast for investors beginning at 10:00 a.m. Central Daylight Time (CDT) on August 26, 2003. The webcast will be available at www.streetevents.com or at www.thetorocompany.com/invest. Webcast participants will need to complete a brief registration form and should allot extra time before the webcast begins to register and, if necessary, download and install audio software.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31" w:lineRule="exact"/>
        <w:rPr>
          <w:sz w:val="20"/>
          <w:szCs w:val="20"/>
          <w:color w:val="auto"/>
        </w:rPr>
      </w:pPr>
    </w:p>
    <w:p>
      <w:pPr>
        <w:ind w:firstLine="220"/>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continued slowing of growth in global and domestic economies, resulting in rising unemployment and weakened consumer confidence; our ability to achieve the goals of the “5 by Five” profit improvement program, which is intended to improve our after-tax return on sales; the company’s ability to achieve sales growth and low double-digit diluted earnings per share growth in fiscal 2003; unforeseen product quality problems in the development and production of new and existing products; potential issues with opening new production facilities and moving production between facilities; continued slow growth in the rate of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prices; financial viability of distributors and dealers;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 w:name="page12"/>
    <w:bookmarkEnd w:id="11"/>
    <w:p>
      <w:pPr>
        <w:jc w:val="center"/>
        <w:ind w:right="-279"/>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August 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August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August 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August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394,524</w:t>
            </w:r>
          </w:p>
        </w:tc>
        <w:tc>
          <w:tcPr>
            <w:tcW w:w="3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375,632</w:t>
            </w:r>
          </w:p>
        </w:tc>
        <w:tc>
          <w:tcPr>
            <w:tcW w:w="34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1,186,326</w:t>
            </w:r>
          </w:p>
        </w:tc>
        <w:tc>
          <w:tcPr>
            <w:tcW w:w="4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1,123,861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146,950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128,939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428,163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386,299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Gross profit percent</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37.2%</w:t>
            </w: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34.3%</w:t>
            </w: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36.1%</w:t>
            </w: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101,118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307,618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285,689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expense</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1,655</w:t>
            </w: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1,476</w:t>
            </w: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9,953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Earnings from operations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44,177</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36,527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119,069</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90,657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(4,152)</w:t>
            </w: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(4,656)</w:t>
            </w: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(12,564)</w:t>
            </w: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(15,224)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Earnings before income taxes and cumulative effect of</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 in accounting principle</w:t>
            </w:r>
          </w:p>
        </w:tc>
        <w:tc>
          <w:tcPr>
            <w:tcW w:w="1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40,364</w:t>
            </w:r>
          </w:p>
        </w:tc>
        <w:tc>
          <w:tcPr>
            <w:tcW w:w="32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32,719</w:t>
            </w:r>
          </w:p>
        </w:tc>
        <w:tc>
          <w:tcPr>
            <w:tcW w:w="34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113,426</w:t>
            </w:r>
          </w:p>
        </w:tc>
        <w:tc>
          <w:tcPr>
            <w:tcW w:w="4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79,349</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10,797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37,430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earnings before cumulative effect of change in</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accounting principle</w:t>
            </w:r>
          </w:p>
        </w:tc>
        <w:tc>
          <w:tcPr>
            <w:tcW w:w="1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27,044</w:t>
            </w:r>
          </w:p>
        </w:tc>
        <w:tc>
          <w:tcPr>
            <w:tcW w:w="32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21,922</w:t>
            </w:r>
          </w:p>
        </w:tc>
        <w:tc>
          <w:tcPr>
            <w:tcW w:w="34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75,996</w:t>
            </w:r>
          </w:p>
        </w:tc>
        <w:tc>
          <w:tcPr>
            <w:tcW w:w="4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54,939</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Cumulative effect of change in accounting principle, net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income tax benefit of $509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27,044</w:t>
            </w:r>
          </w:p>
        </w:tc>
        <w:tc>
          <w:tcPr>
            <w:tcW w:w="3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21,922</w:t>
            </w:r>
          </w:p>
        </w:tc>
        <w:tc>
          <w:tcPr>
            <w:tcW w:w="34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75,996</w:t>
            </w:r>
          </w:p>
        </w:tc>
        <w:tc>
          <w:tcPr>
            <w:tcW w:w="4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w w:val="89"/>
              </w:rPr>
              <w:t>Basic net earnings per share, before cumulative effect of change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4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in accounting principle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0.87</w:t>
            </w:r>
          </w:p>
        </w:tc>
        <w:tc>
          <w:tcPr>
            <w:tcW w:w="34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w w:val="99"/>
              </w:rPr>
              <w:t>Cumulative effect of change in accounting principle, net of</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 benefit</w:t>
            </w:r>
          </w:p>
        </w:tc>
        <w:tc>
          <w:tcPr>
            <w:tcW w:w="1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08"/>
        </w:trPr>
        <w:tc>
          <w:tcPr>
            <w:tcW w:w="46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0.87</w:t>
            </w:r>
          </w:p>
        </w:tc>
        <w:tc>
          <w:tcPr>
            <w:tcW w:w="3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w w:val="99"/>
              </w:rPr>
              <w:t>Diluted net earnings per share, before cumulative effect of</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 in accounting principle</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EEEEEE"/>
          </w:tcPr>
          <w:p>
            <w:pPr>
              <w:spacing w:after="0"/>
              <w:rPr>
                <w:sz w:val="19"/>
                <w:szCs w:val="19"/>
                <w:color w:val="auto"/>
              </w:rPr>
            </w:pP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340" w:type="dxa"/>
            <w:vAlign w:val="bottom"/>
            <w:shd w:val="clear" w:color="auto" w:fill="EEEEEE"/>
          </w:tcPr>
          <w:p>
            <w:pPr>
              <w:spacing w:after="0"/>
              <w:rPr>
                <w:sz w:val="19"/>
                <w:szCs w:val="19"/>
                <w:color w:val="auto"/>
              </w:rPr>
            </w:pP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42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Cumulative effect of change in accounting principle, net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34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4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4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25,070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25,218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25,136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shares of common stock</w:t>
            </w: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 Dilutive</w:t>
            </w:r>
          </w:p>
        </w:tc>
        <w:tc>
          <w:tcPr>
            <w:tcW w:w="1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26,305</w:t>
            </w:r>
          </w:p>
        </w:tc>
        <w:tc>
          <w:tcPr>
            <w:tcW w:w="32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26,097</w:t>
            </w:r>
          </w:p>
        </w:tc>
        <w:tc>
          <w:tcPr>
            <w:tcW w:w="34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26,062</w:t>
            </w:r>
          </w:p>
        </w:tc>
        <w:tc>
          <w:tcPr>
            <w:tcW w:w="4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25,920</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35" w:right="5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August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August 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August 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August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ind w:left="1180"/>
              <w:spacing w:after="0"/>
              <w:rPr>
                <w:sz w:val="20"/>
                <w:szCs w:val="20"/>
                <w:color w:val="auto"/>
              </w:rPr>
            </w:pPr>
            <w:r>
              <w:rPr>
                <w:rFonts w:ascii="Arial" w:cs="Arial" w:eastAsia="Arial" w:hAnsi="Arial"/>
                <w:sz w:val="14"/>
                <w:szCs w:val="14"/>
                <w:b w:val="1"/>
                <w:bCs w:val="1"/>
                <w:color w:val="auto"/>
              </w:rPr>
              <w:t>Segment Net Sales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244,111</w:t>
            </w:r>
          </w:p>
        </w:tc>
        <w:tc>
          <w:tcPr>
            <w:tcW w:w="2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235,301</w:t>
            </w:r>
          </w:p>
        </w:tc>
        <w:tc>
          <w:tcPr>
            <w:tcW w:w="28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751,671</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701,267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119,907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396,177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381,858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43,039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50,452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96,987</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118,825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(21,669)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(30,028)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(58,509)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(78,089)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 *</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394,524</w:t>
            </w:r>
          </w:p>
        </w:tc>
        <w:tc>
          <w:tcPr>
            <w:tcW w:w="2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375,632</w:t>
            </w:r>
          </w:p>
        </w:tc>
        <w:tc>
          <w:tcPr>
            <w:tcW w:w="28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1,186,326</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1,123,861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4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44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69,140</w:t>
            </w:r>
          </w:p>
        </w:tc>
        <w:tc>
          <w:tcPr>
            <w:tcW w:w="2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60,024</w:t>
            </w:r>
          </w:p>
        </w:tc>
        <w:tc>
          <w:tcPr>
            <w:tcW w:w="2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230,151</w:t>
            </w:r>
          </w:p>
        </w:tc>
        <w:tc>
          <w:tcPr>
            <w:tcW w:w="3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209,398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 (Loss) Before Income Taxes and Cumulative Effect of Change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Accounting Principle by Segment (Unaudited)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August 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August 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August 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August 2,</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820" w:type="dxa"/>
            <w:vAlign w:val="bottom"/>
            <w:gridSpan w:val="2"/>
          </w:tcPr>
          <w:p>
            <w:pPr>
              <w:ind w:left="1180"/>
              <w:spacing w:after="0"/>
              <w:rPr>
                <w:sz w:val="20"/>
                <w:szCs w:val="20"/>
                <w:color w:val="auto"/>
              </w:rPr>
            </w:pPr>
            <w:r>
              <w:rPr>
                <w:rFonts w:ascii="Arial" w:cs="Arial" w:eastAsia="Arial" w:hAnsi="Arial"/>
                <w:sz w:val="14"/>
                <w:szCs w:val="14"/>
                <w:b w:val="1"/>
                <w:bCs w:val="1"/>
                <w:color w:val="auto"/>
              </w:rPr>
              <w:t>Segment Earnings (Loss)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8"/>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80" w:type="dxa"/>
            <w:vAlign w:val="bottom"/>
            <w:vMerge w:val="continue"/>
          </w:tcPr>
          <w:p>
            <w:pPr>
              <w:spacing w:after="0"/>
              <w:rPr>
                <w:sz w:val="22"/>
                <w:szCs w:val="22"/>
                <w:color w:val="auto"/>
              </w:rPr>
            </w:pPr>
          </w:p>
        </w:tc>
        <w:tc>
          <w:tcPr>
            <w:tcW w:w="3820" w:type="dxa"/>
            <w:vAlign w:val="bottom"/>
            <w:gridSpan w:val="2"/>
            <w:shd w:val="clear" w:color="auto" w:fill="EEEEEE"/>
          </w:tcPr>
          <w:p>
            <w:pPr>
              <w:spacing w:after="0" w:line="256" w:lineRule="exact"/>
              <w:rPr>
                <w:sz w:val="20"/>
                <w:szCs w:val="20"/>
                <w:color w:val="auto"/>
              </w:rPr>
            </w:pPr>
            <w:r>
              <w:rPr>
                <w:rFonts w:ascii="Arial" w:cs="Arial" w:eastAsia="Arial" w:hAnsi="Arial"/>
                <w:sz w:val="18"/>
                <w:szCs w:val="18"/>
                <w:color w:val="auto"/>
              </w:rPr>
              <w:t>Professional</w:t>
            </w:r>
            <w:r>
              <w:rPr>
                <w:rFonts w:ascii="Arial" w:cs="Arial" w:eastAsia="Arial" w:hAnsi="Arial"/>
                <w:sz w:val="29"/>
                <w:szCs w:val="29"/>
                <w:color w:val="auto"/>
                <w:vertAlign w:val="superscript"/>
              </w:rPr>
              <w:t>1</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42,235</w:t>
            </w:r>
          </w:p>
        </w:tc>
        <w:tc>
          <w:tcPr>
            <w:tcW w:w="320" w:type="dxa"/>
            <w:vAlign w:val="bottom"/>
            <w:shd w:val="clear" w:color="auto" w:fill="EEEEEE"/>
          </w:tcPr>
          <w:p>
            <w:pPr>
              <w:spacing w:after="0"/>
              <w:rPr>
                <w:sz w:val="22"/>
                <w:szCs w:val="22"/>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34,822</w:t>
            </w:r>
          </w:p>
        </w:tc>
        <w:tc>
          <w:tcPr>
            <w:tcW w:w="320" w:type="dxa"/>
            <w:vAlign w:val="bottom"/>
            <w:shd w:val="clear" w:color="auto" w:fill="EEEEEE"/>
          </w:tcPr>
          <w:p>
            <w:pPr>
              <w:spacing w:after="0"/>
              <w:rPr>
                <w:sz w:val="22"/>
                <w:szCs w:val="22"/>
                <w:color w:val="auto"/>
              </w:rPr>
            </w:pP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133,415</w:t>
            </w:r>
          </w:p>
        </w:tc>
        <w:tc>
          <w:tcPr>
            <w:tcW w:w="300" w:type="dxa"/>
            <w:vAlign w:val="bottom"/>
            <w:shd w:val="clear" w:color="auto" w:fill="EEEEEE"/>
          </w:tcPr>
          <w:p>
            <w:pPr>
              <w:spacing w:after="0"/>
              <w:rPr>
                <w:sz w:val="22"/>
                <w:szCs w:val="22"/>
                <w:color w:val="auto"/>
              </w:rPr>
            </w:pP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97,119</w:t>
            </w:r>
          </w:p>
        </w:tc>
        <w:tc>
          <w:tcPr>
            <w:tcW w:w="3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3820" w:type="dxa"/>
            <w:vAlign w:val="bottom"/>
            <w:gridSpan w:val="2"/>
          </w:tcPr>
          <w:p>
            <w:pPr>
              <w:spacing w:after="0" w:line="256" w:lineRule="exact"/>
              <w:rPr>
                <w:sz w:val="20"/>
                <w:szCs w:val="20"/>
                <w:color w:val="auto"/>
              </w:rPr>
            </w:pPr>
            <w:r>
              <w:rPr>
                <w:rFonts w:ascii="Arial" w:cs="Arial" w:eastAsia="Arial" w:hAnsi="Arial"/>
                <w:sz w:val="18"/>
                <w:szCs w:val="18"/>
                <w:color w:val="auto"/>
              </w:rPr>
              <w:t>Residential</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13,205</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12,161</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46,215</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39,938</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Distribution</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2,327</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(17,403)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(16,575)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(65,781)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(59,669)</w:t>
            </w:r>
          </w:p>
        </w:tc>
        <w:tc>
          <w:tcPr>
            <w:tcW w:w="0" w:type="dxa"/>
            <w:vAlign w:val="bottom"/>
          </w:tcPr>
          <w:p>
            <w:pPr>
              <w:spacing w:after="0"/>
              <w:rPr>
                <w:sz w:val="1"/>
                <w:szCs w:val="1"/>
                <w:color w:val="auto"/>
              </w:rPr>
            </w:pPr>
          </w:p>
        </w:tc>
      </w:tr>
      <w:tr>
        <w:trPr>
          <w:trHeight w:val="112"/>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40,364</w:t>
            </w:r>
          </w:p>
        </w:tc>
        <w:tc>
          <w:tcPr>
            <w:tcW w:w="3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32,719</w:t>
            </w:r>
          </w:p>
        </w:tc>
        <w:tc>
          <w:tcPr>
            <w:tcW w:w="3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113,426</w:t>
            </w:r>
          </w:p>
        </w:tc>
        <w:tc>
          <w:tcPr>
            <w:tcW w:w="3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79,349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8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-535305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-535305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-535305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-535305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-535305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-535305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-535305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-535305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0" w:lineRule="exact"/>
        <w:rPr>
          <w:sz w:val="20"/>
          <w:szCs w:val="20"/>
          <w:color w:val="auto"/>
        </w:rPr>
      </w:pPr>
    </w:p>
    <w:p>
      <w:pPr>
        <w:ind w:left="460" w:right="180" w:firstLine="7"/>
        <w:spacing w:after="0" w:line="194" w:lineRule="auto"/>
        <w:tabs>
          <w:tab w:leader="none" w:pos="577"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Includes restructuring and other income of $14 thousand and $86 thousand for the three-month and nine-month periods in fiscal 2003, respectively. The nine-month period of fiscal 2002 includes $9,953 thousand of restructuring and other expense.</w:t>
      </w:r>
    </w:p>
    <w:p>
      <w:pPr>
        <w:spacing w:after="0" w:line="187" w:lineRule="exact"/>
        <w:rPr>
          <w:sz w:val="20"/>
          <w:szCs w:val="20"/>
          <w:color w:val="auto"/>
        </w:rPr>
      </w:pPr>
    </w:p>
    <w:p>
      <w:pPr>
        <w:ind w:left="580" w:hanging="113"/>
        <w:spacing w:after="0"/>
        <w:tabs>
          <w:tab w:leader="none" w:pos="580"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Includes restructuring and other expense of $1,669 thousand and $1,561 thousand for the three-month and nine-month periods in fiscal 2003,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w w:val="90"/>
              </w:rPr>
              <w:t>August 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15,725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373,173</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341,891</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236,035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209,320</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13,451</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10,832</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42,299</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36,477</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680,683</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598,526</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163,593</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154,515</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9,721</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Goodwill and other assets, net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94,232</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93,908</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942,704</w:t>
            </w: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856,670</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56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5660" w:type="dxa"/>
            <w:vAlign w:val="bottom"/>
            <w:vMerge w:val="continue"/>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4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15,824</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Short-term debt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8,011</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67,415</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67,099</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239,707</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216,523</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313,156</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307,457</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178,703</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178,768</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10,231</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7,429</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440,614</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363,016</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942,704</w:t>
            </w: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856,670</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144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August 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August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earnings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75,996</w:t>
            </w:r>
          </w:p>
        </w:tc>
        <w:tc>
          <w:tcPr>
            <w:tcW w:w="3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3"/>
              </w:rPr>
              <w:t>Adjustments to reconcile net earnings to net cash (used in) provided by operating</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2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Non-cash asset impairment write-off</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901</w:t>
            </w: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Provision for depreciation and amortization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22,093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20,609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Gain on disposal of property, plant, and equipment</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Increase in deferred income tax asset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Tax benefits related to employee stock option transactions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1,916</w:t>
            </w: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(116,838)</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(9,597)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(3,004)</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31,119</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(1,022)</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61,678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2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(32,110)</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Decrease in investment in affiliates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Increase in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business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Acquisition, net of cash acquired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(1,244)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7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(30,802)</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(33,658)</w:t>
            </w:r>
          </w:p>
        </w:tc>
        <w:tc>
          <w:tcPr>
            <w:tcW w:w="0" w:type="dxa"/>
            <w:vAlign w:val="bottom"/>
          </w:tcPr>
          <w:p>
            <w:pPr>
              <w:spacing w:after="0"/>
              <w:rPr>
                <w:sz w:val="1"/>
                <w:szCs w:val="1"/>
                <w:color w:val="auto"/>
              </w:rPr>
            </w:pPr>
          </w:p>
        </w:tc>
      </w:tr>
      <w:tr>
        <w:trPr>
          <w:trHeight w:val="108"/>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2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(decrease) in short-term debt</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4,628</w:t>
            </w: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(15,825)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in other long-term liabilities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1,887</w:t>
            </w:r>
          </w:p>
        </w:tc>
        <w:tc>
          <w:tcPr>
            <w:tcW w:w="3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11,827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common stock</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(9,629)</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Dividends on common stock</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(4,503)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(16,803)</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(41,877)</w:t>
            </w: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(47,091)</w:t>
            </w:r>
          </w:p>
        </w:tc>
        <w:tc>
          <w:tcPr>
            <w:tcW w:w="3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62,816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15,725</w:t>
            </w:r>
          </w:p>
        </w:tc>
        <w:tc>
          <w:tcPr>
            <w:tcW w:w="3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700"/>
      </w:cols>
      <w:pgMar w:left="1100" w:top="93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2019-12-13T13:50:45Z</dcterms:created>
  <dcterms:modified xsi:type="dcterms:W3CDTF">2019-12-13T13:50:45Z</dcterms:modified>
</cp:coreProperties>
</file>