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36830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HAMILTON BRADLEY 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Group VP, Comm, Intl &amp; Irrig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6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153035</wp:posOffset>
            </wp:positionV>
            <wp:extent cx="6967220" cy="21355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2135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09/10/2020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21.03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4,450.72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09/10/2020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1,850.72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1,005.507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6,587.285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21.03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09/10/2020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2,600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12/11/2022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7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-2052955</wp:posOffset>
            </wp:positionV>
            <wp:extent cx="7033260" cy="21932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9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vested in three equal annual installments commencing on the first anniversary of the date of grant, which was December 11, 2012.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Angela D. Snavely,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09/14/2020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87576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2020-09-14T15:35:01Z</dcterms:created>
  <dcterms:modified xsi:type="dcterms:W3CDTF">2020-09-14T15:35:01Z</dcterms:modified>
</cp:coreProperties>
</file>