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834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8345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MEYER KAREN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TORO CO</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09/17/2003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3"/>
        <w:spacing w:after="0"/>
        <w:rPr>
          <w:sz w:val="20"/>
          <w:szCs w:val="20"/>
          <w:color w:val="auto"/>
        </w:rPr>
      </w:pPr>
      <w:r>
        <w:rPr>
          <w:rFonts w:ascii="Arial" w:cs="Arial" w:eastAsia="Arial" w:hAnsi="Arial"/>
          <w:sz w:val="18"/>
          <w:szCs w:val="18"/>
          <w:color w:val="0000FF"/>
        </w:rPr>
        <w:t>Vice President Administration</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40" w:type="dxa"/>
            <w:vAlign w:val="bottom"/>
            <w:gridSpan w:val="7"/>
          </w:tcPr>
          <w:p>
            <w:pPr>
              <w:ind w:left="160"/>
              <w:spacing w:after="0" w:line="146" w:lineRule="exact"/>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10"/>
          </w:tcPr>
          <w:p>
            <w:pPr>
              <w:ind w:left="50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4"/>
          </w:tcPr>
          <w:p>
            <w:pPr>
              <w:ind w:left="50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8"/>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3"/>
            <w:vMerge w:val="restart"/>
          </w:tcPr>
          <w:p>
            <w:pPr>
              <w:spacing w:after="0"/>
              <w:rPr>
                <w:sz w:val="20"/>
                <w:szCs w:val="20"/>
                <w:color w:val="auto"/>
              </w:rPr>
            </w:pPr>
            <w:r>
              <w:rPr>
                <w:rFonts w:ascii="Arial" w:cs="Arial" w:eastAsia="Arial" w:hAnsi="Arial"/>
                <w:sz w:val="18"/>
                <w:szCs w:val="18"/>
                <w:color w:val="0000FF"/>
              </w:rPr>
              <w:t>BLOOMINGTON MN</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0000FF"/>
              </w:rPr>
              <w:t>55420</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126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9"/>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900" w:type="dxa"/>
            <w:vAlign w:val="bottom"/>
            <w:tcBorders>
              <w:top w:val="single" w:sz="8" w:color="2C2C2C"/>
            </w:tcBorders>
            <w:gridSpan w:val="15"/>
          </w:tcPr>
          <w:p>
            <w:pPr>
              <w:jc w:val="center"/>
              <w:ind w:left="1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8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3"/>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60"/>
              <w:spacing w:after="0"/>
              <w:rPr>
                <w:sz w:val="20"/>
                <w:szCs w:val="20"/>
                <w:color w:val="auto"/>
              </w:rPr>
            </w:pPr>
            <w:r>
              <w:rPr>
                <w:rFonts w:ascii="Arial" w:cs="Arial" w:eastAsia="Arial" w:hAnsi="Arial"/>
                <w:sz w:val="18"/>
                <w:szCs w:val="18"/>
                <w:color w:val="0000FF"/>
                <w:w w:val="99"/>
              </w:rPr>
              <w:t>09/17/2003</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Borders>
              <w:bottom w:val="single" w:sz="8" w:color="2C2C2C"/>
            </w:tcBorders>
          </w:tcPr>
          <w:p>
            <w:pPr>
              <w:jc w:val="center"/>
              <w:ind w:left="30"/>
              <w:spacing w:after="0"/>
              <w:rPr>
                <w:sz w:val="20"/>
                <w:szCs w:val="20"/>
                <w:color w:val="auto"/>
              </w:rPr>
            </w:pPr>
            <w:r>
              <w:rPr>
                <w:rFonts w:ascii="Arial" w:cs="Arial" w:eastAsia="Arial" w:hAnsi="Arial"/>
                <w:sz w:val="18"/>
                <w:szCs w:val="18"/>
                <w:color w:val="0000FF"/>
                <w:w w:val="83"/>
              </w:rPr>
              <w:t>230</w:t>
            </w:r>
            <w:r>
              <w:rPr>
                <w:rFonts w:ascii="Arial" w:cs="Arial" w:eastAsia="Arial" w:hAnsi="Arial"/>
                <w:sz w:val="22"/>
                <w:szCs w:val="22"/>
                <w:color w:val="008000"/>
                <w:w w:val="83"/>
                <w:vertAlign w:val="superscript"/>
              </w:rPr>
              <w:t>(1)</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tcPr>
          <w:p>
            <w:pPr>
              <w:jc w:val="center"/>
              <w:ind w:left="151"/>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650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60"/>
              <w:spacing w:after="0"/>
              <w:rPr>
                <w:sz w:val="20"/>
                <w:szCs w:val="20"/>
                <w:color w:val="auto"/>
              </w:rPr>
            </w:pPr>
            <w:r>
              <w:rPr>
                <w:rFonts w:ascii="Arial" w:cs="Arial" w:eastAsia="Arial" w:hAnsi="Arial"/>
                <w:sz w:val="18"/>
                <w:szCs w:val="18"/>
                <w:color w:val="0000FF"/>
                <w:w w:val="99"/>
              </w:rPr>
              <w:t>09/17/2003</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Borders>
              <w:bottom w:val="single" w:sz="8" w:color="2C2C2C"/>
            </w:tcBorders>
          </w:tcPr>
          <w:p>
            <w:pPr>
              <w:jc w:val="center"/>
              <w:ind w:left="30"/>
              <w:spacing w:after="0"/>
              <w:rPr>
                <w:sz w:val="20"/>
                <w:szCs w:val="20"/>
                <w:color w:val="auto"/>
              </w:rPr>
            </w:pPr>
            <w:r>
              <w:rPr>
                <w:rFonts w:ascii="Arial" w:cs="Arial" w:eastAsia="Arial" w:hAnsi="Arial"/>
                <w:sz w:val="18"/>
                <w:szCs w:val="18"/>
                <w:color w:val="0000FF"/>
                <w:w w:val="83"/>
              </w:rPr>
              <w:t>230</w:t>
            </w:r>
            <w:r>
              <w:rPr>
                <w:rFonts w:ascii="Arial" w:cs="Arial" w:eastAsia="Arial" w:hAnsi="Arial"/>
                <w:sz w:val="22"/>
                <w:szCs w:val="22"/>
                <w:color w:val="008000"/>
                <w:w w:val="83"/>
                <w:vertAlign w:val="superscript"/>
              </w:rPr>
              <w:t>(1)</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tcPr>
          <w:p>
            <w:pPr>
              <w:jc w:val="center"/>
              <w:ind w:left="151"/>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230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I</w:t>
            </w:r>
          </w:p>
        </w:tc>
        <w:tc>
          <w:tcPr>
            <w:tcW w:w="9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w w:val="92"/>
              </w:rPr>
              <w:t>by daughter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680" w:type="dxa"/>
            <w:vAlign w:val="bottom"/>
            <w:gridSpan w:val="3"/>
          </w:tcPr>
          <w:p>
            <w:pPr>
              <w:ind w:left="760"/>
              <w:spacing w:after="0"/>
              <w:rPr>
                <w:sz w:val="20"/>
                <w:szCs w:val="20"/>
                <w:color w:val="auto"/>
              </w:rPr>
            </w:pPr>
            <w:r>
              <w:rPr>
                <w:rFonts w:ascii="Arial" w:cs="Arial" w:eastAsia="Arial" w:hAnsi="Arial"/>
                <w:sz w:val="18"/>
                <w:szCs w:val="18"/>
                <w:color w:val="0000FF"/>
                <w:w w:val="99"/>
              </w:rPr>
              <w:t>09/22/2003</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ind w:left="200"/>
              <w:spacing w:after="0"/>
              <w:rPr>
                <w:sz w:val="20"/>
                <w:szCs w:val="20"/>
                <w:color w:val="auto"/>
              </w:rPr>
            </w:pPr>
            <w:r>
              <w:rPr>
                <w:rFonts w:ascii="Arial" w:cs="Arial" w:eastAsia="Arial" w:hAnsi="Arial"/>
                <w:sz w:val="14"/>
                <w:szCs w:val="14"/>
                <w:color w:val="0000FF"/>
              </w:rPr>
              <w:t>S</w:t>
            </w:r>
          </w:p>
        </w:tc>
        <w:tc>
          <w:tcPr>
            <w:tcW w:w="360" w:type="dxa"/>
            <w:vAlign w:val="bottom"/>
          </w:tcPr>
          <w:p>
            <w:pPr>
              <w:spacing w:after="0"/>
              <w:rPr>
                <w:sz w:val="23"/>
                <w:szCs w:val="23"/>
                <w:color w:val="auto"/>
              </w:rPr>
            </w:pPr>
          </w:p>
        </w:tc>
        <w:tc>
          <w:tcPr>
            <w:tcW w:w="740" w:type="dxa"/>
            <w:vAlign w:val="bottom"/>
          </w:tcPr>
          <w:p>
            <w:pPr>
              <w:jc w:val="center"/>
              <w:ind w:left="30"/>
              <w:spacing w:after="0"/>
              <w:rPr>
                <w:sz w:val="20"/>
                <w:szCs w:val="20"/>
                <w:color w:val="auto"/>
              </w:rPr>
            </w:pPr>
            <w:r>
              <w:rPr>
                <w:rFonts w:ascii="Arial" w:cs="Arial" w:eastAsia="Arial" w:hAnsi="Arial"/>
                <w:sz w:val="18"/>
                <w:szCs w:val="18"/>
                <w:color w:val="0000FF"/>
                <w:w w:val="93"/>
              </w:rPr>
              <w:t>230</w:t>
            </w:r>
          </w:p>
        </w:tc>
        <w:tc>
          <w:tcPr>
            <w:tcW w:w="500" w:type="dxa"/>
            <w:vAlign w:val="bottom"/>
          </w:tcPr>
          <w:p>
            <w:pPr>
              <w:ind w:left="280"/>
              <w:spacing w:after="0"/>
              <w:rPr>
                <w:sz w:val="20"/>
                <w:szCs w:val="20"/>
                <w:color w:val="auto"/>
              </w:rPr>
            </w:pPr>
            <w:r>
              <w:rPr>
                <w:rFonts w:ascii="Arial" w:cs="Arial" w:eastAsia="Arial" w:hAnsi="Arial"/>
                <w:sz w:val="18"/>
                <w:szCs w:val="18"/>
                <w:color w:val="0000FF"/>
              </w:rPr>
              <w:t>D</w:t>
            </w:r>
          </w:p>
        </w:tc>
        <w:tc>
          <w:tcPr>
            <w:tcW w:w="600" w:type="dxa"/>
            <w:vAlign w:val="bottom"/>
          </w:tcPr>
          <w:p>
            <w:pPr>
              <w:jc w:val="center"/>
              <w:ind w:left="131"/>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47</w:t>
            </w:r>
          </w:p>
        </w:tc>
        <w:tc>
          <w:tcPr>
            <w:tcW w:w="40" w:type="dxa"/>
            <w:vAlign w:val="bottom"/>
          </w:tcPr>
          <w:p>
            <w:pPr>
              <w:spacing w:after="0"/>
              <w:rPr>
                <w:sz w:val="23"/>
                <w:szCs w:val="23"/>
                <w:color w:val="auto"/>
              </w:rPr>
            </w:pPr>
          </w:p>
        </w:tc>
        <w:tc>
          <w:tcPr>
            <w:tcW w:w="740" w:type="dxa"/>
            <w:vAlign w:val="bottom"/>
            <w:gridSpan w:val="2"/>
          </w:tcPr>
          <w:p>
            <w:pPr>
              <w:jc w:val="center"/>
              <w:ind w:left="541"/>
              <w:spacing w:after="0"/>
              <w:rPr>
                <w:sz w:val="20"/>
                <w:szCs w:val="20"/>
                <w:color w:val="auto"/>
              </w:rPr>
            </w:pPr>
            <w:r>
              <w:rPr>
                <w:rFonts w:ascii="Arial" w:cs="Arial" w:eastAsia="Arial" w:hAnsi="Arial"/>
                <w:sz w:val="18"/>
                <w:szCs w:val="18"/>
                <w:color w:val="0000FF"/>
                <w:w w:val="79"/>
              </w:rPr>
              <w:t>0</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4"/>
              </w:rPr>
              <w:t>by daughter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by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4"/>
            <w:vMerge w:val="restart"/>
          </w:tcPr>
          <w:p>
            <w:pPr>
              <w:ind w:left="60"/>
              <w:spacing w:after="0"/>
              <w:rPr>
                <w:sz w:val="20"/>
                <w:szCs w:val="20"/>
                <w:color w:val="auto"/>
              </w:rPr>
            </w:pPr>
            <w:r>
              <w:rPr>
                <w:rFonts w:ascii="Arial" w:cs="Arial" w:eastAsia="Arial" w:hAnsi="Arial"/>
                <w:sz w:val="18"/>
                <w:szCs w:val="18"/>
                <w:color w:val="0000FF"/>
                <w:w w:val="92"/>
              </w:rPr>
              <w:t>Toro Investment, Savings &amp; ESOP</w:t>
            </w: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5"/>
              </w:rPr>
              <w:t>19,613.344</w:t>
            </w:r>
            <w:r>
              <w:rPr>
                <w:rFonts w:ascii="Arial" w:cs="Arial" w:eastAsia="Arial" w:hAnsi="Arial"/>
                <w:sz w:val="22"/>
                <w:szCs w:val="22"/>
                <w:color w:val="008000"/>
                <w:w w:val="85"/>
                <w:vertAlign w:val="superscript"/>
              </w:rPr>
              <w:t>(2)</w:t>
            </w:r>
          </w:p>
        </w:tc>
        <w:tc>
          <w:tcPr>
            <w:tcW w:w="30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4"/>
            <w:vMerge w:val="continue"/>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Svgs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20" w:type="dxa"/>
            <w:vAlign w:val="bottom"/>
            <w:tcBorders>
              <w:bottom w:val="single" w:sz="8" w:color="2C2C2C"/>
            </w:tcBorders>
            <w:gridSpan w:val="3"/>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w w:val="91"/>
              </w:rPr>
              <w:t>Common Stock Units</w:t>
            </w:r>
          </w:p>
        </w:tc>
        <w:tc>
          <w:tcPr>
            <w:tcW w:w="10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6"/>
              </w:rPr>
              <w:t>11,086.561</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20" w:type="dxa"/>
            <w:vAlign w:val="bottom"/>
            <w:tcBorders>
              <w:bottom w:val="single" w:sz="8" w:color="2C2C2C"/>
            </w:tcBorders>
            <w:gridSpan w:val="3"/>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Matching Units</w:t>
            </w:r>
          </w:p>
        </w:tc>
        <w:tc>
          <w:tcPr>
            <w:tcW w:w="10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7"/>
              </w:rPr>
              <w:t>5,543.194</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4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40" w:type="dxa"/>
            <w:vAlign w:val="bottom"/>
            <w:gridSpan w:val="4"/>
          </w:tcPr>
          <w:p>
            <w:pPr>
              <w:ind w:left="60"/>
              <w:spacing w:after="0"/>
              <w:rPr>
                <w:sz w:val="20"/>
                <w:szCs w:val="20"/>
                <w:color w:val="auto"/>
              </w:rPr>
            </w:pPr>
            <w:r>
              <w:rPr>
                <w:rFonts w:ascii="Arial" w:cs="Arial" w:eastAsia="Arial" w:hAnsi="Arial"/>
                <w:sz w:val="18"/>
                <w:szCs w:val="18"/>
                <w:color w:val="0000FF"/>
              </w:rPr>
              <w:t>Performance Share Units</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6"/>
              </w:rPr>
              <w:t>47,599.154</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430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1"/>
          </w:tcPr>
          <w:p>
            <w:pPr>
              <w:jc w:val="center"/>
              <w:ind w:left="50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Gift to daughter who does not share reporting person's household, but does use the reporting person's address. The reporting person disclaims beneficial ownership of the shares held by her daughter, and this report should not be deemed an admission that the reporting person is the beneficial owner of her daughter's shares for purposes of Section 16 or for any other purposes.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Ongoing acquisition on account under Investment,Savings &amp; Employee Stock Ownership Plan, exempt from Section 16(a)-3(f)(1)(i)(B) and from Section 16(b) under rule 16b-3(c).</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N. Jeanne Ryan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09/23/2003</w:t>
            </w: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2019-12-16T04:19:21Z</dcterms:created>
  <dcterms:modified xsi:type="dcterms:W3CDTF">2019-12-16T04:19:21Z</dcterms:modified>
</cp:coreProperties>
</file>