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3)*</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891092108</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891092108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Mairs and Power, Inc. 41 - 0844499</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20" w:hanging="620"/>
        <w:spacing w:after="0" w:line="308"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Citizenship or Place of Organization St. Paul, Minnesota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-549275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-960755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-1174750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-1792605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00"/>
          </w:cols>
          <w:pgMar w:left="240" w:top="436" w:right="259" w:bottom="72" w:gutter="0" w:footer="0" w:header="0"/>
        </w:sectPr>
      </w:pPr>
    </w:p>
    <w:p>
      <w:pPr>
        <w:spacing w:after="0" w:line="376"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2,049,800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2,440,046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2">
            <w:col w:w="2040" w:space="720"/>
            <w:col w:w="8640"/>
          </w:cols>
          <w:pgMar w:left="240" w:top="436" w:right="259" w:bottom="72" w:gutter="0" w:footer="0" w:header="0"/>
          <w:type w:val="continuous"/>
        </w:sectPr>
      </w:pPr>
    </w:p>
    <w:bookmarkStart w:id="1" w:name="page2"/>
    <w:bookmarkEnd w:id="1"/>
    <w:p>
      <w:pPr>
        <w:ind w:left="1060" w:right="5600" w:hanging="620"/>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2,440,046</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00" w:hanging="620"/>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7.3%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-1057275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-1468755</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500" w:right="8540" w:hanging="493"/>
        <w:spacing w:after="0" w:line="342" w:lineRule="auto"/>
        <w:tabs>
          <w:tab w:leader="none" w:pos="1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 of Issuer The Toro Company</w:t>
      </w:r>
    </w:p>
    <w:p>
      <w:pPr>
        <w:spacing w:after="0" w:line="29" w:lineRule="exact"/>
        <w:rPr>
          <w:rFonts w:ascii="Arial" w:cs="Arial" w:eastAsia="Arial" w:hAnsi="Arial"/>
          <w:sz w:val="16"/>
          <w:szCs w:val="16"/>
          <w:color w:val="auto"/>
        </w:rPr>
      </w:pPr>
    </w:p>
    <w:p>
      <w:pPr>
        <w:ind w:left="1500" w:hanging="493"/>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8111 Lyndale Avenue South, Bloomington, MN 55420 - 1196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40005</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-311150</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jc w:val="both"/>
        <w:ind w:left="1500" w:right="8320" w:hanging="493"/>
        <w:spacing w:after="0" w:line="342" w:lineRule="auto"/>
        <w:tabs>
          <w:tab w:leader="none" w:pos="1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Person Filing Mairs and Power, Inc.</w:t>
      </w:r>
    </w:p>
    <w:p>
      <w:pPr>
        <w:spacing w:after="0" w:line="29" w:lineRule="exact"/>
        <w:rPr>
          <w:rFonts w:ascii="Arial" w:cs="Arial" w:eastAsia="Arial" w:hAnsi="Arial"/>
          <w:sz w:val="16"/>
          <w:szCs w:val="16"/>
          <w:color w:val="auto"/>
        </w:rPr>
      </w:pPr>
    </w:p>
    <w:p>
      <w:pPr>
        <w:ind w:left="1500" w:hanging="493"/>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332 Minnesota Street, W-1520 First National Bank Building, St. Paul, MN 55101</w:t>
      </w:r>
    </w:p>
    <w:p>
      <w:pPr>
        <w:spacing w:after="0" w:line="116" w:lineRule="exact"/>
        <w:rPr>
          <w:rFonts w:ascii="Arial" w:cs="Arial" w:eastAsia="Arial" w:hAnsi="Arial"/>
          <w:sz w:val="18"/>
          <w:szCs w:val="18"/>
          <w:color w:val="auto"/>
        </w:rPr>
      </w:pPr>
    </w:p>
    <w:p>
      <w:pPr>
        <w:ind w:left="1500" w:hanging="493"/>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Minnesota Corporation</w:t>
      </w:r>
    </w:p>
    <w:p>
      <w:pPr>
        <w:spacing w:after="0" w:line="116" w:lineRule="exact"/>
        <w:rPr>
          <w:rFonts w:ascii="Arial" w:cs="Arial" w:eastAsia="Arial" w:hAnsi="Arial"/>
          <w:sz w:val="18"/>
          <w:szCs w:val="18"/>
          <w:color w:val="auto"/>
        </w:rPr>
      </w:pPr>
    </w:p>
    <w:p>
      <w:pPr>
        <w:ind w:left="1500" w:right="8040" w:hanging="493"/>
        <w:spacing w:after="0" w:line="342" w:lineRule="auto"/>
        <w:tabs>
          <w:tab w:leader="none" w:pos="1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1500" w:right="8800" w:hanging="493"/>
        <w:spacing w:after="0" w:line="342" w:lineRule="auto"/>
        <w:tabs>
          <w:tab w:leader="none" w:pos="1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891092108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-14605</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-366395</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-717550</wp:posOffset>
            </wp:positionV>
            <wp:extent cx="6329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-1069340</wp:posOffset>
            </wp:positionV>
            <wp:extent cx="6329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-1421130</wp:posOffset>
            </wp:positionV>
            <wp:extent cx="63290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3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020" w:right="200" w:hanging="1013"/>
        <w:spacing w:after="0" w:line="277" w:lineRule="auto"/>
        <w:tabs>
          <w:tab w:leader="none" w:pos="1507" w:val="left"/>
        </w:tabs>
        <w:numPr>
          <w:ilvl w:val="0"/>
          <w:numId w:val="6"/>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vMerge w:val="restart"/>
          </w:tcPr>
          <w:p>
            <w:pPr>
              <w:ind w:left="1000"/>
              <w:spacing w:after="0"/>
              <w:rPr>
                <w:sz w:val="20"/>
                <w:szCs w:val="20"/>
                <w:color w:val="auto"/>
              </w:rPr>
            </w:pPr>
            <w:r>
              <w:rPr>
                <w:rFonts w:ascii="Arial" w:cs="Arial" w:eastAsia="Arial" w:hAnsi="Arial"/>
                <w:sz w:val="18"/>
                <w:szCs w:val="18"/>
                <w:color w:val="auto"/>
              </w:rPr>
              <w:t>(k)</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auto"/>
              </w:rPr>
              <w:t>o</w:t>
            </w:r>
          </w:p>
        </w:tc>
        <w:tc>
          <w:tcPr>
            <w:tcW w:w="9660" w:type="dxa"/>
            <w:vAlign w:val="bottom"/>
          </w:tcPr>
          <w:p>
            <w:pPr>
              <w:ind w:left="220"/>
              <w:spacing w:after="0"/>
              <w:rPr>
                <w:sz w:val="20"/>
                <w:szCs w:val="20"/>
                <w:color w:val="auto"/>
              </w:rPr>
            </w:pPr>
            <w:r>
              <w:rPr>
                <w:rFonts w:ascii="Arial" w:cs="Arial" w:eastAsia="Arial" w:hAnsi="Arial"/>
                <w:sz w:val="18"/>
                <w:szCs w:val="18"/>
                <w:color w:val="auto"/>
                <w:w w:val="95"/>
              </w:rPr>
              <w:t>Group, in accordance with § 240.13d–1(b)(1)(ii)(K). If filing as a non-U.S. institution in accordance with § 240.13d–1(b)(1)(ii)</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9660" w:type="dxa"/>
            <w:vAlign w:val="bottom"/>
            <w:vMerge w:val="restart"/>
          </w:tcPr>
          <w:p>
            <w:pPr>
              <w:ind w:left="220"/>
              <w:spacing w:after="0"/>
              <w:rPr>
                <w:sz w:val="20"/>
                <w:szCs w:val="20"/>
                <w:color w:val="auto"/>
              </w:rPr>
            </w:pPr>
            <w:r>
              <w:rPr>
                <w:rFonts w:ascii="Arial" w:cs="Arial" w:eastAsia="Arial" w:hAnsi="Arial"/>
                <w:sz w:val="18"/>
                <w:szCs w:val="18"/>
                <w:color w:val="auto"/>
              </w:rPr>
              <w:t>(J), please specify the type of institution:____________________________</w:t>
            </w:r>
          </w:p>
        </w:tc>
        <w:tc>
          <w:tcPr>
            <w:tcW w:w="0" w:type="dxa"/>
            <w:vAlign w:val="bottom"/>
          </w:tcPr>
          <w:p>
            <w:pPr>
              <w:spacing w:after="0"/>
              <w:rPr>
                <w:sz w:val="1"/>
                <w:szCs w:val="1"/>
                <w:color w:val="auto"/>
              </w:rPr>
            </w:pPr>
          </w:p>
        </w:tc>
      </w:tr>
      <w:tr>
        <w:trPr>
          <w:trHeight w:val="108"/>
        </w:trPr>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0"/>
        </w:trPr>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60" w:type="dxa"/>
            <w:vAlign w:val="bottom"/>
          </w:tcPr>
          <w:p>
            <w:pPr>
              <w:jc w:val="right"/>
              <w:ind w:right="56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32"/>
        </w:trPr>
        <w:tc>
          <w:tcPr>
            <w:tcW w:w="13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6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ectPr>
          <w:pgSz w:w="11900" w:h="16838" w:orient="portrait"/>
          <w:cols w:equalWidth="0" w:num="1">
            <w:col w:w="11460"/>
          </w:cols>
          <w:pgMar w:left="240" w:top="125" w:right="199" w:bottom="0" w:gutter="0" w:footer="0" w:header="0"/>
        </w:sectPr>
      </w:pPr>
    </w:p>
    <w:bookmarkStart w:id="2" w:name="page3"/>
    <w:bookmarkEnd w:id="2"/>
    <w:p>
      <w:pPr>
        <w:ind w:left="1660" w:right="7640" w:hanging="394"/>
        <w:spacing w:after="0" w:line="324" w:lineRule="auto"/>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2,440,046</w:t>
      </w:r>
    </w:p>
    <w:p>
      <w:pPr>
        <w:spacing w:after="0" w:line="116" w:lineRule="exact"/>
        <w:rPr>
          <w:rFonts w:ascii="Arial" w:cs="Arial" w:eastAsia="Arial" w:hAnsi="Arial"/>
          <w:sz w:val="18"/>
          <w:szCs w:val="18"/>
          <w:color w:val="auto"/>
        </w:rPr>
      </w:pPr>
    </w:p>
    <w:p>
      <w:pPr>
        <w:ind w:left="1660" w:hanging="400"/>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49"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7.3%</w:t>
      </w:r>
    </w:p>
    <w:p>
      <w:pPr>
        <w:spacing w:after="0" w:line="211" w:lineRule="exact"/>
        <w:rPr>
          <w:rFonts w:ascii="Arial" w:cs="Arial" w:eastAsia="Arial" w:hAnsi="Arial"/>
          <w:sz w:val="18"/>
          <w:szCs w:val="18"/>
          <w:color w:val="auto"/>
        </w:rPr>
      </w:pPr>
    </w:p>
    <w:p>
      <w:pPr>
        <w:ind w:left="1660" w:hanging="39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229235</wp:posOffset>
            </wp:positionV>
            <wp:extent cx="62344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-198755</wp:posOffset>
            </wp:positionV>
            <wp:extent cx="62344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-627380</wp:posOffset>
            </wp:positionV>
            <wp:extent cx="62344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280" w:right="6280" w:hanging="453"/>
        <w:spacing w:after="0" w:line="324" w:lineRule="auto"/>
        <w:tabs>
          <w:tab w:leader="none" w:pos="2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2,049,800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5715</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ind w:left="2280" w:right="6100" w:hanging="478"/>
        <w:spacing w:after="0" w:line="324" w:lineRule="auto"/>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5715</wp:posOffset>
            </wp:positionV>
            <wp:extent cx="5840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ind w:left="2280" w:right="5360" w:hanging="503"/>
        <w:spacing w:after="0" w:line="324"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2,440,046</w:t>
      </w:r>
    </w:p>
    <w:p>
      <w:pPr>
        <w:spacing w:after="0" w:line="116" w:lineRule="exact"/>
        <w:rPr>
          <w:rFonts w:ascii="Arial" w:cs="Arial" w:eastAsia="Arial" w:hAnsi="Arial"/>
          <w:sz w:val="18"/>
          <w:szCs w:val="18"/>
          <w:color w:val="auto"/>
        </w:rPr>
      </w:pPr>
    </w:p>
    <w:p>
      <w:pPr>
        <w:ind w:left="2280" w:right="5180" w:hanging="498"/>
        <w:spacing w:after="0" w:line="324"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5715</wp:posOffset>
            </wp:positionV>
            <wp:extent cx="58400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-422275</wp:posOffset>
            </wp:positionV>
            <wp:extent cx="58400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9" w:lineRule="exact"/>
        <w:rPr>
          <w:sz w:val="20"/>
          <w:szCs w:val="20"/>
          <w:color w:val="auto"/>
        </w:rPr>
      </w:pPr>
    </w:p>
    <w:p>
      <w:pPr>
        <w:ind w:left="60"/>
        <w:spacing w:after="0" w:line="271" w:lineRule="auto"/>
        <w:rPr>
          <w:sz w:val="20"/>
          <w:szCs w:val="20"/>
          <w:color w:val="auto"/>
        </w:rPr>
      </w:pPr>
      <w:r>
        <w:rPr>
          <w:rFonts w:ascii="Arial" w:cs="Arial" w:eastAsia="Arial" w:hAnsi="Arial"/>
          <w:sz w:val="17"/>
          <w:szCs w:val="17"/>
          <w:color w:val="auto"/>
        </w:rPr>
        <w:t>**Note 1** Mairs and Power, Inc. (“Mairs and Power”), an investment adviser registered under Section 203 of the Investment Advisers Act of 1940, furnishes investment advice to two investment companies registered under the Investment Company Act of 1940 and serves as investment manager to certain other commingled group trusts and separate accounts. These investment companies, trusts and accounts are the “Funds”. In its role as investment advisor or manager, Mairs and Power possesses investment and/or voting power over the securities of the Issuer described in this schedule that are owned by the Funds, and may be deemed to be the beneficial owner of the shares of the Issuer held by the Funds. All of the securities reported in this schedule are owned by the Funds. Mairs and Power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71"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 see §240.13d-3(d)(1).</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Various persons have the right to receive or the power to direct the receipt of dividends from, or the proceeds from the sale of, the Common Stock of Toro Company. The interest of one person, Mairs and Power Growth Fund, Inc., an investment company registered under the Investment Company Act of 1940, in the Common Stock of Toro Company, amounted to 1,880,000 shares or 5.6% of the total outstanding Common Stock at December 31, 2009.</w:t>
      </w:r>
    </w:p>
    <w:p>
      <w:pPr>
        <w:spacing w:after="0" w:line="291" w:lineRule="exact"/>
        <w:rPr>
          <w:sz w:val="20"/>
          <w:szCs w:val="20"/>
          <w:color w:val="auto"/>
        </w:rPr>
      </w:pPr>
    </w:p>
    <w:p>
      <w:pPr>
        <w:ind w:left="1180" w:right="20" w:hanging="112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337" w:lineRule="exact"/>
        <w:rPr>
          <w:sz w:val="20"/>
          <w:szCs w:val="20"/>
          <w:color w:val="auto"/>
        </w:rPr>
      </w:pPr>
    </w:p>
    <w:p>
      <w:pPr>
        <w:ind w:left="1520" w:hanging="499"/>
        <w:spacing w:after="0" w:line="259"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1360"/>
          </w:cols>
          <w:pgMar w:left="240" w:top="125" w:right="299" w:bottom="0" w:gutter="0" w:footer="0" w:header="0"/>
        </w:sectPr>
      </w:pPr>
    </w:p>
    <w:bookmarkStart w:id="3" w:name="page4"/>
    <w:bookmarkEnd w:id="3"/>
    <w:p>
      <w:pPr>
        <w:jc w:val="center"/>
        <w:ind w:left="5720"/>
        <w:spacing w:after="0"/>
        <w:rPr>
          <w:sz w:val="20"/>
          <w:szCs w:val="20"/>
          <w:color w:val="auto"/>
        </w:rPr>
      </w:pPr>
      <w:r>
        <w:rPr>
          <w:rFonts w:ascii="Arial" w:cs="Arial" w:eastAsia="Arial" w:hAnsi="Arial"/>
          <w:sz w:val="18"/>
          <w:szCs w:val="18"/>
          <w:color w:val="auto"/>
        </w:rPr>
        <w:t>February 8, 2010</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Jon A. Theobald</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6"/>
          <w:szCs w:val="16"/>
          <w:color w:val="auto"/>
        </w:rPr>
        <w:t>Jon A. Theobald/President</w:t>
      </w:r>
    </w:p>
    <w:p>
      <w:pPr>
        <w:spacing w:after="0" w:line="4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-130810</wp:posOffset>
            </wp:positionV>
            <wp:extent cx="36188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1)"/>
      <w:numFmt w:val="lowerRoman"/>
      <w:start w:val="2"/>
    </w:lvl>
  </w:abstractNum>
  <w:abstractNum w:abstractNumId="9">
    <w:nsid w:val="216231B"/>
    <w:multiLevelType w:val="hybridMultilevel"/>
    <w:lvl w:ilvl="0">
      <w:lvlJc w:val="left"/>
      <w:lvlText w:val="(%1)"/>
      <w:numFmt w:val="lowerRoman"/>
      <w:start w:val="3"/>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2019-12-10T05:43:07Z</dcterms:created>
  <dcterms:modified xsi:type="dcterms:W3CDTF">2019-12-10T05:43:07Z</dcterms:modified>
</cp:coreProperties>
</file>