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right"/>
              <w:ind w:right="1334"/>
              <w:spacing w:after="0"/>
              <w:rPr>
                <w:sz w:val="20"/>
                <w:szCs w:val="20"/>
                <w:color w:val="auto"/>
              </w:rPr>
            </w:pPr>
            <w:r>
              <w:rPr>
                <w:rFonts w:ascii="Arial" w:cs="Arial" w:eastAsia="Arial" w:hAnsi="Arial"/>
                <w:sz w:val="18"/>
                <w:szCs w:val="18"/>
                <w:b w:val="1"/>
                <w:bCs w:val="1"/>
                <w:color w:val="auto"/>
              </w:rPr>
              <w:t>1-8649</w:t>
            </w:r>
          </w:p>
        </w:tc>
        <w:tc>
          <w:tcPr>
            <w:tcW w:w="3320" w:type="dxa"/>
            <w:vAlign w:val="bottom"/>
          </w:tcPr>
          <w:p>
            <w:pPr>
              <w:jc w:val="right"/>
              <w:ind w:right="719"/>
              <w:spacing w:after="0"/>
              <w:rPr>
                <w:sz w:val="20"/>
                <w:szCs w:val="20"/>
                <w:color w:val="auto"/>
              </w:rPr>
            </w:pPr>
            <w:r>
              <w:rPr>
                <w:rFonts w:ascii="Arial" w:cs="Arial" w:eastAsia="Arial" w:hAnsi="Arial"/>
                <w:sz w:val="18"/>
                <w:szCs w:val="18"/>
                <w:b w:val="1"/>
                <w:bCs w:val="1"/>
                <w:color w:val="auto"/>
              </w:rPr>
              <w:t>41-0580470</w:t>
            </w:r>
          </w:p>
        </w:tc>
      </w:tr>
      <w:tr>
        <w:trPr>
          <w:trHeight w:val="186"/>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of Incorporation)</w:t>
            </w:r>
          </w:p>
        </w:tc>
        <w:tc>
          <w:tcPr>
            <w:tcW w:w="4800" w:type="dxa"/>
            <w:vAlign w:val="bottom"/>
          </w:tcPr>
          <w:p>
            <w:pPr>
              <w:jc w:val="center"/>
              <w:ind w:left="1354"/>
              <w:spacing w:after="0"/>
              <w:rPr>
                <w:sz w:val="20"/>
                <w:szCs w:val="20"/>
                <w:color w:val="auto"/>
              </w:rPr>
            </w:pPr>
            <w:r>
              <w:rPr>
                <w:rFonts w:ascii="Arial" w:cs="Arial" w:eastAsia="Arial" w:hAnsi="Arial"/>
                <w:sz w:val="14"/>
                <w:szCs w:val="14"/>
                <w:b w:val="1"/>
                <w:bCs w:val="1"/>
                <w:color w:val="auto"/>
                <w:w w:val="94"/>
              </w:rPr>
              <w:t>(Commission File Number)</w:t>
            </w:r>
          </w:p>
        </w:tc>
        <w:tc>
          <w:tcPr>
            <w:tcW w:w="3320" w:type="dxa"/>
            <w:vAlign w:val="bottom"/>
          </w:tcPr>
          <w:p>
            <w:pPr>
              <w:jc w:val="center"/>
              <w:ind w:left="739"/>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426"/>
        </w:trPr>
        <w:tc>
          <w:tcPr>
            <w:tcW w:w="1500" w:type="dxa"/>
            <w:vAlign w:val="bottom"/>
          </w:tcPr>
          <w:p>
            <w:pPr>
              <w:spacing w:after="0"/>
              <w:rPr>
                <w:sz w:val="24"/>
                <w:szCs w:val="24"/>
                <w:color w:val="auto"/>
              </w:rPr>
            </w:pPr>
          </w:p>
        </w:tc>
        <w:tc>
          <w:tcPr>
            <w:tcW w:w="4800" w:type="dxa"/>
            <w:vAlign w:val="bottom"/>
          </w:tcPr>
          <w:p>
            <w:pPr>
              <w:jc w:val="center"/>
              <w:ind w:right="2474"/>
              <w:spacing w:after="0"/>
              <w:rPr>
                <w:sz w:val="20"/>
                <w:szCs w:val="20"/>
                <w:color w:val="auto"/>
              </w:rPr>
            </w:pPr>
            <w:r>
              <w:rPr>
                <w:rFonts w:ascii="Arial" w:cs="Arial" w:eastAsia="Arial" w:hAnsi="Arial"/>
                <w:sz w:val="18"/>
                <w:szCs w:val="18"/>
                <w:b w:val="1"/>
                <w:bCs w:val="1"/>
                <w:color w:val="auto"/>
                <w:w w:val="88"/>
              </w:rPr>
              <w:t>8111 Lyndale Avenue South</w:t>
            </w:r>
          </w:p>
        </w:tc>
        <w:tc>
          <w:tcPr>
            <w:tcW w:w="3320" w:type="dxa"/>
            <w:vAlign w:val="bottom"/>
          </w:tcPr>
          <w:p>
            <w:pPr>
              <w:spacing w:after="0"/>
              <w:rPr>
                <w:sz w:val="24"/>
                <w:szCs w:val="24"/>
                <w:color w:val="auto"/>
              </w:rPr>
            </w:pPr>
          </w:p>
        </w:tc>
      </w:tr>
      <w:tr>
        <w:trPr>
          <w:trHeight w:val="225"/>
        </w:trPr>
        <w:tc>
          <w:tcPr>
            <w:tcW w:w="1500" w:type="dxa"/>
            <w:vAlign w:val="bottom"/>
          </w:tcPr>
          <w:p>
            <w:pPr>
              <w:spacing w:after="0"/>
              <w:rPr>
                <w:sz w:val="19"/>
                <w:szCs w:val="19"/>
                <w:color w:val="auto"/>
              </w:rPr>
            </w:pPr>
          </w:p>
        </w:tc>
        <w:tc>
          <w:tcPr>
            <w:tcW w:w="4800" w:type="dxa"/>
            <w:vAlign w:val="bottom"/>
          </w:tcPr>
          <w:p>
            <w:pPr>
              <w:jc w:val="center"/>
              <w:ind w:right="2474"/>
              <w:spacing w:after="0"/>
              <w:rPr>
                <w:sz w:val="20"/>
                <w:szCs w:val="20"/>
                <w:color w:val="auto"/>
              </w:rPr>
            </w:pPr>
            <w:r>
              <w:rPr>
                <w:rFonts w:ascii="Arial" w:cs="Arial" w:eastAsia="Arial" w:hAnsi="Arial"/>
                <w:sz w:val="18"/>
                <w:szCs w:val="18"/>
                <w:b w:val="1"/>
                <w:bCs w:val="1"/>
                <w:color w:val="auto"/>
                <w:w w:val="89"/>
              </w:rPr>
              <w:t>Bloomington, Minnesota</w:t>
            </w:r>
          </w:p>
        </w:tc>
        <w:tc>
          <w:tcPr>
            <w:tcW w:w="3320" w:type="dxa"/>
            <w:vAlign w:val="bottom"/>
          </w:tcPr>
          <w:p>
            <w:pPr>
              <w:jc w:val="right"/>
              <w:ind w:right="939"/>
              <w:spacing w:after="0"/>
              <w:rPr>
                <w:sz w:val="20"/>
                <w:szCs w:val="20"/>
                <w:color w:val="auto"/>
              </w:rPr>
            </w:pPr>
            <w:r>
              <w:rPr>
                <w:rFonts w:ascii="Arial" w:cs="Arial" w:eastAsia="Arial" w:hAnsi="Arial"/>
                <w:sz w:val="18"/>
                <w:szCs w:val="18"/>
                <w:b w:val="1"/>
                <w:bCs w:val="1"/>
                <w:color w:val="auto"/>
              </w:rPr>
              <w:t>55420</w:t>
            </w:r>
          </w:p>
        </w:tc>
      </w:tr>
      <w:tr>
        <w:trPr>
          <w:trHeight w:val="186"/>
        </w:trPr>
        <w:tc>
          <w:tcPr>
            <w:tcW w:w="6300" w:type="dxa"/>
            <w:vAlign w:val="bottom"/>
            <w:gridSpan w:val="2"/>
          </w:tcPr>
          <w:p>
            <w:pPr>
              <w:jc w:val="center"/>
              <w:ind w:right="9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left="75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On July 8, 2016, The Toro Company, a Delaware corporation (“Toro”), announced that it entered into a Third Amended and Restated Program and Repurchase Agreement (the “Third Amended Repurchase Agreement”) with Red Iron Acceptance, LLC, a Delaware limited liability company (“Red Iron”) and joint venture established between Toro and TCF Inventory Finance, Inc., a Minnesota corporation and subsidiary of TCF National Bank, to provide inventory financing to certain distributors and dealers of products of Toro and certain of its affiliates (“Toro Products”). The Third Amended Repurchase Agreement amends and restates in its entirety that certain Second Amended and Restated Repurchase Agreement, dated as of October 29, 2010, by and between Toro and Red Iron, as amended (the “Prior Agreement”).</w:t>
      </w:r>
    </w:p>
    <w:p>
      <w:pPr>
        <w:spacing w:after="0" w:line="70"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As with the Prior Agreement, under the Third Amended Repurchase Agreement (i) transactions between Toro and Red Iron are characterized as an advance in the form of a payment by Red Iron to Toro on behalf of a dealer or distributor with respect to invoices financed by Red Iron that extinguish the obligation of the dealer or distributor to make payment to Toro under the terms of the invoice and (ii) Toro has certain repurchase obligations with respect to certain Toro Products that are repossessed by Red Iron, up to a maximum amount of $7.5 million per calendar year (“Repurchase Maximum”). Under the Prior Agreement, Toro agreed to certain recourse obligations that were in addition to the Repurchase Maximum. The Third Amended Repurchase Agreement eliminates Toro’s recourse obligations that are in addition to the Repurchase Maximum and establishes an estimated reserve with respect to the accounts of higher-risk dealers and distributors, in which Toro may share under certain circumstances. In addition, the Third Amended Repurchase Agreement includes certain other non-material clarifying amendments to the Prior Agreement to reflect evolving definitions and practices between Red Iron and Toro.</w:t>
      </w:r>
    </w:p>
    <w:p>
      <w:pPr>
        <w:spacing w:after="0" w:line="74"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initial term of the Third Amended Repurchase Agreement will expire on October 31, 2017. The Third Amended Repurchase Agreement will automatically renew for successive two-year periods unless either Toro or Red Iron provides to the other party written notice of non-renewal at least one year prior to the end of the then-current term.</w:t>
      </w:r>
    </w:p>
    <w:p>
      <w:pPr>
        <w:spacing w:after="0" w:line="73"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A copy of the Third Amended Repurchase Agreement is filed as Exhibit 2.1 to this Current Report on Form 8-K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8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38"/>
        </w:trPr>
        <w:tc>
          <w:tcPr>
            <w:tcW w:w="820" w:type="dxa"/>
            <w:vAlign w:val="bottom"/>
            <w:gridSpan w:val="2"/>
          </w:tcPr>
          <w:p>
            <w:pPr>
              <w:ind w:left="460"/>
              <w:spacing w:after="0"/>
              <w:rPr>
                <w:sz w:val="20"/>
                <w:szCs w:val="20"/>
                <w:color w:val="auto"/>
              </w:rPr>
            </w:pPr>
            <w:r>
              <w:rPr>
                <w:rFonts w:ascii="Arial" w:cs="Arial" w:eastAsia="Arial" w:hAnsi="Arial"/>
                <w:sz w:val="18"/>
                <w:szCs w:val="18"/>
                <w:color w:val="auto"/>
              </w:rPr>
              <w:t>(d)</w:t>
            </w:r>
          </w:p>
        </w:tc>
        <w:tc>
          <w:tcPr>
            <w:tcW w:w="10480" w:type="dxa"/>
            <w:vAlign w:val="bottom"/>
            <w:gridSpan w:val="3"/>
          </w:tcPr>
          <w:p>
            <w:pPr>
              <w:ind w:left="80"/>
              <w:spacing w:after="0"/>
              <w:rPr>
                <w:sz w:val="20"/>
                <w:szCs w:val="20"/>
                <w:color w:val="auto"/>
              </w:rPr>
            </w:pPr>
            <w:r>
              <w:rPr>
                <w:rFonts w:ascii="Arial" w:cs="Arial" w:eastAsia="Arial" w:hAnsi="Arial"/>
                <w:sz w:val="18"/>
                <w:szCs w:val="18"/>
                <w:color w:val="auto"/>
              </w:rPr>
              <w:t>Exhibits.</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000" w:type="dxa"/>
            <w:vAlign w:val="bottom"/>
          </w:tcPr>
          <w:p>
            <w:pPr>
              <w:spacing w:after="0"/>
              <w:rPr>
                <w:sz w:val="24"/>
                <w:szCs w:val="2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9"/>
              </w:rPr>
              <w:t>Third Amended and Restated Program and Repurchase Agreement, dated as of June 30, 2016, by and between The Toro Company and</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Red Iron Acceptance, LLC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220" w:right="380" w:hanging="212"/>
        <w:spacing w:after="0" w:line="264"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ectPr>
          <w:pgSz w:w="11900" w:h="16838" w:orient="portrait"/>
          <w:cols w:equalWidth="0" w:num="1">
            <w:col w:w="11340"/>
          </w:cols>
          <w:pgMar w:left="240" w:top="270"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July 8, 2016</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280"/>
          </w:cols>
          <w:pgMar w:left="240" w:top="27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60" w:type="dxa"/>
            <w:vAlign w:val="bottom"/>
          </w:tcPr>
          <w:p>
            <w:pPr>
              <w:ind w:left="11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EXHIBIT NUMBER</w:t>
            </w:r>
          </w:p>
        </w:tc>
        <w:tc>
          <w:tcPr>
            <w:tcW w:w="9800" w:type="dxa"/>
            <w:vAlign w:val="bottom"/>
            <w:gridSpan w:val="3"/>
          </w:tcPr>
          <w:p>
            <w:pPr>
              <w:ind w:left="15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03"/>
        </w:trPr>
        <w:tc>
          <w:tcPr>
            <w:tcW w:w="1300" w:type="dxa"/>
            <w:vAlign w:val="bottom"/>
          </w:tcPr>
          <w:p>
            <w:pPr>
              <w:spacing w:after="0"/>
              <w:rPr>
                <w:sz w:val="20"/>
                <w:szCs w:val="20"/>
                <w:color w:val="auto"/>
              </w:rPr>
            </w:pPr>
            <w:r>
              <w:rPr>
                <w:rFonts w:ascii="Arial" w:cs="Arial" w:eastAsia="Arial" w:hAnsi="Arial"/>
                <w:sz w:val="18"/>
                <w:szCs w:val="18"/>
                <w:color w:val="auto"/>
              </w:rPr>
              <w:t>2.1</w:t>
            </w:r>
          </w:p>
        </w:tc>
        <w:tc>
          <w:tcPr>
            <w:tcW w:w="9800" w:type="dxa"/>
            <w:vAlign w:val="bottom"/>
            <w:gridSpan w:val="3"/>
          </w:tcPr>
          <w:p>
            <w:pPr>
              <w:ind w:left="1540"/>
              <w:spacing w:after="0"/>
              <w:rPr>
                <w:sz w:val="20"/>
                <w:szCs w:val="20"/>
                <w:color w:val="auto"/>
              </w:rPr>
            </w:pPr>
            <w:r>
              <w:rPr>
                <w:rFonts w:ascii="Arial" w:cs="Arial" w:eastAsia="Arial" w:hAnsi="Arial"/>
                <w:sz w:val="18"/>
                <w:szCs w:val="18"/>
                <w:color w:val="auto"/>
                <w:w w:val="88"/>
              </w:rPr>
              <w:t>Third Amended and Restated Program and Repurchase Agreement, dated as of June 30, 2016, by and between The</w:t>
            </w:r>
          </w:p>
        </w:tc>
      </w:tr>
      <w:tr>
        <w:trPr>
          <w:trHeight w:val="230"/>
        </w:trPr>
        <w:tc>
          <w:tcPr>
            <w:tcW w:w="1300" w:type="dxa"/>
            <w:vAlign w:val="bottom"/>
          </w:tcPr>
          <w:p>
            <w:pPr>
              <w:spacing w:after="0"/>
              <w:rPr>
                <w:sz w:val="20"/>
                <w:szCs w:val="20"/>
                <w:color w:val="auto"/>
              </w:rPr>
            </w:pPr>
          </w:p>
        </w:tc>
        <w:tc>
          <w:tcPr>
            <w:tcW w:w="9800" w:type="dxa"/>
            <w:vAlign w:val="bottom"/>
            <w:gridSpan w:val="3"/>
          </w:tcPr>
          <w:p>
            <w:pPr>
              <w:ind w:left="1540"/>
              <w:spacing w:after="0"/>
              <w:rPr>
                <w:sz w:val="20"/>
                <w:szCs w:val="20"/>
                <w:color w:val="auto"/>
              </w:rPr>
            </w:pPr>
            <w:r>
              <w:rPr>
                <w:rFonts w:ascii="Arial" w:cs="Arial" w:eastAsia="Arial" w:hAnsi="Arial"/>
                <w:sz w:val="18"/>
                <w:szCs w:val="18"/>
                <w:color w:val="auto"/>
              </w:rPr>
              <w:t>Toro Company and Red Iron Acceptance, LLC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220" w:right="140" w:hanging="21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ectPr>
          <w:pgSz w:w="11900" w:h="16838" w:orient="portrait"/>
          <w:cols w:equalWidth="0" w:num="1">
            <w:col w:w="11100"/>
          </w:cols>
          <w:pgMar w:left="240" w:top="270" w:right="559" w:bottom="1440" w:gutter="0" w:footer="0" w:header="0"/>
        </w:sectPr>
      </w:pPr>
    </w:p>
    <w:bookmarkStart w:id="4" w:name="page5"/>
    <w:bookmarkEnd w:id="4"/>
    <w:p>
      <w:pPr>
        <w:ind w:left="105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THE CONFIDENTIAL PORTIONS OF THIS EXHIBIT THAT HAVE BEEN OMITTED ARE MARKED WITH “[***].” A COPY OF THIS EXHIBIT WITH ALL SECTIONS INTACT HAS BEEN FILED SEPARATELY WITH THE SECURITIES AND EXCHANGE COMMISSION.]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 PROGRAM AND REPURCHASE AGREEMENT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Third Amended and Restated Program and Repurchase Agreement (“</w:t>
      </w:r>
      <w:r>
        <w:rPr>
          <w:rFonts w:ascii="Arial" w:cs="Arial" w:eastAsia="Arial" w:hAnsi="Arial"/>
          <w:sz w:val="17"/>
          <w:szCs w:val="17"/>
          <w:b w:val="1"/>
          <w:bCs w:val="1"/>
          <w:color w:val="auto"/>
        </w:rPr>
        <w:t>Agreement</w:t>
      </w:r>
      <w:r>
        <w:rPr>
          <w:rFonts w:ascii="Arial" w:cs="Arial" w:eastAsia="Arial" w:hAnsi="Arial"/>
          <w:sz w:val="17"/>
          <w:szCs w:val="17"/>
          <w:color w:val="auto"/>
        </w:rPr>
        <w:t>”) is signed as of the date set forth below by and between THE TORO COMPANY, a Delaware corporation (hereinafter “</w:t>
      </w:r>
      <w:r>
        <w:rPr>
          <w:rFonts w:ascii="Arial" w:cs="Arial" w:eastAsia="Arial" w:hAnsi="Arial"/>
          <w:sz w:val="17"/>
          <w:szCs w:val="17"/>
          <w:b w:val="1"/>
          <w:bCs w:val="1"/>
          <w:color w:val="auto"/>
        </w:rPr>
        <w:t>Seller</w:t>
      </w:r>
      <w:r>
        <w:rPr>
          <w:rFonts w:ascii="Arial" w:cs="Arial" w:eastAsia="Arial" w:hAnsi="Arial"/>
          <w:sz w:val="17"/>
          <w:szCs w:val="17"/>
          <w:color w:val="auto"/>
        </w:rPr>
        <w:t>”), and RED IRON ACCEPTANCE, LLC, a Delaware limited liability company (“</w:t>
      </w:r>
      <w:r>
        <w:rPr>
          <w:rFonts w:ascii="Arial" w:cs="Arial" w:eastAsia="Arial" w:hAnsi="Arial"/>
          <w:sz w:val="17"/>
          <w:szCs w:val="17"/>
          <w:b w:val="1"/>
          <w:bCs w:val="1"/>
          <w:color w:val="auto"/>
        </w:rPr>
        <w:t>Red Iron</w:t>
      </w:r>
      <w:r>
        <w:rPr>
          <w:rFonts w:ascii="Arial" w:cs="Arial" w:eastAsia="Arial" w:hAnsi="Arial"/>
          <w:sz w:val="17"/>
          <w:szCs w:val="17"/>
          <w:color w:val="auto"/>
        </w:rPr>
        <w:t>”), to set forth the terms and conditions under which Red Iron will continue to provide financing for certain dealers and distributors as set forth below. This Agreement amends and restates in its entirety that certain Second Amended and Restated Repurchase Agreement (Two Step) dated as of October 29, 2010 by and between Seller and Red Iron, as amended by the First Amendment to Second Amended and Restated Repurchase Agreement (Two Step), dated as of December 12, 2011, the Second Amendment to Second Amended and Restated Repurchase Agreement (Two Step), dated as of June 6, 2012, the Third Amendment to Second Amended and Restated Repurchase Agreement (Two Step), dated as of December 31, 2013, the Fourth Amendment to Second Amended and Restated Repurchase Agreement (Two Step), dated as of January 1, 2015 and the Fifth Amendment to Second Amended and Restated Repurchase Agreement (Two Step), dated as of April 4, 2016 . In consideration of the matters and mutual agreements herein contained, Red Iron and Seller agree as follows:</w:t>
      </w:r>
    </w:p>
    <w:p>
      <w:pPr>
        <w:spacing w:after="0" w:line="33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Term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5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herein shall mean a payment made or the making of a payment to Seller by Red Iron with respect to an Invoice pursuant to a finance program made available by Red Iron to a Dealer or a Distributor, as appropriate.</w:t>
      </w:r>
    </w:p>
    <w:p>
      <w:pPr>
        <w:spacing w:after="0" w:line="53" w:lineRule="exact"/>
        <w:rPr>
          <w:rFonts w:ascii="Arial" w:cs="Arial" w:eastAsia="Arial" w:hAnsi="Arial"/>
          <w:sz w:val="18"/>
          <w:szCs w:val="18"/>
          <w:color w:val="auto"/>
        </w:rPr>
      </w:pPr>
    </w:p>
    <w:p>
      <w:pPr>
        <w:ind w:left="460" w:right="4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Agreement</w:t>
      </w:r>
      <w:r>
        <w:rPr>
          <w:rFonts w:ascii="Arial" w:cs="Arial" w:eastAsia="Arial" w:hAnsi="Arial"/>
          <w:sz w:val="18"/>
          <w:szCs w:val="18"/>
          <w:color w:val="auto"/>
        </w:rPr>
        <w:t>” herein shall mean that certain Amended and Restated Repurchase Agreement entered into as of October 29, 2010 by and between Seller and TCFCF (as amended and restated from time to time).</w:t>
      </w:r>
    </w:p>
    <w:p>
      <w:pPr>
        <w:spacing w:after="0" w:line="5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w:t>
      </w:r>
    </w:p>
    <w:p>
      <w:pPr>
        <w:spacing w:after="0" w:line="117" w:lineRule="exact"/>
        <w:rPr>
          <w:rFonts w:ascii="Arial" w:cs="Arial" w:eastAsia="Arial" w:hAnsi="Arial"/>
          <w:sz w:val="18"/>
          <w:szCs w:val="18"/>
          <w:color w:val="auto"/>
        </w:rPr>
      </w:pPr>
    </w:p>
    <w:p>
      <w:pPr>
        <w:ind w:left="460" w:right="60"/>
        <w:spacing w:after="0" w:line="25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ANR-Challenged Dealer</w:t>
      </w:r>
      <w:r>
        <w:rPr>
          <w:rFonts w:ascii="Arial" w:cs="Arial" w:eastAsia="Arial" w:hAnsi="Arial"/>
          <w:sz w:val="18"/>
          <w:szCs w:val="18"/>
          <w:color w:val="auto"/>
        </w:rPr>
        <w:t>” herein shall mean, with respect to a Program Year, the average outstanding principal balance of all Wholesale Instruments due Red Iron from all Challenged Dealers, determined by aggregating the “</w:t>
      </w:r>
      <w:r>
        <w:rPr>
          <w:rFonts w:ascii="Arial" w:cs="Arial" w:eastAsia="Arial" w:hAnsi="Arial"/>
          <w:sz w:val="18"/>
          <w:szCs w:val="18"/>
          <w:b w:val="1"/>
          <w:bCs w:val="1"/>
          <w:color w:val="auto"/>
        </w:rPr>
        <w:t>Monthly ADB-Challenged Dealer</w:t>
      </w:r>
      <w:r>
        <w:rPr>
          <w:rFonts w:ascii="Arial" w:cs="Arial" w:eastAsia="Arial" w:hAnsi="Arial"/>
          <w:sz w:val="18"/>
          <w:szCs w:val="18"/>
          <w:color w:val="auto"/>
        </w:rPr>
        <w:t>” (which shall mean, with respect to any month, the aggregate outstanding principal balance of all Wholesale Instruments due Red Iron from all Challenged Dealers each day during such calendar month divided by the number of days in such calendar month) for each month in such Program Year and dividing such aggregated amount by 12.</w:t>
      </w:r>
    </w:p>
    <w:p>
      <w:pPr>
        <w:spacing w:after="0" w:line="75" w:lineRule="exact"/>
        <w:rPr>
          <w:rFonts w:ascii="Arial" w:cs="Arial" w:eastAsia="Arial" w:hAnsi="Arial"/>
          <w:sz w:val="18"/>
          <w:szCs w:val="18"/>
          <w:color w:val="auto"/>
        </w:rPr>
      </w:pPr>
    </w:p>
    <w:p>
      <w:pPr>
        <w:ind w:left="460" w:right="20"/>
        <w:spacing w:after="0" w:line="281"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ANR-Dealer</w:t>
      </w:r>
      <w:r>
        <w:rPr>
          <w:rFonts w:ascii="Arial" w:cs="Arial" w:eastAsia="Arial" w:hAnsi="Arial"/>
          <w:sz w:val="17"/>
          <w:szCs w:val="17"/>
          <w:color w:val="auto"/>
        </w:rPr>
        <w:t>” herein shall mean, with respect to a Program Year, the average outstanding principal balance of all Wholesale Instruments due Red Iron from all Dealers, determined by aggregating the “</w:t>
      </w:r>
      <w:r>
        <w:rPr>
          <w:rFonts w:ascii="Arial" w:cs="Arial" w:eastAsia="Arial" w:hAnsi="Arial"/>
          <w:sz w:val="17"/>
          <w:szCs w:val="17"/>
          <w:b w:val="1"/>
          <w:bCs w:val="1"/>
          <w:color w:val="auto"/>
        </w:rPr>
        <w:t>Monthly ADB-Dealer</w:t>
      </w:r>
      <w:r>
        <w:rPr>
          <w:rFonts w:ascii="Arial" w:cs="Arial" w:eastAsia="Arial" w:hAnsi="Arial"/>
          <w:sz w:val="17"/>
          <w:szCs w:val="17"/>
          <w:color w:val="auto"/>
        </w:rPr>
        <w:t>” (which shall mean, with respect to any month, the aggregate outstanding principal balance of all Wholesale Instruments due Red Iron from all Dealers each day during such calendar month divided by the number of days in such calendar month) for each month in such Program Year and dividing such aggregated amount by 12.</w:t>
      </w:r>
    </w:p>
    <w:p>
      <w:pPr>
        <w:spacing w:after="0" w:line="56" w:lineRule="exact"/>
        <w:rPr>
          <w:rFonts w:ascii="Arial" w:cs="Arial" w:eastAsia="Arial" w:hAnsi="Arial"/>
          <w:sz w:val="18"/>
          <w:szCs w:val="18"/>
          <w:color w:val="auto"/>
        </w:rPr>
      </w:pPr>
    </w:p>
    <w:p>
      <w:pPr>
        <w:ind w:left="460" w:right="14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ANR-Program Year</w:t>
      </w:r>
      <w:r>
        <w:rPr>
          <w:rFonts w:ascii="Arial" w:cs="Arial" w:eastAsia="Arial" w:hAnsi="Arial"/>
          <w:sz w:val="18"/>
          <w:szCs w:val="18"/>
          <w:color w:val="auto"/>
        </w:rPr>
        <w:t>” herein shall mean, with respect to a Program Year, the average outstanding principal balance of all Wholesale Instruments due Red Iron from all Dealers and Distributors, determined by aggregating the “</w:t>
      </w:r>
      <w:r>
        <w:rPr>
          <w:rFonts w:ascii="Arial" w:cs="Arial" w:eastAsia="Arial" w:hAnsi="Arial"/>
          <w:sz w:val="18"/>
          <w:szCs w:val="18"/>
          <w:b w:val="1"/>
          <w:bCs w:val="1"/>
          <w:color w:val="auto"/>
        </w:rPr>
        <w:t>Monthly ADB-Program Year</w:t>
      </w:r>
      <w:r>
        <w:rPr>
          <w:rFonts w:ascii="Arial" w:cs="Arial" w:eastAsia="Arial" w:hAnsi="Arial"/>
          <w:sz w:val="18"/>
          <w:szCs w:val="18"/>
          <w:color w:val="auto"/>
        </w:rPr>
        <w:t>” (which shall mean, with respect to any month, the aggregate outstanding principal balance of all Wholesale Instruments due Red Iron from all Dealers and Distributors each day during such calendar month divided by the number of days in such calendar month)</w:t>
      </w:r>
    </w:p>
    <w:p>
      <w:pPr>
        <w:spacing w:after="0" w:line="184" w:lineRule="exact"/>
        <w:rPr>
          <w:sz w:val="20"/>
          <w:szCs w:val="20"/>
          <w:color w:val="auto"/>
        </w:rPr>
      </w:pPr>
    </w:p>
    <w:p>
      <w:pPr>
        <w:ind w:right="320" w:firstLine="8"/>
        <w:spacing w:after="0" w:line="277"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ectPr>
          <w:pgSz w:w="11900" w:h="16838" w:orient="portrait"/>
          <w:cols w:equalWidth="0" w:num="1">
            <w:col w:w="11420"/>
          </w:cols>
          <w:pgMar w:left="240" w:top="121" w:right="239" w:bottom="1440" w:gutter="0" w:footer="0" w:header="0"/>
        </w:sectPr>
      </w:pPr>
    </w:p>
    <w:bookmarkStart w:id="5" w:name="page6"/>
    <w:bookmarkEnd w:id="5"/>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each month in such Program Year and dividing such aggregated amount by 12.</w:t>
      </w:r>
    </w:p>
    <w:p>
      <w:pPr>
        <w:spacing w:after="0" w:line="113" w:lineRule="exact"/>
        <w:rPr>
          <w:sz w:val="20"/>
          <w:szCs w:val="20"/>
          <w:color w:val="auto"/>
        </w:rPr>
      </w:pPr>
    </w:p>
    <w:p>
      <w:pPr>
        <w:ind w:left="452"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herein shall mean Red Iron’s agreement, whether in writing, by electronic transmission or orally (provided, however, that such oral agreement be promptly confirmed in writing), to provide floorplan inventory financing for the sale of Inventory by Seller or an affiliate of Seller to a Dealer or Distributor, which agreement shall be in effect for a period of sixty (60) days from the date issued.</w:t>
      </w:r>
    </w:p>
    <w:p>
      <w:pPr>
        <w:spacing w:after="0" w:line="68" w:lineRule="exact"/>
        <w:rPr>
          <w:sz w:val="20"/>
          <w:szCs w:val="20"/>
          <w:color w:val="auto"/>
        </w:rPr>
      </w:pPr>
    </w:p>
    <w:p>
      <w:pPr>
        <w:jc w:val="both"/>
        <w:ind w:left="452"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 Target</w:t>
      </w:r>
      <w:r>
        <w:rPr>
          <w:rFonts w:ascii="Arial" w:cs="Arial" w:eastAsia="Arial" w:hAnsi="Arial"/>
          <w:sz w:val="18"/>
          <w:szCs w:val="18"/>
          <w:color w:val="auto"/>
        </w:rPr>
        <w:t>” herein shall mean the classified asset reserve target already determined prior to the date of this Agreement by Seller and Red Iron for Program Year 2016, and for each Program Year thereafter, the amount determined at the beginning of such Program Year, equal to [***], or (iii) such amount as mutually determined by Seller and Red Iron.</w:t>
      </w:r>
    </w:p>
    <w:p>
      <w:pPr>
        <w:spacing w:after="0" w:line="6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Challenged Dealer</w:t>
      </w:r>
      <w:r>
        <w:rPr>
          <w:rFonts w:ascii="Arial" w:cs="Arial" w:eastAsia="Arial" w:hAnsi="Arial"/>
          <w:sz w:val="16"/>
          <w:szCs w:val="16"/>
          <w:color w:val="auto"/>
        </w:rPr>
        <w:t>” herein shall mean a Dealer or Distributor determined by Red Iron [***] pursuant to Red Iron’s policies and procedures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40" w:lineRule="exact"/>
        <w:rPr>
          <w:sz w:val="20"/>
          <w:szCs w:val="20"/>
          <w:color w:val="auto"/>
        </w:rPr>
      </w:pPr>
    </w:p>
    <w:p>
      <w:pPr>
        <w:ind w:left="452"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w:t>
      </w:r>
      <w:r>
        <w:rPr>
          <w:rFonts w:ascii="Arial" w:cs="Arial" w:eastAsia="Arial" w:hAnsi="Arial"/>
          <w:sz w:val="18"/>
          <w:szCs w:val="18"/>
          <w:color w:val="auto"/>
        </w:rPr>
        <w:t>” herein shall mean any person, firm or corporation which buys Inventory at wholesale from Seller or an affiliate of Seller and sells Inventory at retail.</w:t>
      </w:r>
    </w:p>
    <w:p>
      <w:pPr>
        <w:spacing w:after="0" w:line="54" w:lineRule="exact"/>
        <w:rPr>
          <w:sz w:val="20"/>
          <w:szCs w:val="20"/>
          <w:color w:val="auto"/>
        </w:rPr>
      </w:pPr>
    </w:p>
    <w:p>
      <w:pPr>
        <w:ind w:left="45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Dealer/Distributor Demo/Rental Inventory</w:t>
      </w:r>
      <w:r>
        <w:rPr>
          <w:rFonts w:ascii="Arial" w:cs="Arial" w:eastAsia="Arial" w:hAnsi="Arial"/>
          <w:sz w:val="18"/>
          <w:szCs w:val="18"/>
          <w:color w:val="auto"/>
        </w:rPr>
        <w:t>” herein shall mean Inventory covered by a Dealer Invoice, Distributor Invoice or a Distributor to Dealer Invoice, which indicates (either by a terms code or other means) that such Inventory is eligible to be used by a Dealer or Distributor for rental or extended demonstration purposes.</w:t>
      </w:r>
    </w:p>
    <w:p>
      <w:pPr>
        <w:spacing w:after="0" w:line="68" w:lineRule="exact"/>
        <w:rPr>
          <w:sz w:val="20"/>
          <w:szCs w:val="20"/>
          <w:color w:val="auto"/>
        </w:rPr>
      </w:pPr>
    </w:p>
    <w:p>
      <w:pPr>
        <w:ind w:left="452"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 Invoice</w:t>
      </w:r>
      <w:r>
        <w:rPr>
          <w:rFonts w:ascii="Arial" w:cs="Arial" w:eastAsia="Arial" w:hAnsi="Arial"/>
          <w:sz w:val="18"/>
          <w:szCs w:val="18"/>
          <w:color w:val="auto"/>
        </w:rPr>
        <w:t>” herein shall mean an invoice, bill of sale or other evidence, whether in writing or electronically transmitted, of the sale or delivery of Inventory by Seller or an affiliate of Seller to a Dealer.</w:t>
      </w:r>
    </w:p>
    <w:p>
      <w:pPr>
        <w:spacing w:after="0" w:line="54" w:lineRule="exact"/>
        <w:rPr>
          <w:sz w:val="20"/>
          <w:szCs w:val="20"/>
          <w:color w:val="auto"/>
        </w:rPr>
      </w:pPr>
    </w:p>
    <w:p>
      <w:pPr>
        <w:ind w:left="452"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herein shall mean any person, firm, corporation or buying group which buys Inventory from Seller or an affiliate of Seller and sells Inventory at wholesale.</w:t>
      </w:r>
    </w:p>
    <w:p>
      <w:pPr>
        <w:spacing w:after="0" w:line="54" w:lineRule="exact"/>
        <w:rPr>
          <w:sz w:val="20"/>
          <w:szCs w:val="20"/>
          <w:color w:val="auto"/>
        </w:rPr>
      </w:pPr>
    </w:p>
    <w:p>
      <w:pPr>
        <w:ind w:left="45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Dealer</w:t>
      </w:r>
      <w:r>
        <w:rPr>
          <w:rFonts w:ascii="Arial" w:cs="Arial" w:eastAsia="Arial" w:hAnsi="Arial"/>
          <w:sz w:val="18"/>
          <w:szCs w:val="18"/>
          <w:color w:val="auto"/>
        </w:rPr>
        <w:t>” herein shall mean any person, firm or corporation which buys Inventory at wholesale from a Distributor and sells Inventory at retail.</w:t>
      </w:r>
    </w:p>
    <w:p>
      <w:pPr>
        <w:spacing w:after="0" w:line="54" w:lineRule="exact"/>
        <w:rPr>
          <w:sz w:val="20"/>
          <w:szCs w:val="20"/>
          <w:color w:val="auto"/>
        </w:rPr>
      </w:pPr>
    </w:p>
    <w:p>
      <w:pPr>
        <w:ind w:left="452"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Invoice</w:t>
      </w:r>
      <w:r>
        <w:rPr>
          <w:rFonts w:ascii="Arial" w:cs="Arial" w:eastAsia="Arial" w:hAnsi="Arial"/>
          <w:sz w:val="18"/>
          <w:szCs w:val="18"/>
          <w:color w:val="auto"/>
        </w:rPr>
        <w:t>” herein shall mean an invoice, bill of sale or other evidence, whether in writing or electronically transmitted, of the sale or delivery of Inventory by Seller or an affiliate of Seller to a Distributor.</w:t>
      </w:r>
    </w:p>
    <w:p>
      <w:pPr>
        <w:spacing w:after="0" w:line="54" w:lineRule="exact"/>
        <w:rPr>
          <w:sz w:val="20"/>
          <w:szCs w:val="20"/>
          <w:color w:val="auto"/>
        </w:rPr>
      </w:pPr>
    </w:p>
    <w:p>
      <w:pPr>
        <w:ind w:left="452"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to Dealer Invoice</w:t>
      </w:r>
      <w:r>
        <w:rPr>
          <w:rFonts w:ascii="Arial" w:cs="Arial" w:eastAsia="Arial" w:hAnsi="Arial"/>
          <w:sz w:val="18"/>
          <w:szCs w:val="18"/>
          <w:color w:val="auto"/>
        </w:rPr>
        <w:t>” herein shall mean an invoice, bill of sale or other evidence, whether in writing or electronically transmitted, of the sale or delivery of Inventory by a Distributor to a Dealer or a Distributor Dealer.</w:t>
      </w:r>
    </w:p>
    <w:p>
      <w:pPr>
        <w:spacing w:after="0" w:line="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Account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9(a)</w:t>
      </w:r>
      <w:r>
        <w:rPr>
          <w:rFonts w:ascii="Arial" w:cs="Arial" w:eastAsia="Arial" w:hAnsi="Arial"/>
          <w:sz w:val="18"/>
          <w:szCs w:val="18"/>
          <w:color w:val="auto"/>
        </w:rPr>
        <w:t>.</w:t>
      </w:r>
    </w:p>
    <w:p>
      <w:pPr>
        <w:spacing w:after="0" w:line="117" w:lineRule="exact"/>
        <w:rPr>
          <w:sz w:val="20"/>
          <w:szCs w:val="20"/>
          <w:color w:val="auto"/>
        </w:rPr>
      </w:pPr>
    </w:p>
    <w:p>
      <w:pPr>
        <w:jc w:val="both"/>
        <w:ind w:left="452"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w:t>
      </w:r>
      <w:r>
        <w:rPr>
          <w:rFonts w:ascii="Arial" w:cs="Arial" w:eastAsia="Arial" w:hAnsi="Arial"/>
          <w:sz w:val="18"/>
          <w:szCs w:val="18"/>
          <w:color w:val="auto"/>
        </w:rPr>
        <w:t xml:space="preserve">” herein shall mean a Dealer or a Distributor that has requested financing from Red Iron, does not meet the criteria set by the credit and operational policies of Red Iron, but nevertheless is approved by Red Iron for financing in reliance on the FLR Account in accordance with the provisions of </w:t>
      </w:r>
      <w:r>
        <w:rPr>
          <w:rFonts w:ascii="Arial" w:cs="Arial" w:eastAsia="Arial" w:hAnsi="Arial"/>
          <w:sz w:val="18"/>
          <w:szCs w:val="18"/>
          <w:b w:val="1"/>
          <w:bCs w:val="1"/>
          <w:color w:val="auto"/>
        </w:rPr>
        <w:t>Section 9(b)</w:t>
      </w:r>
      <w:r>
        <w:rPr>
          <w:rFonts w:ascii="Arial" w:cs="Arial" w:eastAsia="Arial" w:hAnsi="Arial"/>
          <w:sz w:val="18"/>
          <w:szCs w:val="18"/>
          <w:color w:val="auto"/>
        </w:rPr>
        <w:t>.</w:t>
      </w:r>
    </w:p>
    <w:p>
      <w:pPr>
        <w:spacing w:after="0" w:line="6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 Net Reliance</w:t>
      </w:r>
      <w:r>
        <w:rPr>
          <w:rFonts w:ascii="Arial" w:cs="Arial" w:eastAsia="Arial" w:hAnsi="Arial"/>
          <w:sz w:val="18"/>
          <w:szCs w:val="18"/>
          <w:color w:val="auto"/>
        </w:rPr>
        <w:t>” herein shall mean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Accounts Limitation</w:t>
      </w:r>
      <w:r>
        <w:rPr>
          <w:rFonts w:ascii="Arial" w:cs="Arial" w:eastAsia="Arial" w:hAnsi="Arial"/>
          <w:sz w:val="18"/>
          <w:szCs w:val="18"/>
          <w:color w:val="auto"/>
        </w:rPr>
        <w:t>” shall occur if (i) the prospective designation of a Dealer or a</w:t>
      </w:r>
    </w:p>
    <w:p>
      <w:pPr>
        <w:spacing w:after="0" w:line="162" w:lineRule="exact"/>
        <w:rPr>
          <w:sz w:val="20"/>
          <w:szCs w:val="20"/>
          <w:color w:val="auto"/>
        </w:rPr>
      </w:pPr>
    </w:p>
    <w:p>
      <w:pPr>
        <w:ind w:left="-8" w:right="280" w:firstLine="8"/>
        <w:spacing w:after="0" w:line="277" w:lineRule="auto"/>
        <w:tabs>
          <w:tab w:leader="none" w:pos="42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2 of 13</w:t>
      </w:r>
    </w:p>
    <w:p>
      <w:pPr>
        <w:sectPr>
          <w:pgSz w:w="11900" w:h="16838" w:orient="portrait"/>
          <w:cols w:equalWidth="0" w:num="1">
            <w:col w:w="11372"/>
          </w:cols>
          <w:pgMar w:left="248" w:top="274" w:right="279" w:bottom="1440" w:gutter="0" w:footer="0" w:header="0"/>
        </w:sectPr>
      </w:pPr>
    </w:p>
    <w:bookmarkStart w:id="6" w:name="page7"/>
    <w:bookmarkEnd w:id="6"/>
    <w:p>
      <w:pPr>
        <w:ind w:left="452" w:right="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Distributor as an FLR Reliant Account would [</w:t>
      </w:r>
      <w:r>
        <w:rPr>
          <w:rFonts w:ascii="Arial" w:cs="Arial" w:eastAsia="Arial" w:hAnsi="Arial"/>
          <w:sz w:val="18"/>
          <w:szCs w:val="18"/>
          <w:b w:val="1"/>
          <w:bCs w:val="1"/>
          <w:color w:val="auto"/>
        </w:rPr>
        <w:t>***</w:t>
      </w:r>
      <w:r>
        <w:rPr>
          <w:rFonts w:ascii="Arial" w:cs="Arial" w:eastAsia="Arial" w:hAnsi="Arial"/>
          <w:sz w:val="18"/>
          <w:szCs w:val="18"/>
          <w:color w:val="auto"/>
        </w:rPr>
        <w:t>], or (ii) the projected FLR Reliant Account Net Reliance for such prospective FLR Reliant Account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4" w:lineRule="exact"/>
        <w:rPr>
          <w:sz w:val="20"/>
          <w:szCs w:val="20"/>
          <w:color w:val="auto"/>
        </w:rPr>
      </w:pPr>
    </w:p>
    <w:p>
      <w:pPr>
        <w:ind w:left="452"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Accounts Net Reliance Total</w:t>
      </w:r>
      <w:r>
        <w:rPr>
          <w:rFonts w:ascii="Arial" w:cs="Arial" w:eastAsia="Arial" w:hAnsi="Arial"/>
          <w:sz w:val="18"/>
          <w:szCs w:val="18"/>
          <w:color w:val="auto"/>
        </w:rPr>
        <w:t>” herein shall mean the sum of the FLR Reliant Account Net Reliance for each of the FLR Reliant Accounts including the prospective FLR Reliant Account under consideration at the time such calculation is made.</w:t>
      </w:r>
    </w:p>
    <w:p>
      <w:pPr>
        <w:spacing w:after="0" w:line="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117" w:lineRule="exact"/>
        <w:rPr>
          <w:sz w:val="20"/>
          <w:szCs w:val="20"/>
          <w:color w:val="auto"/>
        </w:rPr>
      </w:pPr>
    </w:p>
    <w:p>
      <w:pPr>
        <w:ind w:left="452"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herein shall mean any and all products, including parts and accessories, software and related services manufactured, distributed or sold at wholesale by Seller or an affiliate of Seller.</w:t>
      </w:r>
    </w:p>
    <w:p>
      <w:pPr>
        <w:spacing w:after="0" w:line="54" w:lineRule="exact"/>
        <w:rPr>
          <w:sz w:val="20"/>
          <w:szCs w:val="20"/>
          <w:color w:val="auto"/>
        </w:rPr>
      </w:pPr>
    </w:p>
    <w:p>
      <w:pPr>
        <w:ind w:left="452" w:right="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Invoice</w:t>
      </w:r>
      <w:r>
        <w:rPr>
          <w:rFonts w:ascii="Arial" w:cs="Arial" w:eastAsia="Arial" w:hAnsi="Arial"/>
          <w:sz w:val="17"/>
          <w:szCs w:val="17"/>
          <w:color w:val="auto"/>
        </w:rPr>
        <w:t>” herein shall mean (i) a Dealer Invoice, (ii) a Distributor Invoice, (iii) a Distributor to Dealer Invoice, (iv) evidence of Red Iron’s financing of used Inventory which used Inventory was owned by an end-user customer and sold by such end-user customer to a Dealer or Distributor as full or partial payment by such end-user customer for the purchase by such end-user customer of a new item of Inventory from such Dealer or Distributor (“</w:t>
      </w:r>
      <w:r>
        <w:rPr>
          <w:rFonts w:ascii="Arial" w:cs="Arial" w:eastAsia="Arial" w:hAnsi="Arial"/>
          <w:sz w:val="17"/>
          <w:szCs w:val="17"/>
          <w:b w:val="1"/>
          <w:bCs w:val="1"/>
          <w:color w:val="auto"/>
        </w:rPr>
        <w:t>Trade-In Invoice</w:t>
      </w:r>
      <w:r>
        <w:rPr>
          <w:rFonts w:ascii="Arial" w:cs="Arial" w:eastAsia="Arial" w:hAnsi="Arial"/>
          <w:sz w:val="17"/>
          <w:szCs w:val="17"/>
          <w:color w:val="auto"/>
        </w:rPr>
        <w:t>”) or (v) evidence of Red Iron’s financing of used Inventory which used Inventory was owned by a lessor and sold, when it came off lease, by such lessor to a Dealer or Distributor (“</w:t>
      </w:r>
      <w:r>
        <w:rPr>
          <w:rFonts w:ascii="Arial" w:cs="Arial" w:eastAsia="Arial" w:hAnsi="Arial"/>
          <w:sz w:val="17"/>
          <w:szCs w:val="17"/>
          <w:b w:val="1"/>
          <w:bCs w:val="1"/>
          <w:color w:val="auto"/>
        </w:rPr>
        <w:t>Off-Lease Invoice</w:t>
      </w:r>
      <w:r>
        <w:rPr>
          <w:rFonts w:ascii="Arial" w:cs="Arial" w:eastAsia="Arial" w:hAnsi="Arial"/>
          <w:sz w:val="17"/>
          <w:szCs w:val="17"/>
          <w:color w:val="auto"/>
        </w:rPr>
        <w:t>”), either collectively or individually, as the case may be.</w:t>
      </w:r>
    </w:p>
    <w:p>
      <w:pPr>
        <w:spacing w:after="0" w:line="60" w:lineRule="exact"/>
        <w:rPr>
          <w:sz w:val="20"/>
          <w:szCs w:val="20"/>
          <w:color w:val="auto"/>
        </w:rPr>
      </w:pPr>
    </w:p>
    <w:p>
      <w:pPr>
        <w:ind w:left="452"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LGD Percent</w:t>
      </w:r>
      <w:r>
        <w:rPr>
          <w:rFonts w:ascii="Arial" w:cs="Arial" w:eastAsia="Arial" w:hAnsi="Arial"/>
          <w:sz w:val="18"/>
          <w:szCs w:val="18"/>
          <w:color w:val="auto"/>
        </w:rPr>
        <w:t>” herein shall mean, the percentage calculated at the beginning of Program Year 2016 and each Program Year thereafter, for such Program Year, which percentage is determined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4" w:lineRule="exact"/>
        <w:rPr>
          <w:sz w:val="20"/>
          <w:szCs w:val="20"/>
          <w:color w:val="auto"/>
        </w:rPr>
      </w:pPr>
    </w:p>
    <w:p>
      <w:pPr>
        <w:ind w:left="452"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herein shall mean for any Program Year beginning with Program Year 2016 and each Program Year thereafter: (i) (A) the total unpaid balance of all Wholesale Instruments due to Red Iron from all Dealers and Distributors during such Program Year (including without limitation for Inventory sold out of trust) which are charged-off in accordance with Red Iron’s accounting policies; plus (B) interest and other charges related to such Wholesale Instruments; plus (C) all costs and expenses incurred by Red Iron with respect to the collection of such Wholesale Instruments including without limitation all attorneys’ fees, bankruptcy and other court costs, less (ii) the amount of any recoveries received by Red Iron for any Wholesale Instruments [</w:t>
      </w:r>
      <w:r>
        <w:rPr>
          <w:rFonts w:ascii="Arial" w:cs="Arial" w:eastAsia="Arial" w:hAnsi="Arial"/>
          <w:sz w:val="17"/>
          <w:szCs w:val="17"/>
          <w:b w:val="1"/>
          <w:bCs w:val="1"/>
          <w:color w:val="auto"/>
        </w:rPr>
        <w:t>***</w:t>
      </w:r>
      <w:r>
        <w:rPr>
          <w:rFonts w:ascii="Arial" w:cs="Arial" w:eastAsia="Arial" w:hAnsi="Arial"/>
          <w:sz w:val="17"/>
          <w:szCs w:val="17"/>
          <w:color w:val="auto"/>
        </w:rPr>
        <w:t>] or a subsequent Program Year. For the avoidance of doubt, Red Iron shall not credit any recoveries received by Red Iron related to losses which were incurred by Red Iron prior to Program Year 2016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64" w:lineRule="exact"/>
        <w:rPr>
          <w:sz w:val="20"/>
          <w:szCs w:val="20"/>
          <w:color w:val="auto"/>
        </w:rPr>
      </w:pPr>
    </w:p>
    <w:p>
      <w:pPr>
        <w:ind w:left="45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Dealer Liquidations</w:t>
      </w:r>
      <w:r>
        <w:rPr>
          <w:rFonts w:ascii="Arial" w:cs="Arial" w:eastAsia="Arial" w:hAnsi="Arial"/>
          <w:sz w:val="17"/>
          <w:szCs w:val="17"/>
          <w:color w:val="auto"/>
        </w:rPr>
        <w:t>” herein shall mean the total dollar amount collected by Red Iron from Dealers in a Program Year, divided by 12.</w:t>
      </w:r>
    </w:p>
    <w:p>
      <w:pPr>
        <w:spacing w:after="0" w:line="1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Repurchase Limit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4(a)</w:t>
      </w:r>
      <w:r>
        <w:rPr>
          <w:rFonts w:ascii="Arial" w:cs="Arial" w:eastAsia="Arial" w:hAnsi="Arial"/>
          <w:sz w:val="18"/>
          <w:szCs w:val="18"/>
          <w:color w:val="auto"/>
        </w:rPr>
        <w:t>.</w:t>
      </w:r>
    </w:p>
    <w:p>
      <w:pPr>
        <w:spacing w:after="0" w:line="117" w:lineRule="exact"/>
        <w:rPr>
          <w:sz w:val="20"/>
          <w:szCs w:val="20"/>
          <w:color w:val="auto"/>
        </w:rPr>
      </w:pPr>
    </w:p>
    <w:p>
      <w:pPr>
        <w:ind w:left="45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Inventory</w:t>
      </w:r>
      <w:r>
        <w:rPr>
          <w:rFonts w:ascii="Arial" w:cs="Arial" w:eastAsia="Arial" w:hAnsi="Arial"/>
          <w:sz w:val="18"/>
          <w:szCs w:val="18"/>
          <w:color w:val="auto"/>
        </w:rPr>
        <w:t>” herein shall mean Inventory covered by an Off Lease Invoice, which indicates (either by a terms code or other means) that such Invoice is eligible as an Off-Lease Invoice.</w:t>
      </w:r>
    </w:p>
    <w:p>
      <w:pPr>
        <w:spacing w:after="0" w:line="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Invoice</w:t>
      </w:r>
      <w:r>
        <w:rPr>
          <w:rFonts w:ascii="Arial" w:cs="Arial" w:eastAsia="Arial" w:hAnsi="Arial"/>
          <w:sz w:val="18"/>
          <w:szCs w:val="18"/>
          <w:color w:val="auto"/>
        </w:rPr>
        <w:t>” herein shall have the meaning provided in the definition of “</w:t>
      </w:r>
      <w:r>
        <w:rPr>
          <w:rFonts w:ascii="Arial" w:cs="Arial" w:eastAsia="Arial" w:hAnsi="Arial"/>
          <w:sz w:val="18"/>
          <w:szCs w:val="18"/>
          <w:b w:val="1"/>
          <w:bCs w:val="1"/>
          <w:color w:val="auto"/>
        </w:rPr>
        <w:t>Invoice</w:t>
      </w:r>
      <w:r>
        <w:rPr>
          <w:rFonts w:ascii="Arial" w:cs="Arial" w:eastAsia="Arial" w:hAnsi="Arial"/>
          <w:sz w:val="18"/>
          <w:szCs w:val="18"/>
          <w:color w:val="auto"/>
        </w:rPr>
        <w:t>”, subsection (v).</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 Year</w:t>
      </w:r>
      <w:r>
        <w:rPr>
          <w:rFonts w:ascii="Arial" w:cs="Arial" w:eastAsia="Arial" w:hAnsi="Arial"/>
          <w:sz w:val="18"/>
          <w:szCs w:val="18"/>
          <w:color w:val="auto"/>
        </w:rPr>
        <w:t>” herein shall mean the period between each January 1</w:t>
      </w:r>
      <w:r>
        <w:rPr>
          <w:rFonts w:ascii="Arial" w:cs="Arial" w:eastAsia="Arial" w:hAnsi="Arial"/>
          <w:sz w:val="15"/>
          <w:szCs w:val="15"/>
          <w:color w:val="auto"/>
        </w:rPr>
        <w:t>st</w:t>
      </w:r>
      <w:r>
        <w:rPr>
          <w:rFonts w:ascii="Arial" w:cs="Arial" w:eastAsia="Arial" w:hAnsi="Arial"/>
          <w:sz w:val="18"/>
          <w:szCs w:val="18"/>
          <w:color w:val="auto"/>
        </w:rPr>
        <w:t xml:space="preserve"> of a year through December 31</w:t>
      </w:r>
      <w:r>
        <w:rPr>
          <w:rFonts w:ascii="Arial" w:cs="Arial" w:eastAsia="Arial" w:hAnsi="Arial"/>
          <w:sz w:val="15"/>
          <w:szCs w:val="15"/>
          <w:color w:val="auto"/>
        </w:rPr>
        <w:t>st</w:t>
      </w:r>
      <w:r>
        <w:rPr>
          <w:rFonts w:ascii="Arial" w:cs="Arial" w:eastAsia="Arial" w:hAnsi="Arial"/>
          <w:sz w:val="18"/>
          <w:szCs w:val="18"/>
          <w:color w:val="auto"/>
        </w:rPr>
        <w:t xml:space="preserve"> of such same year.</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 Year 2016</w:t>
      </w:r>
      <w:r>
        <w:rPr>
          <w:rFonts w:ascii="Arial" w:cs="Arial" w:eastAsia="Arial" w:hAnsi="Arial"/>
          <w:sz w:val="18"/>
          <w:szCs w:val="18"/>
          <w:color w:val="auto"/>
        </w:rPr>
        <w:t>” herein shall mean January 1, 2016 through December 31, 2016, and “</w:t>
      </w:r>
      <w:r>
        <w:rPr>
          <w:rFonts w:ascii="Arial" w:cs="Arial" w:eastAsia="Arial" w:hAnsi="Arial"/>
          <w:sz w:val="18"/>
          <w:szCs w:val="18"/>
          <w:b w:val="1"/>
          <w:bCs w:val="1"/>
          <w:color w:val="auto"/>
        </w:rPr>
        <w:t>Program</w:t>
      </w:r>
    </w:p>
    <w:p>
      <w:pPr>
        <w:spacing w:after="0" w:line="162" w:lineRule="exact"/>
        <w:rPr>
          <w:sz w:val="20"/>
          <w:szCs w:val="20"/>
          <w:color w:val="auto"/>
        </w:rPr>
      </w:pPr>
    </w:p>
    <w:p>
      <w:pPr>
        <w:ind w:left="-8" w:right="320" w:firstLine="8"/>
        <w:spacing w:after="0" w:line="277" w:lineRule="auto"/>
        <w:tabs>
          <w:tab w:leader="none" w:pos="42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13</w:t>
      </w:r>
    </w:p>
    <w:p>
      <w:pPr>
        <w:sectPr>
          <w:pgSz w:w="11900" w:h="16838" w:orient="portrait"/>
          <w:cols w:equalWidth="0" w:num="1">
            <w:col w:w="11412"/>
          </w:cols>
          <w:pgMar w:left="248" w:top="270" w:right="239" w:bottom="1440" w:gutter="0" w:footer="0" w:header="0"/>
        </w:sectPr>
      </w:pPr>
    </w:p>
    <w:bookmarkStart w:id="7" w:name="page8"/>
    <w:bookmarkEnd w:id="7"/>
    <w:p>
      <w:pPr>
        <w:ind w:left="45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2017</w:t>
      </w:r>
      <w:r>
        <w:rPr>
          <w:rFonts w:ascii="Arial" w:cs="Arial" w:eastAsia="Arial" w:hAnsi="Arial"/>
          <w:sz w:val="16"/>
          <w:szCs w:val="16"/>
          <w:color w:val="auto"/>
        </w:rPr>
        <w:t>” herein shall mean January 1, 2017 through December 31, 2017, and each successive Program Year shall be successively numbered.</w:t>
      </w:r>
    </w:p>
    <w:p>
      <w:pPr>
        <w:spacing w:after="0" w:line="14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 Iron</w:t>
      </w:r>
      <w:r>
        <w:rPr>
          <w:rFonts w:ascii="Arial" w:cs="Arial" w:eastAsia="Arial" w:hAnsi="Arial"/>
          <w:sz w:val="18"/>
          <w:szCs w:val="18"/>
          <w:color w:val="auto"/>
        </w:rPr>
        <w:t>” is defined in the preamble.</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is defined in the preamble.</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TCFCF</w:t>
      </w:r>
      <w:r>
        <w:rPr>
          <w:rFonts w:ascii="Arial" w:cs="Arial" w:eastAsia="Arial" w:hAnsi="Arial"/>
          <w:sz w:val="18"/>
          <w:szCs w:val="18"/>
          <w:color w:val="auto"/>
        </w:rPr>
        <w:t>” shall mean TCF Commercial Finance Canada, Inc., a corporation incorporated pursuant to the federal laws of Canada.</w:t>
      </w:r>
    </w:p>
    <w:p>
      <w:pPr>
        <w:spacing w:after="0" w:line="117" w:lineRule="exact"/>
        <w:rPr>
          <w:sz w:val="20"/>
          <w:szCs w:val="20"/>
          <w:color w:val="auto"/>
        </w:rPr>
      </w:pPr>
    </w:p>
    <w:p>
      <w:pPr>
        <w:ind w:left="452"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Inventory</w:t>
      </w:r>
      <w:r>
        <w:rPr>
          <w:rFonts w:ascii="Arial" w:cs="Arial" w:eastAsia="Arial" w:hAnsi="Arial"/>
          <w:sz w:val="18"/>
          <w:szCs w:val="18"/>
          <w:color w:val="auto"/>
        </w:rPr>
        <w:t>” herein shall mean Inventory covered by a Trade-In Invoice, which indicates (either by a terms code or other means) that such Invoice is eligible as a Trade-Invoice.</w:t>
      </w:r>
    </w:p>
    <w:p>
      <w:pPr>
        <w:spacing w:after="0" w:line="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Invoice</w:t>
      </w:r>
      <w:r>
        <w:rPr>
          <w:rFonts w:ascii="Arial" w:cs="Arial" w:eastAsia="Arial" w:hAnsi="Arial"/>
          <w:sz w:val="18"/>
          <w:szCs w:val="18"/>
          <w:color w:val="auto"/>
        </w:rPr>
        <w:t>” herein shall have the meaning provided in the definition of “</w:t>
      </w:r>
      <w:r>
        <w:rPr>
          <w:rFonts w:ascii="Arial" w:cs="Arial" w:eastAsia="Arial" w:hAnsi="Arial"/>
          <w:sz w:val="18"/>
          <w:szCs w:val="18"/>
          <w:b w:val="1"/>
          <w:bCs w:val="1"/>
          <w:color w:val="auto"/>
        </w:rPr>
        <w:t>Invoice</w:t>
      </w:r>
      <w:r>
        <w:rPr>
          <w:rFonts w:ascii="Arial" w:cs="Arial" w:eastAsia="Arial" w:hAnsi="Arial"/>
          <w:sz w:val="18"/>
          <w:szCs w:val="18"/>
          <w:color w:val="auto"/>
        </w:rPr>
        <w:t>”, subsection (iv).</w:t>
      </w:r>
    </w:p>
    <w:p>
      <w:pPr>
        <w:spacing w:after="0" w:line="117" w:lineRule="exact"/>
        <w:rPr>
          <w:sz w:val="20"/>
          <w:szCs w:val="20"/>
          <w:color w:val="auto"/>
        </w:rPr>
      </w:pPr>
    </w:p>
    <w:p>
      <w:pPr>
        <w:ind w:left="452"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Wholesale Instrument</w:t>
      </w:r>
      <w:r>
        <w:rPr>
          <w:rFonts w:ascii="Arial" w:cs="Arial" w:eastAsia="Arial" w:hAnsi="Arial"/>
          <w:sz w:val="18"/>
          <w:szCs w:val="18"/>
          <w:color w:val="auto"/>
        </w:rPr>
        <w:t>” herein shall mean an invoice, billing statement, inventory schedule or other evidence of indebtedness, including the books and records of Red Iron, arising out of the financing by Red Iron of an Invoice.</w:t>
      </w:r>
    </w:p>
    <w:p>
      <w:pPr>
        <w:spacing w:after="0" w:line="314"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Financing Program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85" w:lineRule="auto"/>
        <w:tabs>
          <w:tab w:leader="none" w:pos="89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Inventory Financing Approvals</w:t>
      </w:r>
      <w:r>
        <w:rPr>
          <w:rFonts w:ascii="Arial" w:cs="Arial" w:eastAsia="Arial" w:hAnsi="Arial"/>
          <w:sz w:val="16"/>
          <w:szCs w:val="16"/>
          <w:color w:val="auto"/>
        </w:rPr>
        <w:t xml:space="preserve">. If Seller or an affiliate of Seller requests an Approval or sends to Red Iron an Invoice, and the Dealer or Distributor related to such Approval or Invoice is eligible for inventory financing in accordance with the credit and operational policies of Red Iron or has been designated as an FLR Reliant Account in accordance with the provisions of </w:t>
      </w:r>
      <w:r>
        <w:rPr>
          <w:rFonts w:ascii="Arial" w:cs="Arial" w:eastAsia="Arial" w:hAnsi="Arial"/>
          <w:sz w:val="16"/>
          <w:szCs w:val="16"/>
          <w:b w:val="1"/>
          <w:bCs w:val="1"/>
          <w:color w:val="auto"/>
        </w:rPr>
        <w:t>Section 9(b)</w:t>
      </w:r>
      <w:r>
        <w:rPr>
          <w:rFonts w:ascii="Arial" w:cs="Arial" w:eastAsia="Arial" w:hAnsi="Arial"/>
          <w:sz w:val="16"/>
          <w:szCs w:val="16"/>
          <w:color w:val="auto"/>
        </w:rPr>
        <w:t>, then Red Iron shall, from time to time in its commercially reasonable discretion consistent with such credit and operational policies, issue such Approvals and Advances against such Invoices, all under the terms of this Agreement. Upon issuance of an Approval by Red Iron, Seller shall (or, as applicable, shall cause its affiliate to) deliver an original Invoice to Red Iron. Provided Red Iron receives the Invoice within 60 days of the date Red Iron issued the Approval and within 30 days of the ship date referred to in the Invoice, Red Iron shall Advance to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with respect to Invoices and Approvals issued by Red Iron as provided hereunder shall constitute an acceptance of the terms and conditions hereof by Seller (for itself or on behalf of its affiliate, as applicable) and Red Iron, and no other act or notice shall be required on the part of Red Iron or Seller or its affiliate, as applicable, to entitle such Advances and Approvals to the benefits of this Agreement. Red Iron may deduct, set-off, withhold or apply any sums from payments due to Seller (either on behalf of itself or its affiliate, as applicable) from Red Iron under this Agreement any sums or payments due to Red Iron from Seller or its affiliates in respect of any Advance to be made by Red Iron with respect to any Invoice. Seller and Red Iron may from time to time enter into written agreements for any Seller sponsored special financing program for Dealers or Distributors.</w:t>
      </w:r>
    </w:p>
    <w:p>
      <w:pPr>
        <w:spacing w:after="0" w:line="294" w:lineRule="exact"/>
        <w:rPr>
          <w:rFonts w:ascii="Arial" w:cs="Arial" w:eastAsia="Arial" w:hAnsi="Arial"/>
          <w:sz w:val="16"/>
          <w:szCs w:val="16"/>
          <w:color w:val="auto"/>
        </w:rPr>
      </w:pPr>
    </w:p>
    <w:p>
      <w:pPr>
        <w:ind w:left="892" w:right="80" w:hanging="446"/>
        <w:spacing w:after="0" w:line="277"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Effect of Payment</w:t>
      </w:r>
      <w:r>
        <w:rPr>
          <w:rFonts w:ascii="Arial" w:cs="Arial" w:eastAsia="Arial" w:hAnsi="Arial"/>
          <w:sz w:val="18"/>
          <w:szCs w:val="18"/>
          <w:color w:val="auto"/>
        </w:rPr>
        <w:t xml:space="preserve">. Upon Red Iron’s Advance to Seller or an affiliate of Seller of the amount of an Invoice pursuant to the terms of the preceding </w:t>
      </w:r>
      <w:r>
        <w:rPr>
          <w:rFonts w:ascii="Arial" w:cs="Arial" w:eastAsia="Arial" w:hAnsi="Arial"/>
          <w:sz w:val="18"/>
          <w:szCs w:val="18"/>
          <w:b w:val="1"/>
          <w:bCs w:val="1"/>
          <w:color w:val="auto"/>
        </w:rPr>
        <w:t>Section 2(a)</w:t>
      </w:r>
      <w:r>
        <w:rPr>
          <w:rFonts w:ascii="Arial" w:cs="Arial" w:eastAsia="Arial" w:hAnsi="Arial"/>
          <w:sz w:val="18"/>
          <w:szCs w:val="18"/>
          <w:color w:val="auto"/>
        </w:rPr>
        <w:t>, the obligation of the Dealer or</w:t>
      </w:r>
    </w:p>
    <w:p>
      <w:pPr>
        <w:spacing w:after="0" w:line="103" w:lineRule="exact"/>
        <w:rPr>
          <w:sz w:val="20"/>
          <w:szCs w:val="20"/>
          <w:color w:val="auto"/>
        </w:rPr>
      </w:pPr>
    </w:p>
    <w:p>
      <w:pPr>
        <w:ind w:left="-8" w:right="300" w:firstLine="8"/>
        <w:spacing w:after="0" w:line="277" w:lineRule="auto"/>
        <w:tabs>
          <w:tab w:leader="none" w:pos="42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4 of 13</w:t>
      </w:r>
    </w:p>
    <w:p>
      <w:pPr>
        <w:sectPr>
          <w:pgSz w:w="11900" w:h="16838" w:orient="portrait"/>
          <w:cols w:equalWidth="0" w:num="1">
            <w:col w:w="11392"/>
          </w:cols>
          <w:pgMar w:left="248" w:top="270" w:right="259" w:bottom="1440" w:gutter="0" w:footer="0" w:header="0"/>
        </w:sectPr>
      </w:pPr>
    </w:p>
    <w:bookmarkStart w:id="8" w:name="page9"/>
    <w:bookmarkEnd w:id="8"/>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Distributor, as applicable, to make payment under the terms of such Invoice to Seller or Seller’s affiliate, as applicable, shall be extinguished.</w:t>
      </w:r>
    </w:p>
    <w:p>
      <w:pPr>
        <w:spacing w:after="0" w:line="154" w:lineRule="exact"/>
        <w:rPr>
          <w:sz w:val="20"/>
          <w:szCs w:val="20"/>
          <w:color w:val="auto"/>
        </w:rPr>
      </w:pPr>
    </w:p>
    <w:p>
      <w:pPr>
        <w:jc w:val="both"/>
        <w:ind w:left="892" w:right="40" w:hanging="446"/>
        <w:spacing w:after="0" w:line="264"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Limited Power of Attorney</w:t>
      </w:r>
      <w:r>
        <w:rPr>
          <w:rFonts w:ascii="Arial" w:cs="Arial" w:eastAsia="Arial" w:hAnsi="Arial"/>
          <w:sz w:val="18"/>
          <w:szCs w:val="18"/>
          <w:color w:val="auto"/>
        </w:rPr>
        <w:t>. 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Repurchase of Inventory; Extended Service Contract Recourse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89" w:lineRule="auto"/>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Seller’s Repurchase of Inventory Sold by Seller or its Affiliates Directly to a Dealer or Distributor or otherwise financed by Red Iron</w:t>
      </w:r>
      <w:r>
        <w:rPr>
          <w:rFonts w:ascii="Arial" w:cs="Arial" w:eastAsia="Arial" w:hAnsi="Arial"/>
          <w:sz w:val="16"/>
          <w:szCs w:val="16"/>
          <w:color w:val="auto"/>
        </w:rPr>
        <w:t xml:space="preserve">. Subject to </w:t>
      </w:r>
      <w:r>
        <w:rPr>
          <w:rFonts w:ascii="Arial" w:cs="Arial" w:eastAsia="Arial" w:hAnsi="Arial"/>
          <w:sz w:val="16"/>
          <w:szCs w:val="16"/>
          <w:b w:val="1"/>
          <w:bCs w:val="1"/>
          <w:color w:val="auto"/>
        </w:rPr>
        <w:t>Section 4</w:t>
      </w:r>
      <w:r>
        <w:rPr>
          <w:rFonts w:ascii="Arial" w:cs="Arial" w:eastAsia="Arial" w:hAnsi="Arial"/>
          <w:sz w:val="16"/>
          <w:szCs w:val="16"/>
          <w:color w:val="auto"/>
        </w:rPr>
        <w:t>, if Red Iron shall repossess or come into possession of any Inventory, or any part thereof, covered by any Invoice, Seller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and wherever located. Seller shall pay Red Iron, within 30 days of request therefor and in good funds, the outstanding balance (including accrued but unpaid interest) remaining unpaid under the Wholesale Instrument(s) related to such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68" w:lineRule="exact"/>
        <w:rPr>
          <w:rFonts w:ascii="Arial" w:cs="Arial" w:eastAsia="Arial" w:hAnsi="Arial"/>
          <w:sz w:val="16"/>
          <w:szCs w:val="16"/>
          <w:color w:val="auto"/>
        </w:rPr>
      </w:pPr>
    </w:p>
    <w:p>
      <w:pPr>
        <w:ind w:left="892" w:right="20" w:hanging="446"/>
        <w:spacing w:after="0" w:line="270" w:lineRule="auto"/>
        <w:tabs>
          <w:tab w:leader="none" w:pos="892"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Seller’s Repurchase of Inventory Sold by a Distributor to a Dealer or otherwise financed by Red Iron.</w:t>
      </w:r>
      <w:r>
        <w:rPr>
          <w:rFonts w:ascii="Arial" w:cs="Arial" w:eastAsia="Arial" w:hAnsi="Arial"/>
          <w:sz w:val="17"/>
          <w:szCs w:val="17"/>
          <w:color w:val="auto"/>
        </w:rPr>
        <w:t xml:space="preserve"> Subject to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if Red Iron shall repossess or come into possession of any Inventory, or any part thereof, covered by any Distributor to Dealer Invoice, Off-Lease Invoice or Trade-In Invoice, and Distributor fails to repurchase such Inventory from Red Iron within 30 days of Red Iron’s demand therefor, Seller agrees to 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wherever located. Subject to </w:t>
      </w:r>
      <w:r>
        <w:rPr>
          <w:rFonts w:ascii="Arial" w:cs="Arial" w:eastAsia="Arial" w:hAnsi="Arial"/>
          <w:sz w:val="17"/>
          <w:szCs w:val="17"/>
          <w:b w:val="1"/>
          <w:bCs w:val="1"/>
          <w:color w:val="auto"/>
        </w:rPr>
        <w:t>Section 3(h)</w:t>
      </w:r>
      <w:r>
        <w:rPr>
          <w:rFonts w:ascii="Arial" w:cs="Arial" w:eastAsia="Arial" w:hAnsi="Arial"/>
          <w:sz w:val="17"/>
          <w:szCs w:val="17"/>
          <w:color w:val="auto"/>
        </w:rPr>
        <w:t>, Seller shall pay Red Iron, within 30 days of request therefor and in good funds, the outstanding balance (including accrued but unpaid interest) amount remaining unpaid under the Wholesale Instrument(s) related to such Distributor to Dealer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83" w:lineRule="exact"/>
        <w:rPr>
          <w:rFonts w:ascii="Arial" w:cs="Arial" w:eastAsia="Arial" w:hAnsi="Arial"/>
          <w:sz w:val="17"/>
          <w:szCs w:val="17"/>
          <w:color w:val="auto"/>
        </w:rPr>
      </w:pPr>
    </w:p>
    <w:p>
      <w:pPr>
        <w:ind w:left="892" w:right="200" w:hanging="446"/>
        <w:spacing w:after="0" w:line="342" w:lineRule="auto"/>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Treatment Under Uniform Commercial Code</w:t>
      </w:r>
      <w:r>
        <w:rPr>
          <w:rFonts w:ascii="Arial" w:cs="Arial" w:eastAsia="Arial" w:hAnsi="Arial"/>
          <w:sz w:val="16"/>
          <w:szCs w:val="16"/>
          <w:color w:val="auto"/>
        </w:rPr>
        <w:t>. Seller and Red Iron agree that the repurchase of Inventory hereunder shall not be deemed to be a transfer subject to Sections 9-615(f) or 9-618 of the Illinois Uniform Commercial Code or any similar provision of any other applicable law.</w:t>
      </w:r>
    </w:p>
    <w:p>
      <w:pPr>
        <w:spacing w:after="0" w:line="29" w:lineRule="exact"/>
        <w:rPr>
          <w:rFonts w:ascii="Arial" w:cs="Arial" w:eastAsia="Arial" w:hAnsi="Arial"/>
          <w:sz w:val="16"/>
          <w:szCs w:val="16"/>
          <w:color w:val="auto"/>
        </w:rPr>
      </w:pPr>
    </w:p>
    <w:p>
      <w:pPr>
        <w:ind w:left="892" w:right="40" w:hanging="446"/>
        <w:spacing w:after="0" w:line="279" w:lineRule="auto"/>
        <w:tabs>
          <w:tab w:leader="none" w:pos="892"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Unidentified Inventory</w:t>
      </w:r>
      <w:r>
        <w:rPr>
          <w:rFonts w:ascii="Arial" w:cs="Arial" w:eastAsia="Arial" w:hAnsi="Arial"/>
          <w:sz w:val="17"/>
          <w:szCs w:val="17"/>
          <w:color w:val="auto"/>
        </w:rPr>
        <w:t>. 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 of Inventory under this Agreement, the item of Inventory shall be deemed to be covered by the most recent Invoice which has an item with the same model number as the item of Inventory tendered for repurchase.</w:t>
      </w:r>
    </w:p>
    <w:p>
      <w:pPr>
        <w:spacing w:after="0" w:line="104" w:lineRule="exact"/>
        <w:rPr>
          <w:sz w:val="20"/>
          <w:szCs w:val="20"/>
          <w:color w:val="auto"/>
        </w:rPr>
      </w:pPr>
    </w:p>
    <w:p>
      <w:pPr>
        <w:ind w:left="-8" w:right="300" w:firstLine="8"/>
        <w:spacing w:after="0" w:line="277" w:lineRule="auto"/>
        <w:tabs>
          <w:tab w:leader="none" w:pos="4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 of 13</w:t>
      </w:r>
    </w:p>
    <w:p>
      <w:pPr>
        <w:sectPr>
          <w:pgSz w:w="11900" w:h="16838" w:orient="portrait"/>
          <w:cols w:equalWidth="0" w:num="1">
            <w:col w:w="11392"/>
          </w:cols>
          <w:pgMar w:left="248" w:top="274" w:right="259" w:bottom="1440" w:gutter="0" w:footer="0" w:header="0"/>
        </w:sectPr>
      </w:pPr>
    </w:p>
    <w:bookmarkStart w:id="9" w:name="page10"/>
    <w:bookmarkEnd w:id="9"/>
    <w:p>
      <w:pPr>
        <w:jc w:val="both"/>
        <w:ind w:left="892" w:right="220" w:hanging="446"/>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Refinanced Inventory</w:t>
      </w:r>
      <w:r>
        <w:rPr>
          <w:rFonts w:ascii="Arial" w:cs="Arial" w:eastAsia="Arial" w:hAnsi="Arial"/>
          <w:sz w:val="18"/>
          <w:szCs w:val="18"/>
          <w:color w:val="auto"/>
        </w:rPr>
        <w:t xml:space="preserve">. Seller further agrees that in the event Red Iron refinances Inventory pursuant to a buyout of debt from another financing source or otherwise, such Inventory will be subject to repurchase by Seller under this </w:t>
      </w:r>
      <w:r>
        <w:rPr>
          <w:rFonts w:ascii="Arial" w:cs="Arial" w:eastAsia="Arial" w:hAnsi="Arial"/>
          <w:sz w:val="18"/>
          <w:szCs w:val="18"/>
          <w:b w:val="1"/>
          <w:bCs w:val="1"/>
          <w:color w:val="auto"/>
        </w:rPr>
        <w:t>Section 3</w:t>
      </w:r>
      <w:r>
        <w:rPr>
          <w:rFonts w:ascii="Arial" w:cs="Arial" w:eastAsia="Arial" w:hAnsi="Arial"/>
          <w:sz w:val="18"/>
          <w:szCs w:val="18"/>
          <w:color w:val="auto"/>
        </w:rPr>
        <w:t>, notwithstanding the fact that Red Iron did not finance the initial purchase of such Inventory from Seller.</w:t>
      </w:r>
    </w:p>
    <w:p>
      <w:pPr>
        <w:spacing w:after="0" w:line="86" w:lineRule="exact"/>
        <w:rPr>
          <w:rFonts w:ascii="Arial" w:cs="Arial" w:eastAsia="Arial" w:hAnsi="Arial"/>
          <w:sz w:val="18"/>
          <w:szCs w:val="18"/>
          <w:color w:val="auto"/>
        </w:rPr>
      </w:pPr>
    </w:p>
    <w:p>
      <w:pPr>
        <w:ind w:left="892" w:right="540" w:hanging="446"/>
        <w:spacing w:after="0" w:line="308"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Seller agrees (and Seller will cause its affiliates, as applicable) to execute any additional agreements, instruments, and documents which Red Iron may reasonably require to maintain Red Iron’s rights and interests in any Inventory.</w:t>
      </w:r>
    </w:p>
    <w:p>
      <w:pPr>
        <w:spacing w:after="0" w:line="51" w:lineRule="exact"/>
        <w:rPr>
          <w:rFonts w:ascii="Arial" w:cs="Arial" w:eastAsia="Arial" w:hAnsi="Arial"/>
          <w:sz w:val="17"/>
          <w:szCs w:val="17"/>
          <w:color w:val="auto"/>
        </w:rPr>
      </w:pPr>
    </w:p>
    <w:p>
      <w:pPr>
        <w:ind w:left="892" w:right="460" w:hanging="446"/>
        <w:spacing w:after="0" w:line="277"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To the extent reasonably feasible, and without prejudicing Red Iron’s rights, Red Iron shall provide Seller prior written notice of Red Iron’s intent to commence litigation against a Dealer or Distributor.</w:t>
      </w:r>
    </w:p>
    <w:p>
      <w:pPr>
        <w:spacing w:after="0" w:line="75" w:lineRule="exact"/>
        <w:rPr>
          <w:rFonts w:ascii="Arial" w:cs="Arial" w:eastAsia="Arial" w:hAnsi="Arial"/>
          <w:sz w:val="18"/>
          <w:szCs w:val="18"/>
          <w:color w:val="auto"/>
        </w:rPr>
      </w:pPr>
    </w:p>
    <w:p>
      <w:pPr>
        <w:ind w:left="892" w:right="60" w:hanging="446"/>
        <w:spacing w:after="0" w:line="257"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Notice of Action Against a Dealer or Distributor</w:t>
      </w:r>
      <w:r>
        <w:rPr>
          <w:rFonts w:ascii="Arial" w:cs="Arial" w:eastAsia="Arial" w:hAnsi="Arial"/>
          <w:sz w:val="18"/>
          <w:szCs w:val="18"/>
          <w:color w:val="auto"/>
        </w:rPr>
        <w:t xml:space="preserve">. Red Iron shall provide Seller contemporaneous written notice of any action by Red Iron against a Dealer or Distributor with respect to any amounts unpaid under Wholesale Instrument(s) associated with a Distributor to Dealer Invoice. Red Iron shall not make a demand on Seller to perform its obligations under </w:t>
      </w:r>
      <w:r>
        <w:rPr>
          <w:rFonts w:ascii="Arial" w:cs="Arial" w:eastAsia="Arial" w:hAnsi="Arial"/>
          <w:sz w:val="18"/>
          <w:szCs w:val="18"/>
          <w:b w:val="1"/>
          <w:bCs w:val="1"/>
          <w:color w:val="auto"/>
        </w:rPr>
        <w:t>Section 3(b)</w:t>
      </w:r>
      <w:r>
        <w:rPr>
          <w:rFonts w:ascii="Arial" w:cs="Arial" w:eastAsia="Arial" w:hAnsi="Arial"/>
          <w:sz w:val="18"/>
          <w:szCs w:val="18"/>
          <w:color w:val="auto"/>
        </w:rPr>
        <w:t xml:space="preserve"> until at least ten (10) days after providing such notice to Seller or, in the case where the Dealer or Distributor disputes such amounts in good faith, until at least 30 days after providing such notice to Seller.</w:t>
      </w:r>
    </w:p>
    <w:p>
      <w:pPr>
        <w:spacing w:after="0" w:line="93" w:lineRule="exact"/>
        <w:rPr>
          <w:rFonts w:ascii="Arial" w:cs="Arial" w:eastAsia="Arial" w:hAnsi="Arial"/>
          <w:sz w:val="18"/>
          <w:szCs w:val="18"/>
          <w:color w:val="auto"/>
        </w:rPr>
      </w:pPr>
    </w:p>
    <w:p>
      <w:pPr>
        <w:ind w:left="892" w:right="20" w:hanging="446"/>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Extended Service Contracts</w:t>
      </w:r>
      <w:r>
        <w:rPr>
          <w:rFonts w:ascii="Arial" w:cs="Arial" w:eastAsia="Arial" w:hAnsi="Arial"/>
          <w:sz w:val="18"/>
          <w:szCs w:val="18"/>
          <w:color w:val="auto"/>
        </w:rPr>
        <w:t>. If a Wholesale Instrument associated with an Invoice for an extended service contract is not paid when due, then Red Iron shall have the benefit of recourse to Seller with respect to the Wholesale Instrument(s) related to such Invoice on such terms as Red Iron and Seller shall mutually agree from time to time.</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Net Repurchase Limit; Remarketing</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892" w:right="160" w:hanging="446"/>
        <w:spacing w:after="0" w:line="270" w:lineRule="auto"/>
        <w:tabs>
          <w:tab w:leader="none" w:pos="892"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Net Repurchase Limit</w:t>
      </w:r>
      <w:r>
        <w:rPr>
          <w:rFonts w:ascii="Arial" w:cs="Arial" w:eastAsia="Arial" w:hAnsi="Arial"/>
          <w:sz w:val="17"/>
          <w:szCs w:val="17"/>
          <w:color w:val="auto"/>
        </w:rPr>
        <w:t xml:space="preserve">. Neither Seller nor any affiliate of Seller shall have any obligation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of this Agreement, Section 3 of the Affiliated Agreement, or under similar provisions of any other repurchase agreement entered into by and between Seller or an affiliate of Seller, on the one hand, and Red Iron on the other, to repurchase any additional Inventory in a Program Year once the aggregate amount of repurchase obligations fully and finally paid by Seller or any affiliate of Seller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of this Agreement to Red Iron during such Program Year, together with the aggregate amount of any repurchase obligations fully and finally paid by Seller or any affiliate of Seller to TCFCF under Section 3 of the Affiliated Agreement, and under similar provisions of any other repurchase agreement by and between Seller or an affiliate of Seller and TCFCF or Red Iron, equals or exceeds the Net Repurchase Limit for such Program Year. “</w:t>
      </w:r>
      <w:r>
        <w:rPr>
          <w:rFonts w:ascii="Arial" w:cs="Arial" w:eastAsia="Arial" w:hAnsi="Arial"/>
          <w:sz w:val="17"/>
          <w:szCs w:val="17"/>
          <w:b w:val="1"/>
          <w:bCs w:val="1"/>
          <w:color w:val="auto"/>
        </w:rPr>
        <w:t>Net Repurchase Limit</w:t>
      </w:r>
      <w:r>
        <w:rPr>
          <w:rFonts w:ascii="Arial" w:cs="Arial" w:eastAsia="Arial" w:hAnsi="Arial"/>
          <w:sz w:val="17"/>
          <w:szCs w:val="17"/>
          <w:color w:val="auto"/>
        </w:rPr>
        <w:t>” shall mean $7,500,000 for each Program Year during the term of this Agreement. The value in United States Dollars of Inventory repurchased pursuant to Section 4(a) of the Affiliated Agreement shall be determined using the Canadian Dollar exchange rate printed in the Wall Street Journal on the effective date of the applicable repurchase transaction.</w:t>
      </w:r>
    </w:p>
    <w:p>
      <w:pPr>
        <w:spacing w:after="0" w:line="87" w:lineRule="exact"/>
        <w:rPr>
          <w:rFonts w:ascii="Arial" w:cs="Arial" w:eastAsia="Arial" w:hAnsi="Arial"/>
          <w:sz w:val="17"/>
          <w:szCs w:val="17"/>
          <w:color w:val="auto"/>
        </w:rPr>
      </w:pPr>
    </w:p>
    <w:p>
      <w:pPr>
        <w:ind w:left="892" w:hanging="446"/>
        <w:spacing w:after="0" w:line="271" w:lineRule="auto"/>
        <w:tabs>
          <w:tab w:leader="none" w:pos="892"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Remarketing</w:t>
      </w:r>
      <w:r>
        <w:rPr>
          <w:rFonts w:ascii="Arial" w:cs="Arial" w:eastAsia="Arial" w:hAnsi="Arial"/>
          <w:sz w:val="17"/>
          <w:szCs w:val="17"/>
          <w:color w:val="auto"/>
        </w:rPr>
        <w:t xml:space="preserve">. Once the Net Repurchase Limit has been reached in a Program Year, Seller agrees to use its best efforts to remarket any additional repossessed Inventory on behalf of Red Iron on a non-discriminatory, non-priority basis for an amount not less than the outstanding balance (including accrued but unpaid interest) remaining due Red Iron on such 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w:t>
      </w:r>
      <w:r>
        <w:rPr>
          <w:rFonts w:ascii="Arial" w:cs="Arial" w:eastAsia="Arial" w:hAnsi="Arial"/>
          <w:sz w:val="17"/>
          <w:szCs w:val="17"/>
          <w:b w:val="1"/>
          <w:bCs w:val="1"/>
          <w:color w:val="auto"/>
        </w:rPr>
        <w:t>Section 4(b)</w:t>
      </w:r>
      <w:r>
        <w:rPr>
          <w:rFonts w:ascii="Arial" w:cs="Arial" w:eastAsia="Arial" w:hAnsi="Arial"/>
          <w:sz w:val="17"/>
          <w:szCs w:val="17"/>
          <w:color w:val="auto"/>
        </w:rPr>
        <w:t xml:space="preserve"> so long as Seller complies with the two immediately preceding sentences. Red Iron will reimburse Seller for reasonable out-of-pocket, third party</w:t>
      </w:r>
    </w:p>
    <w:p>
      <w:pPr>
        <w:spacing w:after="0" w:line="111" w:lineRule="exact"/>
        <w:rPr>
          <w:sz w:val="20"/>
          <w:szCs w:val="20"/>
          <w:color w:val="auto"/>
        </w:rPr>
      </w:pPr>
    </w:p>
    <w:p>
      <w:pPr>
        <w:ind w:left="-8" w:right="320" w:firstLine="8"/>
        <w:spacing w:after="0" w:line="277" w:lineRule="auto"/>
        <w:tabs>
          <w:tab w:leader="none" w:pos="4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13</w:t>
      </w:r>
    </w:p>
    <w:p>
      <w:pPr>
        <w:sectPr>
          <w:pgSz w:w="11900" w:h="16838" w:orient="portrait"/>
          <w:cols w:equalWidth="0" w:num="1">
            <w:col w:w="11412"/>
          </w:cols>
          <w:pgMar w:left="248" w:top="274" w:right="239" w:bottom="1440" w:gutter="0" w:footer="0" w:header="0"/>
        </w:sectPr>
      </w:pPr>
    </w:p>
    <w:bookmarkStart w:id="10" w:name="page11"/>
    <w:bookmarkEnd w:id="1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expenses, including reasonable commissions (if any), incurred by Seller in providing remarketing services pursuant to this </w:t>
      </w:r>
      <w:r>
        <w:rPr>
          <w:rFonts w:ascii="Arial" w:cs="Arial" w:eastAsia="Arial" w:hAnsi="Arial"/>
          <w:sz w:val="17"/>
          <w:szCs w:val="17"/>
          <w:b w:val="1"/>
          <w:bCs w:val="1"/>
          <w:color w:val="auto"/>
        </w:rPr>
        <w:t>Section 4(b)</w:t>
      </w:r>
      <w:r>
        <w:rPr>
          <w:rFonts w:ascii="Arial" w:cs="Arial" w:eastAsia="Arial" w:hAnsi="Arial"/>
          <w:sz w:val="17"/>
          <w:szCs w:val="17"/>
          <w:color w:val="auto"/>
        </w:rPr>
        <w:t>.</w:t>
      </w:r>
    </w:p>
    <w:p>
      <w:pPr>
        <w:spacing w:after="0" w:line="3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 Seller represents and warrants, at the time of any Red Iron Approval or Advance against any Invoice as provided hereunder, that:</w:t>
      </w:r>
    </w:p>
    <w:p>
      <w:pPr>
        <w:spacing w:after="0" w:line="75" w:lineRule="exact"/>
        <w:rPr>
          <w:rFonts w:ascii="Arial" w:cs="Arial" w:eastAsia="Arial" w:hAnsi="Arial"/>
          <w:sz w:val="18"/>
          <w:szCs w:val="18"/>
          <w:color w:val="auto"/>
        </w:rPr>
      </w:pPr>
    </w:p>
    <w:p>
      <w:pPr>
        <w:ind w:left="1480" w:hanging="567"/>
        <w:spacing w:after="0" w:line="273" w:lineRule="auto"/>
        <w:tabs>
          <w:tab w:leader="none" w:pos="14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each and every Invoice issued by Seller or its affiliate, as applicable, represents valid obligations of a Dealer or Distributor, is legally enforceable according to its terms and relates to bona fide, original acquisition sales of Inventory by Seller or its affiliate, as applicable, to a Dealer or Distributor or sales of extended service contracts to product end users by a Dealer or Distributor on behalf of Seller or its affiliate, without any claim, offset or defense to payment by Dealer or Distributor (other than customary commissions payable to Dealers or Distributors upon the sale of extended service contracts) and that the Dealer or Distributor requested that the acquisition of Inventory or payments related to sales of extended service contracts be financed by Red Iron;</w:t>
      </w:r>
    </w:p>
    <w:p>
      <w:pPr>
        <w:spacing w:after="0" w:line="83" w:lineRule="exact"/>
        <w:rPr>
          <w:rFonts w:ascii="Arial" w:cs="Arial" w:eastAsia="Arial" w:hAnsi="Arial"/>
          <w:sz w:val="17"/>
          <w:szCs w:val="17"/>
          <w:color w:val="auto"/>
        </w:rPr>
      </w:pPr>
    </w:p>
    <w:p>
      <w:pPr>
        <w:ind w:left="1480" w:right="100" w:hanging="567"/>
        <w:spacing w:after="0" w:line="264" w:lineRule="auto"/>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Seller’s (or, as applicable, its affiliate’s) title to any Inventory is free and clear of all security interests, liens and encumbrances and the transfer of Inventory to the Dealer or Distributor by Seller or its affiliate, as applicable, conveys to Dealer or Distributor all of Seller’s or its affiliate’s right, title and interest in and to such Inventory; and</w:t>
      </w:r>
    </w:p>
    <w:p>
      <w:pPr>
        <w:spacing w:after="0" w:line="86" w:lineRule="exact"/>
        <w:rPr>
          <w:rFonts w:ascii="Arial" w:cs="Arial" w:eastAsia="Arial" w:hAnsi="Arial"/>
          <w:sz w:val="18"/>
          <w:szCs w:val="18"/>
          <w:color w:val="auto"/>
        </w:rPr>
      </w:pPr>
    </w:p>
    <w:p>
      <w:pPr>
        <w:ind w:left="1480" w:right="440" w:hanging="567"/>
        <w:spacing w:after="0" w:line="308" w:lineRule="auto"/>
        <w:tabs>
          <w:tab w:leader="none" w:pos="14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Seller’s (or, as applicable, its affiliate’s) right to receive payments with respect to any extended service contracts sold by a Dealer or Distributor on behalf of Seller or its affiliate is free and clear of all security interests, liens and encumbrances.</w:t>
      </w:r>
    </w:p>
    <w:p>
      <w:pPr>
        <w:spacing w:after="0" w:line="51" w:lineRule="exact"/>
        <w:rPr>
          <w:rFonts w:ascii="Arial" w:cs="Arial" w:eastAsia="Arial" w:hAnsi="Arial"/>
          <w:sz w:val="17"/>
          <w:szCs w:val="17"/>
          <w:color w:val="auto"/>
        </w:rPr>
      </w:pPr>
    </w:p>
    <w:p>
      <w:pPr>
        <w:ind w:left="1480" w:right="40" w:hanging="567"/>
        <w:spacing w:after="0" w:line="264" w:lineRule="auto"/>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Inventory is in new and unused condition; it is of the kind, quality and condition represented or warranted to Dealer or Distributor; it meets or exceeds all applicable federal, state and local safety, manufacturing and other standards; and if it is a type of Inventory customarily crated or boxed, such crate or box is factory sealed.</w:t>
      </w:r>
    </w:p>
    <w:p>
      <w:pPr>
        <w:spacing w:after="0" w:line="86" w:lineRule="exact"/>
        <w:rPr>
          <w:rFonts w:ascii="Arial" w:cs="Arial" w:eastAsia="Arial" w:hAnsi="Arial"/>
          <w:sz w:val="18"/>
          <w:szCs w:val="18"/>
          <w:color w:val="auto"/>
        </w:rPr>
      </w:pPr>
    </w:p>
    <w:p>
      <w:pPr>
        <w:ind w:left="900" w:right="180" w:hanging="446"/>
        <w:spacing w:after="0" w:line="25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Breach of Seller Representations and Warranties</w:t>
      </w:r>
      <w:r>
        <w:rPr>
          <w:rFonts w:ascii="Arial" w:cs="Arial" w:eastAsia="Arial" w:hAnsi="Arial"/>
          <w:sz w:val="18"/>
          <w:szCs w:val="18"/>
          <w:color w:val="auto"/>
        </w:rPr>
        <w:t>. In the event of breach of any of the foregoing representations or warranties, Seller will, immediately upon demand, pay to Red Iron in immediately available good funds the amount of the unpaid balance of the Wholesale Instrument relating to the Invoice or Inventory with respect to which the representation/warranty was breached, plus all charges owing by Dealer or Distributor with respect thereto, and all of Red Iron’s costs and expenses, including reasonable attorneys’ fees, actually incurred in connection with such breach.</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Seller Covenants and Indemnity</w:t>
      </w:r>
      <w:r>
        <w:rPr>
          <w:rFonts w:ascii="Arial" w:cs="Arial" w:eastAsia="Arial" w:hAnsi="Arial"/>
          <w:sz w:val="18"/>
          <w:szCs w:val="18"/>
          <w:color w:val="auto"/>
        </w:rPr>
        <w:t>. Seller covenants as follows:</w:t>
      </w:r>
    </w:p>
    <w:p>
      <w:pPr>
        <w:spacing w:after="0" w:line="130" w:lineRule="exact"/>
        <w:rPr>
          <w:rFonts w:ascii="Arial" w:cs="Arial" w:eastAsia="Arial" w:hAnsi="Arial"/>
          <w:sz w:val="18"/>
          <w:szCs w:val="18"/>
          <w:color w:val="auto"/>
        </w:rPr>
      </w:pPr>
    </w:p>
    <w:p>
      <w:pPr>
        <w:ind w:left="900" w:right="140" w:hanging="446"/>
        <w:spacing w:after="0" w:line="286"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Product Warranties</w:t>
      </w:r>
      <w:r>
        <w:rPr>
          <w:rFonts w:ascii="Arial" w:cs="Arial" w:eastAsia="Arial" w:hAnsi="Arial"/>
          <w:sz w:val="17"/>
          <w:szCs w:val="17"/>
          <w:color w:val="auto"/>
        </w:rPr>
        <w:t>. All Inventory financed by Red Iron shall be subject to applicable product warranties of Seller (or its affiliate, as applicable), and Seller agrees to perform, or cause to be performed, all repairs, modifications or other acts required of Seller or its affiliate, as applicable, pursuant to said product warranties. All expenses of performance under this covenant shall be paid by Seller.</w:t>
      </w:r>
    </w:p>
    <w:p>
      <w:pPr>
        <w:spacing w:after="0" w:line="70" w:lineRule="exact"/>
        <w:rPr>
          <w:rFonts w:ascii="Arial" w:cs="Arial" w:eastAsia="Arial" w:hAnsi="Arial"/>
          <w:sz w:val="17"/>
          <w:szCs w:val="17"/>
          <w:color w:val="auto"/>
        </w:rPr>
      </w:pPr>
    </w:p>
    <w:p>
      <w:pPr>
        <w:ind w:left="900" w:right="24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Returned Inventory</w:t>
      </w:r>
      <w:r>
        <w:rPr>
          <w:rFonts w:ascii="Arial" w:cs="Arial" w:eastAsia="Arial" w:hAnsi="Arial"/>
          <w:sz w:val="18"/>
          <w:szCs w:val="18"/>
          <w:color w:val="auto"/>
        </w:rPr>
        <w:t>. If Seller or its affiliate, as applicable, accepts the return from any Dealer or Distributor of any Inventory covered by any Wholesale Instrument, voluntarily or otherwise, whether or not any substitution is made for such returned Inventory, Seller will reimburse Red Iron for the unpaid balance amount of the Wholesale Instrument within 30 days of the return.</w:t>
      </w:r>
    </w:p>
    <w:p>
      <w:pPr>
        <w:spacing w:after="0" w:line="114" w:lineRule="exact"/>
        <w:rPr>
          <w:sz w:val="20"/>
          <w:szCs w:val="20"/>
          <w:color w:val="auto"/>
        </w:rPr>
      </w:pPr>
    </w:p>
    <w:p>
      <w:pPr>
        <w:ind w:right="320" w:firstLine="8"/>
        <w:spacing w:after="0" w:line="277"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13</w:t>
      </w:r>
    </w:p>
    <w:p>
      <w:pPr>
        <w:sectPr>
          <w:pgSz w:w="11900" w:h="16838" w:orient="portrait"/>
          <w:cols w:equalWidth="0" w:num="1">
            <w:col w:w="11420"/>
          </w:cols>
          <w:pgMar w:left="240" w:top="270" w:right="239" w:bottom="1440" w:gutter="0" w:footer="0" w:header="0"/>
        </w:sectPr>
      </w:pPr>
    </w:p>
    <w:bookmarkStart w:id="11" w:name="page12"/>
    <w:bookmarkEnd w:id="11"/>
    <w:p>
      <w:pPr>
        <w:ind w:left="892" w:right="500" w:hanging="446"/>
        <w:spacing w:after="0" w:line="259"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w:t>
      </w:r>
      <w:r>
        <w:rPr>
          <w:rFonts w:ascii="Arial" w:cs="Arial" w:eastAsia="Arial" w:hAnsi="Arial"/>
          <w:sz w:val="18"/>
          <w:szCs w:val="18"/>
          <w:color w:val="auto"/>
        </w:rPr>
        <w:t>. At any time at which Seller is not required to file reports with the U.S. Securities Exchange Commission pursuant to Section 13 or Section 15(d) of the Securities 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spacing w:after="0" w:line="92" w:lineRule="exact"/>
        <w:rPr>
          <w:rFonts w:ascii="Arial" w:cs="Arial" w:eastAsia="Arial" w:hAnsi="Arial"/>
          <w:sz w:val="18"/>
          <w:szCs w:val="18"/>
          <w:color w:val="auto"/>
        </w:rPr>
      </w:pPr>
    </w:p>
    <w:p>
      <w:pPr>
        <w:ind w:left="892" w:right="60" w:hanging="446"/>
        <w:spacing w:after="0" w:line="279" w:lineRule="auto"/>
        <w:tabs>
          <w:tab w:leader="none" w:pos="892"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All transactions of Seller and its affiliates related to the sale of Inventory financed by Red Iron shall comply with all applicable laws, 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w:t>
      </w:r>
    </w:p>
    <w:p>
      <w:pPr>
        <w:spacing w:after="0" w:line="76" w:lineRule="exact"/>
        <w:rPr>
          <w:rFonts w:ascii="Arial" w:cs="Arial" w:eastAsia="Arial" w:hAnsi="Arial"/>
          <w:sz w:val="17"/>
          <w:szCs w:val="17"/>
          <w:color w:val="auto"/>
        </w:rPr>
      </w:pPr>
    </w:p>
    <w:p>
      <w:pPr>
        <w:ind w:left="892" w:right="340" w:hanging="446"/>
        <w:spacing w:after="0" w:line="264"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Notice of Termination of Distributor Agreements</w:t>
      </w:r>
      <w:r>
        <w:rPr>
          <w:rFonts w:ascii="Arial" w:cs="Arial" w:eastAsia="Arial" w:hAnsi="Arial"/>
          <w:sz w:val="18"/>
          <w:szCs w:val="18"/>
          <w:color w:val="auto"/>
        </w:rPr>
        <w:t>. 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40" w:hanging="446"/>
        <w:spacing w:after="0" w:line="255"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Seller Waiver of Certain Notices</w:t>
      </w:r>
      <w:r>
        <w:rPr>
          <w:rFonts w:ascii="Arial" w:cs="Arial" w:eastAsia="Arial" w:hAnsi="Arial"/>
          <w:sz w:val="18"/>
          <w:szCs w:val="18"/>
          <w:color w:val="auto"/>
        </w:rPr>
        <w:t>. 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or Distributors, as Red Iron may determine to be reasonable, and no such renewal, extension, compromise, adjustment, waiver or modification shall affect the obligations or liabilities of Seller hereunder.</w:t>
      </w:r>
    </w:p>
    <w:p>
      <w:pPr>
        <w:spacing w:after="0" w:line="94" w:lineRule="exact"/>
        <w:rPr>
          <w:rFonts w:ascii="Arial" w:cs="Arial" w:eastAsia="Arial" w:hAnsi="Arial"/>
          <w:sz w:val="18"/>
          <w:szCs w:val="18"/>
          <w:color w:val="auto"/>
        </w:rPr>
      </w:pPr>
    </w:p>
    <w:p>
      <w:pPr>
        <w:ind w:left="892" w:right="100" w:hanging="446"/>
        <w:spacing w:after="0" w:line="312"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295"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60" w:hanging="446"/>
        <w:spacing w:after="0" w:line="255"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initial term of this Agreement commenced on October 1, 2009 and, provided this Agreement is not terminated earlier as otherwise provided herein, shall continue until October 31, 2017 (the “</w:t>
      </w:r>
      <w:r>
        <w:rPr>
          <w:rFonts w:ascii="Arial" w:cs="Arial" w:eastAsia="Arial" w:hAnsi="Arial"/>
          <w:sz w:val="18"/>
          <w:szCs w:val="18"/>
          <w:b w:val="1"/>
          <w:bCs w:val="1"/>
          <w:color w:val="auto"/>
        </w:rPr>
        <w:t>Initial Term</w:t>
      </w:r>
      <w:r>
        <w:rPr>
          <w:rFonts w:ascii="Arial" w:cs="Arial" w:eastAsia="Arial" w:hAnsi="Arial"/>
          <w:sz w:val="18"/>
          <w:szCs w:val="18"/>
          <w:color w:val="auto"/>
        </w:rPr>
        <w:t>”) and thereafter shall be extended automatically for additional two-year terms (each, an “</w:t>
      </w:r>
      <w:r>
        <w:rPr>
          <w:rFonts w:ascii="Arial" w:cs="Arial" w:eastAsia="Arial" w:hAnsi="Arial"/>
          <w:sz w:val="18"/>
          <w:szCs w:val="18"/>
          <w:b w:val="1"/>
          <w:bCs w:val="1"/>
          <w:color w:val="auto"/>
        </w:rPr>
        <w:t>Additional Term</w:t>
      </w:r>
      <w:r>
        <w:rPr>
          <w:rFonts w:ascii="Arial" w:cs="Arial" w:eastAsia="Arial" w:hAnsi="Arial"/>
          <w:sz w:val="18"/>
          <w:szCs w:val="18"/>
          <w:color w:val="auto"/>
        </w:rPr>
        <w:t>”)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 Notwithstanding the foregoing, this Agreement shall automatically terminate upon the final dissolution, winding up and liquidation of Red Iron.</w:t>
      </w:r>
    </w:p>
    <w:p>
      <w:pPr>
        <w:spacing w:after="0" w:line="98"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Default Termination</w:t>
      </w:r>
      <w:r>
        <w:rPr>
          <w:rFonts w:ascii="Arial" w:cs="Arial" w:eastAsia="Arial" w:hAnsi="Arial"/>
          <w:sz w:val="18"/>
          <w:szCs w:val="18"/>
          <w:color w:val="auto"/>
        </w:rPr>
        <w:t>. If Seller (or, as applicable, one of its affiliates) is in default of any of the provisions of this Agreement and Seller shall fail to cure (or cause the cure of) such default within 30 days after notice by Red Iron of such default (or such longer period of time as is reasonably necessary to allow Seller to cure (or cause the cure of) such default but, in any event, not more than 75 days after notice by Red Iron of such default), Red Iron shall then have the right to</w:t>
      </w:r>
    </w:p>
    <w:p>
      <w:pPr>
        <w:spacing w:after="0" w:line="119" w:lineRule="exact"/>
        <w:rPr>
          <w:sz w:val="20"/>
          <w:szCs w:val="20"/>
          <w:color w:val="auto"/>
        </w:rPr>
      </w:pPr>
    </w:p>
    <w:p>
      <w:pPr>
        <w:ind w:left="-8" w:right="320" w:firstLine="8"/>
        <w:spacing w:after="0" w:line="277" w:lineRule="auto"/>
        <w:tabs>
          <w:tab w:leader="none" w:pos="4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 of 13</w:t>
      </w:r>
    </w:p>
    <w:p>
      <w:pPr>
        <w:sectPr>
          <w:pgSz w:w="11900" w:h="16838" w:orient="portrait"/>
          <w:cols w:equalWidth="0" w:num="1">
            <w:col w:w="11412"/>
          </w:cols>
          <w:pgMar w:left="248" w:top="274" w:right="239" w:bottom="1440" w:gutter="0" w:footer="0" w:header="0"/>
        </w:sectPr>
      </w:pPr>
    </w:p>
    <w:bookmarkStart w:id="12" w:name="page13"/>
    <w:bookmarkEnd w:id="12"/>
    <w:p>
      <w:pPr>
        <w:ind w:left="912"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terminate this Agreement without further notice and without penalty and the right to exercise all remedies available to Red Iron under applicable law.</w:t>
      </w:r>
    </w:p>
    <w:p>
      <w:pPr>
        <w:spacing w:after="0" w:line="76" w:lineRule="exact"/>
        <w:rPr>
          <w:sz w:val="20"/>
          <w:szCs w:val="20"/>
          <w:color w:val="auto"/>
        </w:rPr>
      </w:pPr>
    </w:p>
    <w:p>
      <w:pPr>
        <w:ind w:left="892" w:hanging="446"/>
        <w:spacing w:after="0" w:line="342" w:lineRule="auto"/>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Effect of Termination</w:t>
      </w:r>
      <w:r>
        <w:rPr>
          <w:rFonts w:ascii="Arial" w:cs="Arial" w:eastAsia="Arial" w:hAnsi="Arial"/>
          <w:sz w:val="16"/>
          <w:szCs w:val="16"/>
          <w:color w:val="auto"/>
        </w:rPr>
        <w:t>. The termination of all or any part of this Agreement shall not affect the obligations of Seller or its affiliates with respect to Invoices approved or Advanced against by Red Iron, or other obligations incurred by either party, prior to the effective date of such termination.</w:t>
      </w:r>
    </w:p>
    <w:p>
      <w:pPr>
        <w:spacing w:after="0" w:line="56" w:lineRule="exact"/>
        <w:rPr>
          <w:rFonts w:ascii="Arial" w:cs="Arial" w:eastAsia="Arial" w:hAnsi="Arial"/>
          <w:sz w:val="16"/>
          <w:szCs w:val="16"/>
          <w:color w:val="auto"/>
        </w:rPr>
      </w:pPr>
    </w:p>
    <w:p>
      <w:pPr>
        <w:ind w:left="-8" w:right="260" w:firstLine="8"/>
        <w:spacing w:after="0" w:line="277" w:lineRule="auto"/>
        <w:tabs>
          <w:tab w:leader="none" w:pos="4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9 of 13</w:t>
      </w:r>
    </w:p>
    <w:p>
      <w:pPr>
        <w:sectPr>
          <w:pgSz w:w="11900" w:h="16838" w:orient="portrait"/>
          <w:cols w:equalWidth="0" w:num="1">
            <w:col w:w="11352"/>
          </w:cols>
          <w:pgMar w:left="248" w:top="274" w:right="299" w:bottom="1440" w:gutter="0" w:footer="0" w:header="0"/>
        </w:sectPr>
      </w:pPr>
    </w:p>
    <w:bookmarkStart w:id="13" w:name="page14"/>
    <w:bookmarkEnd w:id="13"/>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Favorable Loss Rebate Program.</w:t>
      </w:r>
    </w:p>
    <w:p>
      <w:pPr>
        <w:spacing w:after="0" w:line="130"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Establish FLR Account</w:t>
      </w:r>
      <w:r>
        <w:rPr>
          <w:rFonts w:ascii="Arial" w:cs="Arial" w:eastAsia="Arial" w:hAnsi="Arial"/>
          <w:sz w:val="18"/>
          <w:szCs w:val="18"/>
          <w:color w:val="auto"/>
        </w:rPr>
        <w:t>. Beginning with Program Year 2016, and each Program Year thereafter, Red Iron shall record on its books and records, an amount equal to [</w:t>
      </w:r>
      <w:r>
        <w:rPr>
          <w:rFonts w:ascii="Arial" w:cs="Arial" w:eastAsia="Arial" w:hAnsi="Arial"/>
          <w:sz w:val="18"/>
          <w:szCs w:val="18"/>
          <w:b w:val="1"/>
          <w:bCs w:val="1"/>
          <w:color w:val="auto"/>
        </w:rPr>
        <w:t>***</w:t>
      </w:r>
      <w:r>
        <w:rPr>
          <w:rFonts w:ascii="Arial" w:cs="Arial" w:eastAsia="Arial" w:hAnsi="Arial"/>
          <w:sz w:val="18"/>
          <w:szCs w:val="18"/>
          <w:color w:val="auto"/>
        </w:rPr>
        <w:t>] of the ANR-Program Year for such Program Year (such record, the “</w:t>
      </w:r>
      <w:r>
        <w:rPr>
          <w:rFonts w:ascii="Arial" w:cs="Arial" w:eastAsia="Arial" w:hAnsi="Arial"/>
          <w:sz w:val="18"/>
          <w:szCs w:val="18"/>
          <w:b w:val="1"/>
          <w:bCs w:val="1"/>
          <w:color w:val="auto"/>
        </w:rPr>
        <w:t>FLR Account</w:t>
      </w:r>
      <w:r>
        <w:rPr>
          <w:rFonts w:ascii="Arial" w:cs="Arial" w:eastAsia="Arial" w:hAnsi="Arial"/>
          <w:sz w:val="18"/>
          <w:szCs w:val="18"/>
          <w:color w:val="auto"/>
        </w:rPr>
        <w:t>”). The FLR Account shall be held as a notational account on Red Iron’s books and records and not separately funded. Seller shall not have any right to interest relating to the FLR Account.</w:t>
      </w:r>
    </w:p>
    <w:p>
      <w:pPr>
        <w:spacing w:after="0" w:line="92"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FLR Reliant Account Process and Limitation</w:t>
      </w:r>
      <w:r>
        <w:rPr>
          <w:rFonts w:ascii="Arial" w:cs="Arial" w:eastAsia="Arial" w:hAnsi="Arial"/>
          <w:sz w:val="18"/>
          <w:szCs w:val="18"/>
          <w:color w:val="auto"/>
        </w:rPr>
        <w:t>. If so requested, or on its own initiative, Red Iron shall, in consultation with Seller or Seller’s affiliates, review whether a Dealer or Distributor which does not meet the criteria set by the credit and operational policies of Red Iron, should be designated as an FLR Reliant Account. Subject to such Dealer and Distributor satisfying other applicable requirements for eligibility for financing hereunder, if so requested by Seller or an affiliate of Seller, Red Iron shall designate such Dealer or Distributor as an FLR Reliant Account unless Red Iron determines such designation would result in an FLR Reliant Accounts Limitation, in which case Red Iron shall not designate such Dealer or Distributor as an FLR Reliant Account.</w:t>
      </w:r>
    </w:p>
    <w:p>
      <w:pPr>
        <w:spacing w:after="0" w:line="94" w:lineRule="exact"/>
        <w:rPr>
          <w:rFonts w:ascii="Arial" w:cs="Arial" w:eastAsia="Arial" w:hAnsi="Arial"/>
          <w:sz w:val="18"/>
          <w:szCs w:val="18"/>
          <w:color w:val="auto"/>
        </w:rPr>
      </w:pPr>
    </w:p>
    <w:p>
      <w:pPr>
        <w:ind w:left="892" w:right="200" w:hanging="446"/>
        <w:spacing w:after="0" w:line="282"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b w:val="1"/>
          <w:bCs w:val="1"/>
          <w:color w:val="auto"/>
        </w:rPr>
        <w:t>***</w:t>
      </w:r>
      <w:r>
        <w:rPr>
          <w:rFonts w:ascii="Arial" w:cs="Arial" w:eastAsia="Arial" w:hAnsi="Arial"/>
          <w:sz w:val="18"/>
          <w:szCs w:val="18"/>
          <w:color w:val="auto"/>
        </w:rPr>
        <w:t>]. Beginning with Program Year 2016, and each Program Year thereafter, Red Iron shall [</w:t>
      </w:r>
      <w:r>
        <w:rPr>
          <w:rFonts w:ascii="Arial" w:cs="Arial" w:eastAsia="Arial" w:hAnsi="Arial"/>
          <w:sz w:val="18"/>
          <w:szCs w:val="18"/>
          <w:b w:val="1"/>
          <w:bCs w:val="1"/>
          <w:color w:val="auto"/>
        </w:rPr>
        <w:t>***</w:t>
      </w:r>
      <w:r>
        <w:rPr>
          <w:rFonts w:ascii="Arial" w:cs="Arial" w:eastAsia="Arial" w:hAnsi="Arial"/>
          <w:sz w:val="18"/>
          <w:szCs w:val="18"/>
          <w:color w:val="auto"/>
        </w:rPr>
        <w:t>]. Seller has no obligation to pay Red Iron the amount of any such Loss or any negative balance in the FLR Account.</w:t>
      </w:r>
    </w:p>
    <w:p>
      <w:pPr>
        <w:spacing w:after="0" w:line="67" w:lineRule="exact"/>
        <w:rPr>
          <w:rFonts w:ascii="Arial" w:cs="Arial" w:eastAsia="Arial" w:hAnsi="Arial"/>
          <w:sz w:val="18"/>
          <w:szCs w:val="18"/>
          <w:color w:val="auto"/>
        </w:rPr>
      </w:pPr>
    </w:p>
    <w:p>
      <w:pPr>
        <w:ind w:left="892" w:right="120" w:hanging="446"/>
        <w:spacing w:after="0" w:line="261"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b w:val="1"/>
          <w:bCs w:val="1"/>
          <w:color w:val="auto"/>
        </w:rPr>
        <w:t>***</w:t>
      </w:r>
      <w:r>
        <w:rPr>
          <w:rFonts w:ascii="Arial" w:cs="Arial" w:eastAsia="Arial" w:hAnsi="Arial"/>
          <w:sz w:val="18"/>
          <w:szCs w:val="18"/>
          <w:color w:val="auto"/>
        </w:rPr>
        <w:t>]. If the amount in the FLR Account is [</w:t>
      </w:r>
      <w:r>
        <w:rPr>
          <w:rFonts w:ascii="Arial" w:cs="Arial" w:eastAsia="Arial" w:hAnsi="Arial"/>
          <w:sz w:val="18"/>
          <w:szCs w:val="18"/>
          <w:b w:val="1"/>
          <w:bCs w:val="1"/>
          <w:color w:val="auto"/>
        </w:rPr>
        <w:t>***</w:t>
      </w:r>
      <w:r>
        <w:rPr>
          <w:rFonts w:ascii="Arial" w:cs="Arial" w:eastAsia="Arial" w:hAnsi="Arial"/>
          <w:sz w:val="18"/>
          <w:szCs w:val="18"/>
          <w:color w:val="auto"/>
        </w:rPr>
        <w:t>] beginning with Program Year 2016, then within 60 days after the end of such Program Year, Red Iron shall pay Seller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provided</w:t>
      </w:r>
      <w:r>
        <w:rPr>
          <w:rFonts w:ascii="Arial" w:cs="Arial" w:eastAsia="Arial" w:hAnsi="Arial"/>
          <w:sz w:val="18"/>
          <w:szCs w:val="18"/>
          <w:color w:val="auto"/>
        </w:rPr>
        <w:t>: (i) Seller (or, as applicable, one of its affiliates) is not in default to Red Iron under this Agreement or any other agreement between Seller and Red Iron, (ii) this Agreement is not terminated, and (iii) Red Iron has not received notice from Seller of intent to terminate the Agreement.</w:t>
      </w:r>
    </w:p>
    <w:p>
      <w:pPr>
        <w:spacing w:after="0" w:line="85" w:lineRule="exact"/>
        <w:rPr>
          <w:rFonts w:ascii="Arial" w:cs="Arial" w:eastAsia="Arial" w:hAnsi="Arial"/>
          <w:sz w:val="18"/>
          <w:szCs w:val="18"/>
          <w:color w:val="auto"/>
        </w:rPr>
      </w:pPr>
    </w:p>
    <w:p>
      <w:pPr>
        <w:ind w:left="892" w:right="180" w:hanging="446"/>
        <w:spacing w:after="0" w:line="282"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Within 60 days after the end of Program Year 2016 and each Program Year thereafter, Red Iron shall determine [</w:t>
      </w:r>
      <w:r>
        <w:rPr>
          <w:rFonts w:ascii="Arial" w:cs="Arial" w:eastAsia="Arial" w:hAnsi="Arial"/>
          <w:sz w:val="18"/>
          <w:szCs w:val="18"/>
          <w:b w:val="1"/>
          <w:bCs w:val="1"/>
          <w:color w:val="auto"/>
        </w:rPr>
        <w:t>***</w:t>
      </w:r>
      <w:r>
        <w:rPr>
          <w:rFonts w:ascii="Arial" w:cs="Arial" w:eastAsia="Arial" w:hAnsi="Arial"/>
          <w:sz w:val="18"/>
          <w:szCs w:val="18"/>
          <w:color w:val="auto"/>
        </w:rPr>
        <w:t>] (e.g. after Program Year 2016, [</w:t>
      </w:r>
      <w:r>
        <w:rPr>
          <w:rFonts w:ascii="Arial" w:cs="Arial" w:eastAsia="Arial" w:hAnsi="Arial"/>
          <w:sz w:val="18"/>
          <w:szCs w:val="18"/>
          <w:b w:val="1"/>
          <w:bCs w:val="1"/>
          <w:color w:val="auto"/>
        </w:rPr>
        <w:t>***</w:t>
      </w:r>
      <w:r>
        <w:rPr>
          <w:rFonts w:ascii="Arial" w:cs="Arial" w:eastAsia="Arial" w:hAnsi="Arial"/>
          <w:sz w:val="18"/>
          <w:szCs w:val="18"/>
          <w:color w:val="auto"/>
        </w:rPr>
        <w:t>] for such Program Year.</w:t>
      </w:r>
    </w:p>
    <w:p>
      <w:pPr>
        <w:spacing w:after="0" w:line="67" w:lineRule="exact"/>
        <w:rPr>
          <w:rFonts w:ascii="Arial" w:cs="Arial" w:eastAsia="Arial" w:hAnsi="Arial"/>
          <w:sz w:val="18"/>
          <w:szCs w:val="18"/>
          <w:color w:val="auto"/>
        </w:rPr>
      </w:pPr>
    </w:p>
    <w:p>
      <w:pPr>
        <w:ind w:left="892" w:right="100" w:hanging="446"/>
        <w:spacing w:after="0" w:line="266"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At the end of the term of this Agreement, [</w:t>
      </w:r>
      <w:r>
        <w:rPr>
          <w:rFonts w:ascii="Arial" w:cs="Arial" w:eastAsia="Arial" w:hAnsi="Arial"/>
          <w:sz w:val="18"/>
          <w:szCs w:val="18"/>
          <w:b w:val="1"/>
          <w:bCs w:val="1"/>
          <w:color w:val="auto"/>
        </w:rPr>
        <w:t>***</w:t>
      </w:r>
      <w:r>
        <w:rPr>
          <w:rFonts w:ascii="Arial" w:cs="Arial" w:eastAsia="Arial" w:hAnsi="Arial"/>
          <w:sz w:val="18"/>
          <w:szCs w:val="18"/>
          <w:color w:val="auto"/>
        </w:rPr>
        <w:t>] if all of Seller’s liabilities and obligations to Red Iron under this Agreement and any other agreement between Seller (or one of its affiliates) and Red Iron have been paid in full and have been fully performed, then Red Iron shall pay Seller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28"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20" w:hanging="446"/>
        <w:spacing w:after="0" w:line="259"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Authorization; Assignment</w:t>
      </w:r>
      <w:r>
        <w:rPr>
          <w:rFonts w:ascii="Arial" w:cs="Arial" w:eastAsia="Arial" w:hAnsi="Arial"/>
          <w:sz w:val="18"/>
          <w:szCs w:val="18"/>
          <w:color w:val="auto"/>
        </w:rPr>
        <w:t>. This Agreement has been duly authorized and executed by Seller and Red Iron and shall be binding upon and inure to the benefit of the parties hereto and their respective successors or assigns, subject to the limitations of this Section. Neither party may assign this Agreement without the prior written consent of the other (which consent shall not be unreasonably withheld), unless such assignment is to a successor-in-interest to the assigning party.</w:t>
      </w:r>
    </w:p>
    <w:p>
      <w:pPr>
        <w:spacing w:after="0" w:line="92" w:lineRule="exact"/>
        <w:rPr>
          <w:rFonts w:ascii="Arial" w:cs="Arial" w:eastAsia="Arial" w:hAnsi="Arial"/>
          <w:sz w:val="18"/>
          <w:szCs w:val="18"/>
          <w:color w:val="auto"/>
        </w:rPr>
      </w:pPr>
    </w:p>
    <w:p>
      <w:pPr>
        <w:ind w:left="892" w:right="100" w:hanging="446"/>
        <w:spacing w:after="0" w:line="272" w:lineRule="auto"/>
        <w:tabs>
          <w:tab w:leader="none" w:pos="892"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 No Partnership</w:t>
      </w:r>
      <w:r>
        <w:rPr>
          <w:rFonts w:ascii="Arial" w:cs="Arial" w:eastAsia="Arial" w:hAnsi="Arial"/>
          <w:sz w:val="17"/>
          <w:szCs w:val="17"/>
          <w:color w:val="auto"/>
        </w:rPr>
        <w:t>. 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110" w:lineRule="exact"/>
        <w:rPr>
          <w:sz w:val="20"/>
          <w:szCs w:val="20"/>
          <w:color w:val="auto"/>
        </w:rPr>
      </w:pPr>
    </w:p>
    <w:p>
      <w:pPr>
        <w:ind w:left="-8" w:right="300" w:firstLine="8"/>
        <w:spacing w:after="0" w:line="277" w:lineRule="auto"/>
        <w:tabs>
          <w:tab w:leader="none" w:pos="4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 of 13</w:t>
      </w:r>
    </w:p>
    <w:p>
      <w:pPr>
        <w:sectPr>
          <w:pgSz w:w="11900" w:h="16838" w:orient="portrait"/>
          <w:cols w:equalWidth="0" w:num="1">
            <w:col w:w="11392"/>
          </w:cols>
          <w:pgMar w:left="248" w:top="274" w:right="259" w:bottom="1440" w:gutter="0" w:footer="0" w:header="0"/>
        </w:sectPr>
      </w:pPr>
    </w:p>
    <w:bookmarkStart w:id="14" w:name="page15"/>
    <w:bookmarkEnd w:id="14"/>
    <w:p>
      <w:pPr>
        <w:ind w:left="892" w:right="160" w:hanging="446"/>
        <w:spacing w:after="0" w:line="264"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Notices and all other communication provided for herein shall be in writing and shall be deemed to have been given to a party at the earlier of (i) when personally delivered or (ii) one business day after deposit with a national overnight courier service; in each case addressed as follows:</w:t>
      </w:r>
    </w:p>
    <w:p>
      <w:pPr>
        <w:sectPr>
          <w:pgSz w:w="11900" w:h="16838" w:orient="portrait"/>
          <w:cols w:equalWidth="0" w:num="1">
            <w:col w:w="11412"/>
          </w:cols>
          <w:pgMar w:left="248" w:top="274" w:right="239" w:bottom="1440" w:gutter="0" w:footer="0" w:header="0"/>
        </w:sectPr>
      </w:pPr>
    </w:p>
    <w:p>
      <w:pPr>
        <w:spacing w:after="0" w:line="208" w:lineRule="exact"/>
        <w:rPr>
          <w:sz w:val="20"/>
          <w:szCs w:val="20"/>
          <w:color w:val="auto"/>
        </w:rPr>
      </w:pPr>
    </w:p>
    <w:p>
      <w:pPr>
        <w:jc w:val="center"/>
        <w:ind w:left="752"/>
        <w:spacing w:after="0"/>
        <w:rPr>
          <w:sz w:val="20"/>
          <w:szCs w:val="20"/>
          <w:color w:val="auto"/>
        </w:rPr>
      </w:pPr>
      <w:r>
        <w:rPr>
          <w:rFonts w:ascii="Arial" w:cs="Arial" w:eastAsia="Arial" w:hAnsi="Arial"/>
          <w:sz w:val="17"/>
          <w:szCs w:val="17"/>
          <w:color w:val="auto"/>
        </w:rPr>
        <w:t>If to Red Iron: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Red Iron Acceptance,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w:t>
      </w:r>
    </w:p>
    <w:p>
      <w:pPr>
        <w:spacing w:after="0" w:line="200" w:lineRule="exact"/>
        <w:rPr>
          <w:sz w:val="20"/>
          <w:szCs w:val="20"/>
          <w:color w:val="auto"/>
        </w:rPr>
      </w:pPr>
    </w:p>
    <w:p>
      <w:pPr>
        <w:sectPr>
          <w:pgSz w:w="11900" w:h="16838" w:orient="portrait"/>
          <w:cols w:equalWidth="0" w:num="2">
            <w:col w:w="2152" w:space="720"/>
            <w:col w:w="8540"/>
          </w:cols>
          <w:pgMar w:left="248" w:top="274" w:right="239" w:bottom="1440" w:gutter="0" w:footer="0" w:header="0"/>
          <w:type w:val="continuous"/>
        </w:sectPr>
      </w:pPr>
    </w:p>
    <w:p>
      <w:pPr>
        <w:spacing w:after="0" w:line="34" w:lineRule="exact"/>
        <w:rPr>
          <w:sz w:val="20"/>
          <w:szCs w:val="20"/>
          <w:color w:val="auto"/>
        </w:rPr>
      </w:pPr>
    </w:p>
    <w:p>
      <w:pPr>
        <w:ind w:left="932"/>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3" w:lineRule="exact"/>
        <w:rPr>
          <w:sz w:val="20"/>
          <w:szCs w:val="20"/>
          <w:color w:val="auto"/>
        </w:rPr>
      </w:pPr>
    </w:p>
    <w:p>
      <w:pPr>
        <w:sectPr>
          <w:pgSz w:w="11900" w:h="16838" w:orient="portrait"/>
          <w:cols w:equalWidth="0" w:num="2">
            <w:col w:w="2152" w:space="720"/>
            <w:col w:w="8540"/>
          </w:cols>
          <w:pgMar w:left="248" w:top="274" w:right="239" w:bottom="1440" w:gutter="0" w:footer="0" w:header="0"/>
          <w:type w:val="continuous"/>
        </w:sectPr>
      </w:pPr>
    </w:p>
    <w:p>
      <w:pPr>
        <w:ind w:left="912" w:right="10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expect that notices of change of address shall be effective only upon receipt.</w:t>
      </w:r>
    </w:p>
    <w:p>
      <w:pPr>
        <w:spacing w:after="0" w:line="76" w:lineRule="exact"/>
        <w:rPr>
          <w:sz w:val="20"/>
          <w:szCs w:val="20"/>
          <w:color w:val="auto"/>
        </w:rPr>
      </w:pPr>
    </w:p>
    <w:p>
      <w:pPr>
        <w:ind w:left="892" w:hanging="446"/>
        <w:spacing w:after="0"/>
        <w:tabs>
          <w:tab w:leader="none" w:pos="89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subject to and governed by the laws of the state of Illinois, without regard to conflicts of law principles.</w:t>
      </w:r>
    </w:p>
    <w:p>
      <w:pPr>
        <w:spacing w:after="0" w:line="153" w:lineRule="exact"/>
        <w:rPr>
          <w:rFonts w:ascii="Arial" w:cs="Arial" w:eastAsia="Arial" w:hAnsi="Arial"/>
          <w:sz w:val="16"/>
          <w:szCs w:val="16"/>
          <w:color w:val="auto"/>
        </w:rPr>
      </w:pPr>
    </w:p>
    <w:p>
      <w:pPr>
        <w:ind w:left="892" w:hanging="446"/>
        <w:spacing w:after="0" w:line="264"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86" w:lineRule="exact"/>
        <w:rPr>
          <w:rFonts w:ascii="Arial" w:cs="Arial" w:eastAsia="Arial" w:hAnsi="Arial"/>
          <w:sz w:val="18"/>
          <w:szCs w:val="18"/>
          <w:color w:val="auto"/>
        </w:rPr>
      </w:pPr>
    </w:p>
    <w:p>
      <w:pPr>
        <w:ind w:left="892" w:right="640" w:hanging="446"/>
        <w:spacing w:after="0" w:line="277"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Seller agrees to pay all reasonable out of pocket costs and expenses, including attorneys’ fees, actually incurred by Red Iron in enforcing any of the provisions of this Agreement.</w:t>
      </w:r>
    </w:p>
    <w:p>
      <w:pPr>
        <w:spacing w:after="0" w:line="75" w:lineRule="exact"/>
        <w:rPr>
          <w:rFonts w:ascii="Arial" w:cs="Arial" w:eastAsia="Arial" w:hAnsi="Arial"/>
          <w:sz w:val="18"/>
          <w:szCs w:val="18"/>
          <w:color w:val="auto"/>
        </w:rPr>
      </w:pPr>
    </w:p>
    <w:p>
      <w:pPr>
        <w:ind w:left="892" w:right="180" w:hanging="446"/>
        <w:spacing w:after="0" w:line="257"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SELLER AND RED IRON, TO THE FULLEST EXTENT PERMITTED BY APPLICABLE LAW, HEREBY KNOWINGLY, VOLUNTARILY AND IRREVOCABLY WAIVES ALL RIGHT TO TRIAL BY JURY AS TO ANY ISSUE RELATING TO THIS AGREEMENT IN ANY ACTION, PROCEEDING, OR COUNTERCLAIM ARISING OUT OF OR RELATING TO THIS AGREEMENT OR THE TRANSACTIONS CONTEMPLATED HEREBY. THIS WAIVER IS A MATERIAL INDUCEMENT FOR OUR ENTERING INTO THIS AGREEMENT.</w:t>
      </w:r>
    </w:p>
    <w:p>
      <w:pPr>
        <w:spacing w:after="0" w:line="93" w:lineRule="exact"/>
        <w:rPr>
          <w:rFonts w:ascii="Arial" w:cs="Arial" w:eastAsia="Arial" w:hAnsi="Arial"/>
          <w:sz w:val="18"/>
          <w:szCs w:val="18"/>
          <w:color w:val="auto"/>
        </w:rPr>
      </w:pPr>
    </w:p>
    <w:p>
      <w:pPr>
        <w:ind w:left="892" w:right="40" w:hanging="446"/>
        <w:spacing w:after="0" w:line="290" w:lineRule="auto"/>
        <w:tabs>
          <w:tab w:leader="none" w:pos="89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Seller and Red Iron hereby irrevocably submits to the non-exclusive jurisdiction of the Federal courts and the courts of the state of Minnesota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 such courts and that service of process may be made on it at the address indicated in </w:t>
      </w:r>
      <w:r>
        <w:rPr>
          <w:rFonts w:ascii="Arial" w:cs="Arial" w:eastAsia="Arial" w:hAnsi="Arial"/>
          <w:sz w:val="16"/>
          <w:szCs w:val="16"/>
          <w:b w:val="1"/>
          <w:bCs w:val="1"/>
          <w:color w:val="auto"/>
        </w:rPr>
        <w:t>Section 10(c)</w:t>
      </w:r>
      <w:r>
        <w:rPr>
          <w:rFonts w:ascii="Arial" w:cs="Arial" w:eastAsia="Arial" w:hAnsi="Arial"/>
          <w:sz w:val="16"/>
          <w:szCs w:val="16"/>
          <w:color w:val="auto"/>
        </w:rPr>
        <w:t>. Nothing herein shall affect the right to serve process in any other manner permitted by law.</w:t>
      </w:r>
    </w:p>
    <w:p>
      <w:pPr>
        <w:spacing w:after="0" w:line="71" w:lineRule="exact"/>
        <w:rPr>
          <w:rFonts w:ascii="Arial" w:cs="Arial" w:eastAsia="Arial" w:hAnsi="Arial"/>
          <w:sz w:val="16"/>
          <w:szCs w:val="16"/>
          <w:color w:val="auto"/>
        </w:rPr>
      </w:pPr>
    </w:p>
    <w:p>
      <w:pPr>
        <w:ind w:left="892" w:right="180" w:hanging="446"/>
        <w:spacing w:after="0" w:line="277"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Limitation on Damages</w:t>
      </w:r>
      <w:r>
        <w:rPr>
          <w:rFonts w:ascii="Arial" w:cs="Arial" w:eastAsia="Arial" w:hAnsi="Arial"/>
          <w:sz w:val="18"/>
          <w:szCs w:val="18"/>
          <w:color w:val="auto"/>
        </w:rPr>
        <w:t>. NO PARTY TO THIS AGREEMENT SHALL BE RESPONSIBLE OR LIABLE TO ANY OTHER PARTY TO THIS AGREEMENT, ANY SUCCESSOR, ASSIGNEE OR</w:t>
      </w:r>
    </w:p>
    <w:p>
      <w:pPr>
        <w:spacing w:after="0" w:line="102" w:lineRule="exact"/>
        <w:rPr>
          <w:rFonts w:ascii="Arial" w:cs="Arial" w:eastAsia="Arial" w:hAnsi="Arial"/>
          <w:sz w:val="18"/>
          <w:szCs w:val="18"/>
          <w:color w:val="auto"/>
        </w:rPr>
      </w:pPr>
    </w:p>
    <w:p>
      <w:pPr>
        <w:ind w:left="-8" w:right="320" w:firstLine="8"/>
        <w:spacing w:after="0" w:line="277" w:lineRule="auto"/>
        <w:tabs>
          <w:tab w:leader="none" w:pos="4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 of 13</w:t>
      </w:r>
    </w:p>
    <w:p>
      <w:pPr>
        <w:sectPr>
          <w:pgSz w:w="11900" w:h="16838" w:orient="portrait"/>
          <w:cols w:equalWidth="0" w:num="1">
            <w:col w:w="11412"/>
          </w:cols>
          <w:pgMar w:left="248" w:top="274" w:right="239" w:bottom="1440" w:gutter="0" w:footer="0" w:header="0"/>
          <w:type w:val="continuous"/>
        </w:sectPr>
      </w:pPr>
    </w:p>
    <w:bookmarkStart w:id="15" w:name="page16"/>
    <w:bookmarkEnd w:id="15"/>
    <w:p>
      <w:pPr>
        <w:ind w:left="912"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92" w:lineRule="exact"/>
        <w:rPr>
          <w:sz w:val="20"/>
          <w:szCs w:val="20"/>
          <w:color w:val="auto"/>
        </w:rPr>
      </w:pPr>
    </w:p>
    <w:p>
      <w:pPr>
        <w:ind w:left="892" w:right="260" w:hanging="446"/>
        <w:spacing w:after="0" w:line="264" w:lineRule="auto"/>
        <w:tabs>
          <w:tab w:leader="none" w:pos="8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86" w:lineRule="exact"/>
        <w:rPr>
          <w:rFonts w:ascii="Arial" w:cs="Arial" w:eastAsia="Arial" w:hAnsi="Arial"/>
          <w:sz w:val="18"/>
          <w:szCs w:val="18"/>
          <w:color w:val="auto"/>
        </w:rPr>
      </w:pPr>
    </w:p>
    <w:p>
      <w:pPr>
        <w:ind w:left="892" w:right="40" w:hanging="446"/>
        <w:spacing w:after="0" w:line="264" w:lineRule="auto"/>
        <w:tabs>
          <w:tab w:leader="none" w:pos="8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86" w:lineRule="exact"/>
        <w:rPr>
          <w:rFonts w:ascii="Arial" w:cs="Arial" w:eastAsia="Arial" w:hAnsi="Arial"/>
          <w:sz w:val="18"/>
          <w:szCs w:val="18"/>
          <w:color w:val="auto"/>
        </w:rPr>
      </w:pPr>
    </w:p>
    <w:p>
      <w:pPr>
        <w:ind w:left="892" w:hanging="446"/>
        <w:spacing w:after="0" w:line="255" w:lineRule="auto"/>
        <w:tabs>
          <w:tab w:leader="none" w:pos="8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Headings; Interpretation</w:t>
      </w:r>
      <w:r>
        <w:rPr>
          <w:rFonts w:ascii="Arial" w:cs="Arial" w:eastAsia="Arial" w:hAnsi="Arial"/>
          <w:sz w:val="18"/>
          <w:szCs w:val="18"/>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(ii) the words “include” and “including” and words of similar import shall not be construed to be limiting or exclusive and (iii) the word “or” shall have the meaning represented by the phrase “and/or.” Any calculation involving a Program Year will be appropriately pro-rated for any partial Program Year during the term of this Agreement. Except as otherwise specified in this Agreement, all dollar amounts are in United States dollars.</w:t>
      </w:r>
    </w:p>
    <w:p>
      <w:pPr>
        <w:spacing w:after="0" w:line="1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left="-8" w:right="300" w:firstLine="8"/>
        <w:spacing w:after="0" w:line="277" w:lineRule="auto"/>
        <w:tabs>
          <w:tab w:leader="none" w:pos="4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 of 13</w:t>
      </w:r>
    </w:p>
    <w:p>
      <w:pPr>
        <w:sectPr>
          <w:pgSz w:w="11900" w:h="16838" w:orient="portrait"/>
          <w:cols w:equalWidth="0" w:num="1">
            <w:col w:w="11392"/>
          </w:cols>
          <w:pgMar w:left="248"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executed on this 30th day of June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The Toro Company</w:t>
            </w:r>
          </w:p>
        </w:tc>
        <w:tc>
          <w:tcPr>
            <w:tcW w:w="6360" w:type="dxa"/>
            <w:vAlign w:val="bottom"/>
            <w:gridSpan w:val="3"/>
          </w:tcPr>
          <w:p>
            <w:pPr>
              <w:ind w:left="1240"/>
              <w:spacing w:after="0"/>
              <w:rPr>
                <w:sz w:val="20"/>
                <w:szCs w:val="20"/>
                <w:color w:val="auto"/>
              </w:rPr>
            </w:pPr>
            <w:r>
              <w:rPr>
                <w:rFonts w:ascii="Arial" w:cs="Arial" w:eastAsia="Arial" w:hAnsi="Arial"/>
                <w:sz w:val="18"/>
                <w:szCs w:val="18"/>
                <w:b w:val="1"/>
                <w:bCs w:val="1"/>
                <w:color w:val="auto"/>
              </w:rPr>
              <w:t>Red Iron Acceptance, LLC</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Seller</w:t>
            </w:r>
          </w:p>
        </w:tc>
        <w:tc>
          <w:tcPr>
            <w:tcW w:w="390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r>
      <w:tr>
        <w:trPr>
          <w:trHeight w:val="431"/>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J. Peterson</w:t>
            </w:r>
          </w:p>
        </w:tc>
        <w:tc>
          <w:tcPr>
            <w:tcW w:w="2380" w:type="dxa"/>
            <w:vAlign w:val="bottom"/>
            <w:gridSpan w:val="2"/>
          </w:tcPr>
          <w:p>
            <w:pPr>
              <w:ind w:left="12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Wrend</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900" w:type="dxa"/>
            <w:vAlign w:val="bottom"/>
          </w:tcPr>
          <w:p>
            <w:pPr>
              <w:spacing w:after="0"/>
              <w:rPr>
                <w:sz w:val="20"/>
                <w:szCs w:val="20"/>
                <w:color w:val="auto"/>
              </w:rPr>
            </w:pPr>
            <w:r>
              <w:rPr>
                <w:rFonts w:ascii="Arial" w:cs="Arial" w:eastAsia="Arial" w:hAnsi="Arial"/>
                <w:sz w:val="18"/>
                <w:szCs w:val="18"/>
                <w:color w:val="auto"/>
              </w:rPr>
              <w:t>Renee J. Peterson</w:t>
            </w:r>
          </w:p>
        </w:tc>
        <w:tc>
          <w:tcPr>
            <w:tcW w:w="2380" w:type="dxa"/>
            <w:vAlign w:val="bottom"/>
            <w:gridSpan w:val="2"/>
          </w:tcPr>
          <w:p>
            <w:pPr>
              <w:ind w:left="1240"/>
              <w:spacing w:after="0"/>
              <w:rPr>
                <w:sz w:val="20"/>
                <w:szCs w:val="20"/>
                <w:color w:val="auto"/>
              </w:rPr>
            </w:pPr>
            <w:r>
              <w:rPr>
                <w:rFonts w:ascii="Arial" w:cs="Arial" w:eastAsia="Arial" w:hAnsi="Arial"/>
                <w:sz w:val="18"/>
                <w:szCs w:val="18"/>
                <w:color w:val="auto"/>
              </w:rPr>
              <w:t>Print Name:</w:t>
            </w:r>
          </w:p>
        </w:tc>
        <w:tc>
          <w:tcPr>
            <w:tcW w:w="3980" w:type="dxa"/>
            <w:vAlign w:val="bottom"/>
          </w:tcPr>
          <w:p>
            <w:pPr>
              <w:spacing w:after="0"/>
              <w:rPr>
                <w:sz w:val="20"/>
                <w:szCs w:val="20"/>
                <w:color w:val="auto"/>
              </w:rPr>
            </w:pPr>
            <w:r>
              <w:rPr>
                <w:rFonts w:ascii="Arial" w:cs="Arial" w:eastAsia="Arial" w:hAnsi="Arial"/>
                <w:sz w:val="18"/>
                <w:szCs w:val="18"/>
                <w:color w:val="auto"/>
              </w:rPr>
              <w:t>Mark Wrend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Vice President, Treasurer and</w:t>
            </w:r>
          </w:p>
        </w:tc>
        <w:tc>
          <w:tcPr>
            <w:tcW w:w="2380" w:type="dxa"/>
            <w:vAlign w:val="bottom"/>
            <w:gridSpan w:val="2"/>
          </w:tcPr>
          <w:p>
            <w:pPr>
              <w:ind w:left="12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230"/>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148" w:lineRule="exact"/>
        <w:rPr>
          <w:sz w:val="20"/>
          <w:szCs w:val="20"/>
          <w:color w:val="auto"/>
        </w:rPr>
      </w:pPr>
    </w:p>
    <w:p>
      <w:pPr>
        <w:ind w:right="320" w:firstLine="8"/>
        <w:spacing w:after="0" w:line="277"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2"/>
    </w:lvl>
    <w:lvl w:ilvl="1">
      <w:lvlJc w:val="left"/>
      <w:lvlText w:val="(%2)"/>
      <w:numFmt w:val="low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lvl w:ilvl="1">
      <w:lvlJc w:val="left"/>
      <w:lvlText w:val="(%2)"/>
      <w:numFmt w:val="lowerLetter"/>
      <w:start w:val="3"/>
    </w:lvl>
  </w:abstractNum>
  <w:abstractNum w:abstractNumId="10">
    <w:nsid w:val="257130A3"/>
    <w:multiLevelType w:val="hybridMultilevel"/>
    <w:lvl w:ilvl="0">
      <w:lvlJc w:val="left"/>
      <w:lvlText w:val="%1."/>
      <w:numFmt w:val="decimal"/>
      <w:start w:val="3"/>
    </w:lvl>
    <w:lvl w:ilvl="1">
      <w:lvlJc w:val="left"/>
      <w:lvlText w:val="(%2)"/>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2)"/>
      <w:numFmt w:val="lowerLetter"/>
      <w:start w:val="5"/>
    </w:lvl>
  </w:abstractNum>
  <w:abstractNum w:abstractNumId="13">
    <w:nsid w:val="628C895D"/>
    <w:multiLevelType w:val="hybridMultilevel"/>
    <w:lvl w:ilvl="0">
      <w:lvlJc w:val="left"/>
      <w:lvlText w:val="%1."/>
      <w:numFmt w:val="decimal"/>
      <w:start w:val="4"/>
    </w:lvl>
    <w:lvl w:ilvl="1">
      <w:lvlJc w:val="left"/>
      <w:lvlText w:val="(%2)"/>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lvl w:ilvl="1">
      <w:lvlJc w:val="left"/>
      <w:lvlText w:val="(%2)"/>
      <w:numFmt w:val="lowerLetter"/>
      <w:start w:val="3"/>
    </w:lvl>
  </w:abstractNum>
  <w:abstractNum w:abstractNumId="18">
    <w:nsid w:val="6763845E"/>
    <w:multiLevelType w:val="hybridMultilevel"/>
    <w:lvl w:ilvl="0">
      <w:lvlJc w:val="left"/>
      <w:lvlText w:val="%1."/>
      <w:numFmt w:val="decimal"/>
      <w:start w:val="7"/>
    </w:lvl>
    <w:lvl w:ilvl="1">
      <w:lvlJc w:val="left"/>
      <w:lvlText w:val="(%2)"/>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lvl w:ilvl="1">
      <w:lvlJc w:val="left"/>
      <w:lvlText w:val="(%2)"/>
      <w:numFmt w:val="lowerLetter"/>
      <w:start w:val="3"/>
    </w:lvl>
  </w:abstractNum>
  <w:abstractNum w:abstractNumId="21">
    <w:nsid w:val="79838CB2"/>
    <w:multiLevelType w:val="hybridMultilevel"/>
    <w:lvl w:ilvl="0">
      <w:lvlJc w:val="left"/>
      <w:lvlText w:val="%1."/>
      <w:numFmt w:val="decimal"/>
      <w:start w:val="9"/>
    </w:lvl>
    <w:lvl w:ilvl="1">
      <w:lvlJc w:val="left"/>
      <w:lvlText w:val="(%2)"/>
      <w:numFmt w:val="lowerLetter"/>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
      <w:numFmt w:val="bullet"/>
      <w:start w:val="1"/>
    </w:lvl>
    <w:lvl w:ilvl="1">
      <w:lvlJc w:val="left"/>
      <w:lvlText w:val="(%2)"/>
      <w:numFmt w:val="lowerLetter"/>
      <w:start w:val="4"/>
    </w:lvl>
  </w:abstractNum>
  <w:abstractNum w:abstractNumId="25">
    <w:nsid w:val="54E49EB4"/>
    <w:multiLevelType w:val="hybridMultilevel"/>
    <w:lvl w:ilvl="0">
      <w:lvlJc w:val="left"/>
      <w:lvlText w:val="(%1)"/>
      <w:numFmt w:val="lowerLetter"/>
      <w:start w:val="10"/>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2019-12-05T16:55:27Z</dcterms:created>
  <dcterms:modified xsi:type="dcterms:W3CDTF">2019-12-05T16:55:27Z</dcterms:modified>
</cp:coreProperties>
</file>