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3"/>
        <w:spacing w:after="0"/>
        <w:rPr>
          <w:sz w:val="20"/>
          <w:szCs w:val="20"/>
          <w:color w:val="auto"/>
        </w:rPr>
      </w:pPr>
      <w:r>
        <w:rPr>
          <w:rFonts w:ascii="Courier New" w:cs="Courier New" w:eastAsia="Courier New" w:hAnsi="Courier New"/>
          <w:sz w:val="16"/>
          <w:szCs w:val="16"/>
          <w:color w:val="auto"/>
        </w:rPr>
        <w:t>AS FILED WITH THE SECURITIES AND EXCHANGE COMMISSION ON FEBRUARY 13, 1997</w:t>
      </w:r>
    </w:p>
    <w:p>
      <w:pPr>
        <w:spacing w:after="0" w:line="364" w:lineRule="exact"/>
        <w:rPr>
          <w:sz w:val="24"/>
          <w:szCs w:val="24"/>
          <w:color w:val="auto"/>
        </w:rPr>
      </w:pPr>
    </w:p>
    <w:p>
      <w:pPr>
        <w:ind w:left="4823"/>
        <w:spacing w:after="0"/>
        <w:rPr>
          <w:sz w:val="20"/>
          <w:szCs w:val="20"/>
          <w:color w:val="auto"/>
        </w:rPr>
      </w:pPr>
      <w:r>
        <w:rPr>
          <w:rFonts w:ascii="Courier New" w:cs="Courier New" w:eastAsia="Courier New" w:hAnsi="Courier New"/>
          <w:sz w:val="16"/>
          <w:szCs w:val="16"/>
          <w:color w:val="auto"/>
        </w:rPr>
        <w:t>REGISTRATION NO. 33-4521</w:t>
      </w:r>
    </w:p>
    <w:p>
      <w:pPr>
        <w:spacing w:after="0" w:line="186"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1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SECURITIES AND EXCHANGE COMMISSION</w:t>
      </w:r>
    </w:p>
    <w:p>
      <w:pPr>
        <w:ind w:left="27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POST-EFFECTIVE</w:t>
      </w:r>
    </w:p>
    <w:p>
      <w:pPr>
        <w:spacing w:after="0" w:line="1"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AMENDMENT NO. 2</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FORM S-3</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REGISTRATION STATEMENT</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2"/>
          </w:cols>
          <w:pgMar w:left="237" w:top="598" w:right="1440" w:bottom="1440" w:gutter="0" w:footer="0" w:header="0"/>
        </w:sectPr>
      </w:pPr>
    </w:p>
    <w:p>
      <w:pPr>
        <w:spacing w:after="0" w:line="364"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Delaware</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41-0580470</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0" w:lineRule="exact"/>
        <w:rPr>
          <w:sz w:val="24"/>
          <w:szCs w:val="24"/>
          <w:color w:val="auto"/>
        </w:rPr>
      </w:pPr>
    </w:p>
    <w:p>
      <w:pPr>
        <w:sectPr>
          <w:pgSz w:w="11900" w:h="16838" w:orient="portrait"/>
          <w:cols w:equalWidth="0" w:num="2">
            <w:col w:w="5043" w:space="720"/>
            <w:col w:w="4459"/>
          </w:cols>
          <w:pgMar w:left="237" w:top="598" w:right="1440" w:bottom="1440" w:gutter="0" w:footer="0" w:header="0"/>
          <w:type w:val="continuous"/>
        </w:sectPr>
      </w:pPr>
    </w:p>
    <w:p>
      <w:pPr>
        <w:jc w:val="center"/>
        <w:ind w:right="2656"/>
        <w:spacing w:after="0"/>
        <w:rPr>
          <w:sz w:val="20"/>
          <w:szCs w:val="20"/>
          <w:color w:val="auto"/>
        </w:rPr>
      </w:pPr>
      <w:r>
        <w:rPr>
          <w:rFonts w:ascii="Courier New" w:cs="Courier New" w:eastAsia="Courier New" w:hAnsi="Courier New"/>
          <w:sz w:val="16"/>
          <w:szCs w:val="16"/>
          <w:color w:val="auto"/>
        </w:rPr>
        <w:t>8111 LYNDALE AVENUE SOUTH, BLOOMINGTON, MINNESOTA 55420-1196</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(612) 888-8801</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including zip code, and telephone number, including area code,</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of registrant's principal executive offices)</w:t>
      </w:r>
    </w:p>
    <w:p>
      <w:pPr>
        <w:spacing w:after="0" w:line="1"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663"/>
        <w:spacing w:after="0"/>
        <w:rPr>
          <w:sz w:val="20"/>
          <w:szCs w:val="20"/>
          <w:color w:val="auto"/>
        </w:rPr>
      </w:pPr>
      <w:r>
        <w:rPr>
          <w:rFonts w:ascii="Courier New" w:cs="Courier New" w:eastAsia="Courier New" w:hAnsi="Courier New"/>
          <w:sz w:val="16"/>
          <w:szCs w:val="16"/>
          <w:color w:val="auto"/>
        </w:rPr>
        <w:t>J. LAWRENCE MCINTYRE, VICE PRESIDENT, SECRETARY AND GENERAL COUNSEL</w:t>
      </w:r>
    </w:p>
    <w:p>
      <w:pPr>
        <w:spacing w:after="0" w:line="5" w:lineRule="exact"/>
        <w:rPr>
          <w:sz w:val="24"/>
          <w:szCs w:val="24"/>
          <w:color w:val="auto"/>
        </w:rPr>
      </w:pPr>
    </w:p>
    <w:p>
      <w:pPr>
        <w:ind w:left="103"/>
        <w:spacing w:after="0"/>
        <w:rPr>
          <w:sz w:val="20"/>
          <w:szCs w:val="20"/>
          <w:color w:val="auto"/>
        </w:rPr>
      </w:pPr>
      <w:r>
        <w:rPr>
          <w:rFonts w:ascii="Courier New" w:cs="Courier New" w:eastAsia="Courier New" w:hAnsi="Courier New"/>
          <w:sz w:val="15"/>
          <w:szCs w:val="15"/>
          <w:color w:val="auto"/>
        </w:rPr>
        <w:t>THE TORO COMPANY, 8111 LYNDALE AVENUE SOUTH, BLOOMINGTON, MINNESOTA 55420-1196</w:t>
      </w:r>
    </w:p>
    <w:p>
      <w:pPr>
        <w:spacing w:after="0" w:line="8"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TELEPHONE: (612) 888-8801</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 of</w:t>
      </w:r>
    </w:p>
    <w:p>
      <w:pPr>
        <w:spacing w:after="0" w:line="8"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agent for service)</w:t>
      </w:r>
    </w:p>
    <w:p>
      <w:pPr>
        <w:spacing w:after="0" w:line="1"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Copies to:</w:t>
      </w:r>
    </w:p>
    <w:p>
      <w:pPr>
        <w:spacing w:after="0" w:line="1"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C. ROBERT BEATTIE</w:t>
      </w:r>
    </w:p>
    <w:p>
      <w:pPr>
        <w:spacing w:after="0" w:line="1"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DOHERTY, RUMBLE &amp; BUTLER PROFESSIONAL ASSOCIATION</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3500 FIFTH STREET TOWERS</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150 SOUTH FIFTH STREET</w:t>
      </w:r>
    </w:p>
    <w:p>
      <w:pPr>
        <w:spacing w:after="0" w:line="1" w:lineRule="exact"/>
        <w:rPr>
          <w:sz w:val="24"/>
          <w:szCs w:val="24"/>
          <w:color w:val="auto"/>
        </w:rPr>
      </w:pPr>
    </w:p>
    <w:p>
      <w:pPr>
        <w:ind w:left="2263"/>
        <w:spacing w:after="0"/>
        <w:rPr>
          <w:sz w:val="20"/>
          <w:szCs w:val="20"/>
          <w:color w:val="auto"/>
        </w:rPr>
      </w:pPr>
      <w:r>
        <w:rPr>
          <w:rFonts w:ascii="Courier New" w:cs="Courier New" w:eastAsia="Courier New" w:hAnsi="Courier New"/>
          <w:sz w:val="16"/>
          <w:szCs w:val="16"/>
          <w:color w:val="auto"/>
        </w:rPr>
        <w:t>MINNEAPOLIS, MINNESOTA 55402-4235</w:t>
      </w:r>
    </w:p>
    <w:p>
      <w:pPr>
        <w:spacing w:after="0" w:line="1" w:lineRule="exact"/>
        <w:rPr>
          <w:sz w:val="24"/>
          <w:szCs w:val="24"/>
          <w:color w:val="auto"/>
        </w:rPr>
      </w:pPr>
    </w:p>
    <w:p>
      <w:pPr>
        <w:ind w:left="1423"/>
        <w:spacing w:after="0"/>
        <w:tabs>
          <w:tab w:leader="none" w:pos="2543" w:val="left"/>
        </w:tabs>
        <w:rPr>
          <w:sz w:val="20"/>
          <w:szCs w:val="20"/>
          <w:color w:val="auto"/>
        </w:rPr>
      </w:pPr>
      <w:r>
        <w:rPr>
          <w:rFonts w:ascii="Courier New" w:cs="Courier New" w:eastAsia="Courier New" w:hAnsi="Courier New"/>
          <w:sz w:val="16"/>
          <w:szCs w:val="16"/>
          <w:color w:val="auto"/>
        </w:rPr>
        <w:t>TELEPHONE:</w:t>
        <w:tab/>
        <w:t>(612) 340-5555 TELEFAX: (612) 340-5584</w:t>
      </w:r>
    </w:p>
    <w:p>
      <w:pPr>
        <w:spacing w:after="0" w:line="1"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APPROXIMATE DATE OF COMMENCEMENT OF PROPOSED SALE TO THE PUBLIC:</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AS SOON AS PRACTICABLE AFTER THE EFFECTIVE DATE OF THE REGISTRATION STATEMENT.</w:t>
      </w:r>
    </w:p>
    <w:p>
      <w:pPr>
        <w:spacing w:after="0" w:line="186" w:lineRule="exact"/>
        <w:rPr>
          <w:sz w:val="24"/>
          <w:szCs w:val="24"/>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8" w:lineRule="exact"/>
        <w:rPr>
          <w:sz w:val="24"/>
          <w:szCs w:val="24"/>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369" w:lineRule="exact"/>
        <w:rPr>
          <w:sz w:val="24"/>
          <w:szCs w:val="24"/>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10222"/>
          </w:cols>
          <w:pgMar w:left="237" w:top="598" w:right="1440" w:bottom="1440" w:gutter="0" w:footer="0" w:header="0"/>
          <w:type w:val="continuous"/>
        </w:sectPr>
      </w:pPr>
    </w:p>
    <w:bookmarkStart w:id="1" w:name="page2"/>
    <w:bookmarkEnd w:id="1"/>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OF FORM S-3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CROSS REFERENCE SHEET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LOCATION IN PROSPECTUS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Front cover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Information; Incorporation of Certain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Documents by Reference.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Stockholders.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of Distribution.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2">
            <w:col w:w="1640" w:space="720"/>
            <w:col w:w="7859"/>
          </w:cols>
          <w:pgMar w:left="240" w:top="65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PROSPECTUS</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67,687 SHARES</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THE TORO COMPANY</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COMMON STOCK</w:t>
      </w:r>
    </w:p>
    <w:p>
      <w:pPr>
        <w:spacing w:after="0" w:line="36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This Prospectus relates to the resale of up to 67,687 shares of Common Stock, $1.00 par value per share and related Preferred Share Purchase Rights (the "Shares") of The Toro Company, a Delaware corporation (the "Company"), issued to shareholders ("Selling Stockholders") of Integration Control Systems &amp; Services, Inc., a Texas corporation ("ICSS") pursuant to an Agreement and Plan of Reorganization between the Company, ICSS, and National Tech Network Inc., a Texas corporation and wholly owned subsidiary of the Company ("NTN").</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securities covered by this Prospectus may be resold from time to time by the Selling Stockholders, and such resales may be effected in one or more transactions that may take place on the New York Stock Exchange ("NYSE") through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Stockholders.</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Company will not receive any of the proceeds from the sale of such Shares. The Company's Common Stock (and related Preferred Share Purchase Rights) is traded on the NYSE under the symbol TTC. On May 20, 1996, the last sale price for the Common Stock as reported on the New York Stock Exchange Composite Tape was $31.125 per share.</w:t>
      </w:r>
    </w:p>
    <w:p>
      <w:pPr>
        <w:spacing w:after="0" w:line="367"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460" w:right="3119"/>
        <w:spacing w:after="0" w:line="239"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85"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The date of this Prospectus is February 13, 1997.</w:t>
      </w:r>
    </w:p>
    <w:p>
      <w:pPr>
        <w:sectPr>
          <w:pgSz w:w="11900" w:h="16838" w:orient="portrait"/>
          <w:cols w:equalWidth="0" w:num="1">
            <w:col w:w="10219"/>
          </w:cols>
          <w:pgMar w:left="240" w:top="659" w:right="1440" w:bottom="1440" w:gutter="0" w:footer="0" w:header="0"/>
        </w:sectPr>
      </w:pPr>
    </w:p>
    <w:bookmarkStart w:id="3" w:name="page4"/>
    <w:bookmarkEnd w:id="3"/>
    <w:p>
      <w:pPr>
        <w:ind w:left="2840"/>
        <w:spacing w:after="0"/>
        <w:rPr>
          <w:sz w:val="20"/>
          <w:szCs w:val="20"/>
          <w:color w:val="auto"/>
        </w:rPr>
      </w:pPr>
      <w:r>
        <w:rPr>
          <w:rFonts w:ascii="Courier New" w:cs="Courier New" w:eastAsia="Courier New" w:hAnsi="Courier New"/>
          <w:sz w:val="16"/>
          <w:szCs w:val="16"/>
          <w:color w:val="auto"/>
        </w:rPr>
        <w:t>AVAILABLE INFORMATION</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statements and other information filed by the Company with the Commission can be inspected and copied at the public reference facilities maintained by the Commission at 450 Fifth Street, N.W., Washington, D.C. 20549 and at the regional offices of the Commission at 7 World Trade Center, New York, New York 10048 and 50 West Madison Street, 14th Floor, Chicago, Illinois 60611. Copies of such material can also be obtained from the Public Reference Section of the Commission at 450 Fifth Street, N.W., Washington, D.C. 20459 at rates prescribed by the Commission.</w:t>
      </w:r>
    </w:p>
    <w:p>
      <w:pPr>
        <w:spacing w:after="0" w:line="189"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Common Stock of the Company is listed for trading on the NYSE. Reports, proxy statements and other information concerning the Company can be inspected at such exchange.</w:t>
      </w:r>
    </w:p>
    <w:p>
      <w:pPr>
        <w:spacing w:after="0" w:line="188"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This Prospectus constitutes a part of a registration statement filed on Form S-3 (herein, together with all amendments and exhibits, referred to as the "Registration Statement") by the Company with the Commission under the Securities Act of 1933, as amended. This Prospectus omits certain of the information contained in the Registration Statement, and reference is hereby made to the Registration Statement and related exhibits for further information with respect to the Company. Any statements contained herein concerning the provisions of any documents are not necessarily complete and, and in each instance, reference is made to the copy of each document filed as an exhibit to the Registration Statement or otherwise filed with the Commission. Each such statement is qualified in its entirety by such reference.</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No person has been authorized by the Company to give any information or to make any representations other than those contained in this Prospectus in connection with the offer contained in this Prospectus, and if given or made, such information or representations may not be relied upon as having been authorized by the Company. This Prospectus does not constitute an offer to sell or a solicitation of an offer to buy any of the securities in any jurisdiction in which such offer or solicitation is not authorized, or in which the person making such offer or solicitation is not qualified to do so, or to any person to whom it is unlawful to make such offer or solicitation. Neither the delivery of this Prospectus nor any sale made hereunder shall create an implication that there has been no change in the affairs of the Company since the date hereof.</w:t>
      </w:r>
    </w:p>
    <w:p>
      <w:pPr>
        <w:spacing w:after="0" w:line="35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documents filed with the Commission (File No. 1-8649)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1934 Act are incorporated herein by reference:</w:t>
      </w:r>
    </w:p>
    <w:p>
      <w:pPr>
        <w:spacing w:after="0" w:line="186" w:lineRule="exact"/>
        <w:rPr>
          <w:sz w:val="20"/>
          <w:szCs w:val="20"/>
          <w:color w:val="auto"/>
        </w:rPr>
      </w:pPr>
    </w:p>
    <w:p>
      <w:pPr>
        <w:ind w:left="940" w:right="3599" w:hanging="470"/>
        <w:spacing w:after="0" w:line="237" w:lineRule="auto"/>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fiscal year ended October 31, 1996;</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Report dated December 16, 1996;</w:t>
      </w:r>
    </w:p>
    <w:p>
      <w:pPr>
        <w:spacing w:after="0" w:line="186" w:lineRule="exact"/>
        <w:rPr>
          <w:rFonts w:ascii="Courier New" w:cs="Courier New" w:eastAsia="Courier New" w:hAnsi="Courier New"/>
          <w:sz w:val="16"/>
          <w:szCs w:val="16"/>
          <w:color w:val="auto"/>
        </w:rPr>
      </w:pPr>
    </w:p>
    <w:p>
      <w:pPr>
        <w:ind w:left="940" w:right="2759" w:hanging="470"/>
        <w:spacing w:after="0" w:line="237" w:lineRule="auto"/>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Proxy Statement for the annual meeting of stockholders held March 12, 1996;</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4" w:name="page5"/>
    <w:bookmarkEnd w:id="4"/>
    <w:p>
      <w:pPr>
        <w:ind w:left="940" w:right="2659" w:hanging="470"/>
        <w:spacing w:after="0" w:line="260" w:lineRule="auto"/>
        <w:tabs>
          <w:tab w:leader="none" w:pos="9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Company's Common Stock and Preferred Share Purchase Rights contained in the Company's registration statements filed under Section 12 of the Exchange Act, and any and all amendments and reports filed for the purpose of updating such description; and</w:t>
      </w:r>
    </w:p>
    <w:p>
      <w:pPr>
        <w:spacing w:after="0" w:line="173" w:lineRule="exact"/>
        <w:rPr>
          <w:rFonts w:ascii="Courier New" w:cs="Courier New" w:eastAsia="Courier New" w:hAnsi="Courier New"/>
          <w:sz w:val="15"/>
          <w:szCs w:val="15"/>
          <w:color w:val="auto"/>
        </w:rPr>
      </w:pPr>
    </w:p>
    <w:p>
      <w:pPr>
        <w:ind w:left="940" w:right="2659" w:hanging="470"/>
        <w:spacing w:after="0" w:line="239"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documents filed by the Company pursuant to Sections 13(a), 13(c), 14 or 15(d) of the 1934 Act subsequent to the date of this Prospectus and prior to the termination of the offering of the Shares made hereby shall be deemed incorporated by reference in this Prospectus and to be a part hereof from the date of the filing of such documents.</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herein by reference shall be deemed to be modified or superseded for purposes of this Prospectus to the extent that a statement contained herein or in any other subsequently filed documents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will provide without charge to each person to whom a copy of this Prospectus is delivered, upon the request of any such person, a copy of any or all of the documents which have been incorporated herein by reference, other than exhibits to such documents (unless such exhibits are specifically incorporated by reference into such documents). Requests for such documents should be directed to The Toro Company, 8111 Lyndale Avenue South, Minneapolis, MN 55420-1196, Attention: N. Jeanne Ryan, Assistant Secretary, Telephone (612) 888-8801.</w:t>
      </w:r>
    </w:p>
    <w:p>
      <w:pPr>
        <w:spacing w:after="0" w:line="187"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principal executive offices of the Company are located at 8111 Lyndale Avenue South, Bloomington, Minnesota 55420-1196.</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3" w:right="1440" w:bottom="1440" w:gutter="0" w:footer="0" w:header="0"/>
        </w:sectPr>
      </w:pPr>
    </w:p>
    <w:bookmarkStart w:id="5" w:name="page6"/>
    <w:bookmarkEnd w:id="5"/>
    <w:p>
      <w:pPr>
        <w:spacing w:after="0" w:line="24"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THE COMPANY</w:t>
      </w:r>
    </w:p>
    <w:p>
      <w:pPr>
        <w:spacing w:after="0" w:line="186" w:lineRule="exact"/>
        <w:rPr>
          <w:sz w:val="20"/>
          <w:szCs w:val="20"/>
          <w:color w:val="auto"/>
        </w:rPr>
      </w:pPr>
    </w:p>
    <w:p>
      <w:pPr>
        <w:ind w:left="3" w:right="3960" w:firstLine="473"/>
        <w:spacing w:after="0"/>
        <w:rPr>
          <w:sz w:val="20"/>
          <w:szCs w:val="20"/>
          <w:color w:val="auto"/>
        </w:rPr>
      </w:pPr>
      <w:r>
        <w:rPr>
          <w:rFonts w:ascii="Courier New" w:cs="Courier New" w:eastAsia="Courier New" w:hAnsi="Courier New"/>
          <w:sz w:val="16"/>
          <w:szCs w:val="16"/>
          <w:color w:val="auto"/>
        </w:rPr>
        <w:t>The Company is a leading manufacturer of consumer lawn mowers, snowthrowers, trimmers, commercial mowing and turf maintenance equipment and underground automatic irrigation systems. These products are sold under the Toro, Toro/Wheel Horse and Lawn-Boy brand names to the consumer market and professional market,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The Company sells most of its products through approximately 43 domestic distributors. Its Toro consumer products are generally resold to approximately 6,000 independent retail dealers in the United States. Toro riding mowers and lawn and garden tractors are sold primarily directly to approximately 2,500 retail service dealers throughout the United States, through distributors acting as sales agents. Toro electrical home improvement products are sold primarily to mass merchandisers.</w:t>
      </w:r>
    </w:p>
    <w:p>
      <w:pPr>
        <w:spacing w:after="0" w:line="194" w:lineRule="exact"/>
        <w:rPr>
          <w:sz w:val="20"/>
          <w:szCs w:val="20"/>
          <w:color w:val="auto"/>
        </w:rPr>
      </w:pPr>
    </w:p>
    <w:p>
      <w:pPr>
        <w:ind w:left="3" w:right="3960" w:firstLine="473"/>
        <w:spacing w:after="0" w:line="258" w:lineRule="auto"/>
        <w:rPr>
          <w:sz w:val="20"/>
          <w:szCs w:val="20"/>
          <w:color w:val="auto"/>
        </w:rPr>
      </w:pPr>
      <w:r>
        <w:rPr>
          <w:rFonts w:ascii="Courier New" w:cs="Courier New" w:eastAsia="Courier New" w:hAnsi="Courier New"/>
          <w:sz w:val="15"/>
          <w:szCs w:val="15"/>
          <w:color w:val="auto"/>
        </w:rPr>
        <w:t>The Company was incorporated in Minnesota in 1935 as the successor to a business founded in 1914. It was reincorporated in Delaware in 1983. The Company's executive offices are located at 8111 Lyndale Avenue South, Bloomington, Minnesota 55420, telephone number (612) 888-8801. Unless the context indicates otherwise, the term "Company" refers to The Toro Company and its subsidiaries. The Company finances a significant portion of its receivables through Toro Credit Company, its wholly owned consolidated finance subsidiary.</w:t>
      </w:r>
    </w:p>
    <w:p>
      <w:pPr>
        <w:spacing w:after="0" w:line="354" w:lineRule="exact"/>
        <w:rPr>
          <w:sz w:val="20"/>
          <w:szCs w:val="20"/>
          <w:color w:val="auto"/>
        </w:rPr>
      </w:pPr>
    </w:p>
    <w:p>
      <w:pPr>
        <w:jc w:val="center"/>
        <w:ind w:right="3957"/>
        <w:spacing w:after="0"/>
        <w:rPr>
          <w:sz w:val="20"/>
          <w:szCs w:val="20"/>
          <w:color w:val="auto"/>
        </w:rPr>
      </w:pPr>
      <w:r>
        <w:rPr>
          <w:rFonts w:ascii="Courier New" w:cs="Courier New" w:eastAsia="Courier New" w:hAnsi="Courier New"/>
          <w:sz w:val="16"/>
          <w:szCs w:val="16"/>
          <w:color w:val="auto"/>
        </w:rPr>
        <w:t>SELLING STOCKHOLDERS</w:t>
      </w:r>
    </w:p>
    <w:p>
      <w:pPr>
        <w:spacing w:after="0" w:line="186" w:lineRule="exact"/>
        <w:rPr>
          <w:sz w:val="20"/>
          <w:szCs w:val="20"/>
          <w:color w:val="auto"/>
        </w:rPr>
      </w:pPr>
    </w:p>
    <w:p>
      <w:pPr>
        <w:ind w:left="3" w:right="3960" w:firstLine="473"/>
        <w:spacing w:after="0"/>
        <w:rPr>
          <w:sz w:val="20"/>
          <w:szCs w:val="20"/>
          <w:color w:val="auto"/>
        </w:rPr>
      </w:pPr>
      <w:r>
        <w:rPr>
          <w:rFonts w:ascii="Courier New" w:cs="Courier New" w:eastAsia="Courier New" w:hAnsi="Courier New"/>
          <w:sz w:val="16"/>
          <w:szCs w:val="16"/>
          <w:color w:val="auto"/>
        </w:rPr>
        <w:t>The following table sets forth certain information with respect to each Selling Stockholder for whom the Company is registering the Shares for resale to the public. The Shares were issued by the Company in connection with the acquisition of ICSS by means of the merger of NTN into ICSS. All the Selling Stockholders were previously shareholders of ICSS, which had substantial contacts and interaction with the Company, and was merged with a wholly owned subsidiary of the Company on May 23, 1996. Each shareholder of ICSS owns less than one percent (1%) of the issued and outstanding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7760" w:type="dxa"/>
            <w:vAlign w:val="bottom"/>
          </w:tcPr>
          <w:p>
            <w:pPr>
              <w:spacing w:after="0"/>
              <w:rPr>
                <w:sz w:val="15"/>
                <w:szCs w:val="15"/>
                <w:color w:val="auto"/>
              </w:rPr>
            </w:pPr>
          </w:p>
        </w:tc>
        <w:tc>
          <w:tcPr>
            <w:tcW w:w="23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NUMBER OF SHARES OWNED</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7"/>
              </w:rPr>
              <w:t>AMOUNT TO BE</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NAMES OF STOCKHOLDERS</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PRIOR TO OFFERING</w:t>
            </w:r>
          </w:p>
        </w:tc>
        <w:tc>
          <w:tcPr>
            <w:tcW w:w="14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OFFERED</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760" w:type="dxa"/>
            <w:vAlign w:val="bottom"/>
          </w:tcPr>
          <w:p>
            <w:pPr>
              <w:spacing w:after="0"/>
              <w:rPr>
                <w:sz w:val="20"/>
                <w:szCs w:val="20"/>
                <w:color w:val="auto"/>
              </w:rPr>
            </w:pPr>
            <w:r>
              <w:rPr>
                <w:rFonts w:ascii="Courier New" w:cs="Courier New" w:eastAsia="Courier New" w:hAnsi="Courier New"/>
                <w:sz w:val="16"/>
                <w:szCs w:val="16"/>
                <w:color w:val="auto"/>
              </w:rPr>
              <w:t>Cynthia H. Love(1)(2)...........................................................</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27,747</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27,747</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Mark Breeding(3)................................................................</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18,887</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18,887</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Sue Jennings(4).................................................................</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11,925</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10,825</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Todd E. Scott...................................................................</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Jay Beckett.....................................................................</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Loreto Abellera.................................................................</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666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William A. Fahey(5).............................................................</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1,465</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1,465</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Charles Childress(6)............................................................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Robert E. King(6)...............................................................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Murphy Rhoads...................................................................</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399</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399</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Paul Sorrels....................................................................</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2,331</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2,331</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Jeff Stewart(7).................................................................</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666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Jim Blagg(8)....................................................................</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666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 C. Causey(6).................................................................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1,512</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David Smith(6)..................................................................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Mark Shapiro....................................................................</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Robert H. Deegan(6).............................................................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Mark L. Stockdale(6)............................................................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Jay Scott Embry(6)..............................................................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Matthew Fahey(6)................................................................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Mary L. Ondrusek(6).............................................................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Steven Kahla(6).................................................................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399</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399</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Joshua Levi Love(9).............................................................</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1,100</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 w:right="4060" w:firstLine="378"/>
        <w:spacing w:after="0" w:line="239" w:lineRule="auto"/>
        <w:rPr>
          <w:sz w:val="20"/>
          <w:szCs w:val="20"/>
          <w:color w:val="auto"/>
        </w:rPr>
      </w:pPr>
      <w:r>
        <w:rPr>
          <w:rFonts w:ascii="Courier New" w:cs="Courier New" w:eastAsia="Courier New" w:hAnsi="Courier New"/>
          <w:sz w:val="16"/>
          <w:szCs w:val="16"/>
          <w:color w:val="auto"/>
        </w:rPr>
        <w:t>Assuming each Selling Stockholder sells all of the Shares registered on his or her behalf pursuant to the Registration Statement, no Selling Stockholder (other than J.C. Causey as to the 846 shares not subject to the offering unless such shares are otherwise sold) would own any Shares of the Company after completion of such an offering.</w:t>
      </w:r>
    </w:p>
    <w:p>
      <w:pPr>
        <w:spacing w:after="0" w:line="371" w:lineRule="exact"/>
        <w:rPr>
          <w:sz w:val="20"/>
          <w:szCs w:val="20"/>
          <w:color w:val="auto"/>
        </w:rPr>
      </w:pPr>
    </w:p>
    <w:p>
      <w:pPr>
        <w:ind w:left="383" w:right="3960" w:hanging="383"/>
        <w:spacing w:after="0" w:line="238" w:lineRule="auto"/>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Cynthia H. Love was the Chairman of the Board of ICSS until the merger of NTN into ICSS. She is currently employed by the Company. Prior to the merger of NTN into ICSS, she owned 40.9% of the ICSS common stock.</w:t>
      </w:r>
    </w:p>
    <w:p>
      <w:pPr>
        <w:sectPr>
          <w:pgSz w:w="11900" w:h="16862" w:orient="portrait"/>
          <w:cols w:equalWidth="0" w:num="1">
            <w:col w:w="11523"/>
          </w:cols>
          <w:pgMar w:left="237" w:top="659" w:right="139" w:bottom="0" w:gutter="0" w:footer="0" w:header="0"/>
        </w:sectPr>
      </w:pPr>
    </w:p>
    <w:bookmarkStart w:id="6" w:name="page7"/>
    <w:bookmarkEnd w:id="6"/>
    <w:p>
      <w:pPr>
        <w:ind w:left="383" w:right="2659" w:hanging="383"/>
        <w:spacing w:after="0" w:line="237" w:lineRule="auto"/>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1,100 Shares Cynthia H. Love holds as custodian for Amber Joy Love, a minor.</w:t>
      </w:r>
    </w:p>
    <w:p>
      <w:pPr>
        <w:spacing w:after="0" w:line="369" w:lineRule="exact"/>
        <w:rPr>
          <w:rFonts w:ascii="Courier New" w:cs="Courier New" w:eastAsia="Courier New" w:hAnsi="Courier New"/>
          <w:sz w:val="16"/>
          <w:szCs w:val="16"/>
          <w:color w:val="auto"/>
        </w:rPr>
      </w:pPr>
    </w:p>
    <w:p>
      <w:pPr>
        <w:ind w:left="383" w:right="2759" w:hanging="383"/>
        <w:spacing w:after="0" w:line="238" w:lineRule="auto"/>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Breeding was the Chief Executive Officer of ICSS until the merger of NTN into ICSS. He is currently employed by ICSS. Prior to the merger of NTN into ICSS, he owned 27.9% of the ICSS common stock.</w:t>
      </w:r>
    </w:p>
    <w:p>
      <w:pPr>
        <w:spacing w:after="0" w:line="370" w:lineRule="exact"/>
        <w:rPr>
          <w:rFonts w:ascii="Courier New" w:cs="Courier New" w:eastAsia="Courier New" w:hAnsi="Courier New"/>
          <w:sz w:val="16"/>
          <w:szCs w:val="16"/>
          <w:color w:val="auto"/>
        </w:rPr>
      </w:pPr>
    </w:p>
    <w:p>
      <w:pPr>
        <w:ind w:left="383" w:right="2759" w:hanging="383"/>
        <w:spacing w:after="0" w:line="237" w:lineRule="auto"/>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merger of NTN into ICSS, Sue Jennings owned 17.62% of the ICSS common stock.</w:t>
      </w:r>
    </w:p>
    <w:p>
      <w:pPr>
        <w:spacing w:after="0" w:line="369" w:lineRule="exact"/>
        <w:rPr>
          <w:rFonts w:ascii="Courier New" w:cs="Courier New" w:eastAsia="Courier New" w:hAnsi="Courier New"/>
          <w:sz w:val="16"/>
          <w:szCs w:val="16"/>
          <w:color w:val="auto"/>
        </w:rPr>
      </w:pPr>
    </w:p>
    <w:p>
      <w:pPr>
        <w:ind w:left="383" w:right="2839" w:hanging="383"/>
        <w:spacing w:after="0" w:line="237" w:lineRule="auto"/>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A. Fahey was a Vice President of ICSS until the merger of NTN into ICSS. He is currently employed by ICSS.</w:t>
      </w:r>
    </w:p>
    <w:p>
      <w:pPr>
        <w:spacing w:after="0" w:line="369" w:lineRule="exact"/>
        <w:rPr>
          <w:rFonts w:ascii="Courier New" w:cs="Courier New" w:eastAsia="Courier New" w:hAnsi="Courier New"/>
          <w:sz w:val="16"/>
          <w:szCs w:val="16"/>
          <w:color w:val="auto"/>
        </w:rPr>
      </w:pPr>
    </w:p>
    <w:p>
      <w:pPr>
        <w:ind w:left="383" w:right="2839" w:hanging="383"/>
        <w:spacing w:after="0" w:line="237" w:lineRule="auto"/>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an employee of ICSS prior to the merger of NTN into ICSS and continues to be an employee of ICSS.</w:t>
      </w:r>
    </w:p>
    <w:p>
      <w:pPr>
        <w:spacing w:after="0" w:line="369" w:lineRule="exact"/>
        <w:rPr>
          <w:rFonts w:ascii="Courier New" w:cs="Courier New" w:eastAsia="Courier New" w:hAnsi="Courier New"/>
          <w:sz w:val="16"/>
          <w:szCs w:val="16"/>
          <w:color w:val="auto"/>
        </w:rPr>
      </w:pPr>
    </w:p>
    <w:p>
      <w:pPr>
        <w:ind w:left="383" w:right="2659" w:hanging="383"/>
        <w:spacing w:after="0" w:line="237" w:lineRule="auto"/>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Jeff Stewart was the Chief Financial Officer of ICSS until the merger of NTN into ICSS. He is currently employed by ICSS.</w:t>
      </w:r>
    </w:p>
    <w:p>
      <w:pPr>
        <w:spacing w:after="0" w:line="369" w:lineRule="exact"/>
        <w:rPr>
          <w:rFonts w:ascii="Courier New" w:cs="Courier New" w:eastAsia="Courier New" w:hAnsi="Courier New"/>
          <w:sz w:val="16"/>
          <w:szCs w:val="16"/>
          <w:color w:val="auto"/>
        </w:rPr>
      </w:pPr>
    </w:p>
    <w:p>
      <w:pPr>
        <w:ind w:left="383" w:right="2759" w:hanging="383"/>
        <w:spacing w:after="0" w:line="237" w:lineRule="auto"/>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Jim Blagg was a Vice President of ICSS until the merge of NTN into ICSS. He is currently employed by ICSS.</w:t>
      </w:r>
    </w:p>
    <w:p>
      <w:pPr>
        <w:spacing w:after="0" w:line="369" w:lineRule="exact"/>
        <w:rPr>
          <w:rFonts w:ascii="Courier New" w:cs="Courier New" w:eastAsia="Courier New" w:hAnsi="Courier New"/>
          <w:sz w:val="16"/>
          <w:szCs w:val="16"/>
          <w:color w:val="auto"/>
        </w:rPr>
      </w:pPr>
    </w:p>
    <w:p>
      <w:pPr>
        <w:jc w:val="both"/>
        <w:ind w:left="383" w:right="2839" w:hanging="383"/>
        <w:spacing w:after="0" w:line="238" w:lineRule="auto"/>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275 Shares as a gift from Sue Jennings and Cynthia H. Love, each, effective December 31, 1996 and 275 Shares as a gift from Sue Jennings and Cynthia H. Love, each, effective January 1, 1997.</w:t>
      </w:r>
    </w:p>
    <w:p>
      <w:pPr>
        <w:spacing w:after="0" w:line="184"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2"/>
          </w:cols>
          <w:pgMar w:left="237" w:top="505" w:right="1440" w:bottom="1440" w:gutter="0" w:footer="0" w:header="0"/>
        </w:sectPr>
      </w:pPr>
    </w:p>
    <w:bookmarkStart w:id="7" w:name="page8"/>
    <w:bookmarkEnd w:id="7"/>
    <w:p>
      <w:pPr>
        <w:jc w:val="center"/>
        <w:ind w:right="2659"/>
        <w:spacing w:after="0"/>
        <w:rPr>
          <w:sz w:val="20"/>
          <w:szCs w:val="20"/>
          <w:color w:val="auto"/>
        </w:rPr>
      </w:pPr>
      <w:r>
        <w:rPr>
          <w:rFonts w:ascii="Courier New" w:cs="Courier New" w:eastAsia="Courier New" w:hAnsi="Courier New"/>
          <w:sz w:val="16"/>
          <w:szCs w:val="16"/>
          <w:color w:val="auto"/>
        </w:rPr>
        <w:t>PLAN OF DISTRIBUTION</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Shares offered by the Selling Stockholders may be sold from time to time by the Selling Stockholders, or by pledgees, donees, transferees or other successors in interest of the Selling Stockholders, at their sole discretion. Such sales may be made on the NYSE, in</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41" w:right="1440" w:bottom="1440" w:gutter="0" w:footer="0" w:header="0"/>
        </w:sectPr>
      </w:pPr>
    </w:p>
    <w:bookmarkStart w:id="8" w:name="page9"/>
    <w:bookmarkEnd w:id="8"/>
    <w:p>
      <w:pPr>
        <w:ind w:right="2659"/>
        <w:spacing w:after="0" w:line="239" w:lineRule="auto"/>
        <w:rPr>
          <w:sz w:val="20"/>
          <w:szCs w:val="20"/>
          <w:color w:val="auto"/>
        </w:rPr>
      </w:pPr>
      <w:r>
        <w:rPr>
          <w:rFonts w:ascii="Courier New" w:cs="Courier New" w:eastAsia="Courier New" w:hAnsi="Courier New"/>
          <w:sz w:val="16"/>
          <w:szCs w:val="16"/>
          <w:color w:val="auto"/>
        </w:rPr>
        <w:t>privately negotiated transactions or through sales to one or more dealers for resale of such securities as principals, at prices and at terms then prevailing or at prices related to the then current market price or at a negotiated price. The Shares offered by the Selling Stockholders are not being underwritten. The Company will not receive any proceeds from the sale of any Shares by the Selling Stockholders.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effecting sales, broker or dealers engaged by the Selling Stockholders may arrange for other brokers or dealers to participate. Brokers or dealers will receive commissions or discounts from the Selling Stockholder in amounts to be negotiated immediately prior to the sale. Such brokers or dealers and any other participating brokers or dealers may be deemed "underwriters" within the meaning of the Securities Act of 1933, as amended in connection with such sales. In addition, any securities covered by this Prospectus which, in the future, qualify for sale pursuant to Rule 144 may be sold under Rule 144 rather than pursuant to this Prospectus.</w:t>
      </w:r>
    </w:p>
    <w:p>
      <w:pPr>
        <w:spacing w:after="0" w:line="18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No brokers or dealers have been identified and no prior agreements exist, to the best of the Company's knowledge, with any broker or dealer with regard to the sale of the Shares.</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3119" w:firstLine="473"/>
        <w:spacing w:after="0" w:line="238" w:lineRule="auto"/>
        <w:rPr>
          <w:sz w:val="20"/>
          <w:szCs w:val="20"/>
          <w:color w:val="auto"/>
        </w:rPr>
      </w:pPr>
      <w:r>
        <w:rPr>
          <w:rFonts w:ascii="Courier New" w:cs="Courier New" w:eastAsia="Courier New" w:hAnsi="Courier New"/>
          <w:sz w:val="16"/>
          <w:szCs w:val="16"/>
          <w:color w:val="auto"/>
        </w:rPr>
        <w:t>The legality of the Shares offered hereby is being passed upon for the Company by Doherty, Rumble &amp; Butler Professional Association, Minneapolis, Minnesota, counsel to the Company.</w:t>
      </w:r>
    </w:p>
    <w:p>
      <w:pPr>
        <w:spacing w:after="0" w:line="36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EXPERTS</w:t>
      </w:r>
    </w:p>
    <w:p>
      <w:pPr>
        <w:spacing w:after="0" w:line="186"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The financial statements and schedules incorporated herein and in the registration statement by reference to the Annual Report on Form 10-K of the Company have been audited by KPMG Peat Marwick LLP, independent public accountants, and have been so incorporated in reliance on the reports of KPMG Peat Marwick LLP and upon the authority of said firm as experts in accounting and auditing. To the extent that KPMG Peat Marwick LLP audits and reports on future financial statements and schedules of the Company and consents to the use of their reports thereon, such financial statements and schedules will also be incorporated by reference in the Registration Statement in reliance upon their reports and said authority.</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9" w:name="page10"/>
    <w:bookmarkEnd w:id="9"/>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3"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OTHER EXPENSES OF ISSUANCE AND DISTRIBUTION.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table sets forth the expenses in connection with this Registration Statement. The Company will pay all expenses of the offering other than broker-dealer commissions and fees to be paid by the Selling Stockholders. All of such expenses are estimates, other than the filing fees payable to the Securities and Exchange Commission.</w:t>
      </w:r>
    </w:p>
    <w:p>
      <w:pPr>
        <w:spacing w:after="0" w:line="18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Filing fee, Securities and Exchange Commission. . . . . . . . . . . . .$724</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Transfer Agent's Fees Filing fee-Securities and Exchange Commission .$1,000</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Legal fees and expenses . . . . . . . . . . . . . . . . . . . . . . .$3,000</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Miscellaneous expenses. . . . . . . . . . . . . . . . . . . . . . . .$1,500</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TOTAL . . . . . . . . . . . . . . . . . . . . . . . . . . . . . . . .$6,224</w:t>
      </w:r>
    </w:p>
    <w:p>
      <w:pPr>
        <w:spacing w:after="0" w:line="190"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15.</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or she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any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362"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w:t>
      </w:r>
    </w:p>
    <w:p>
      <w:pPr>
        <w:spacing w:after="0" w:line="190"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5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Item 16.  EXHIBITS.</w:t>
            </w:r>
          </w:p>
        </w:tc>
        <w:tc>
          <w:tcPr>
            <w:tcW w:w="2460" w:type="dxa"/>
            <w:vAlign w:val="bottom"/>
          </w:tcPr>
          <w:p>
            <w:pPr>
              <w:spacing w:after="0"/>
              <w:rPr>
                <w:sz w:val="15"/>
                <w:szCs w:val="15"/>
                <w:color w:val="auto"/>
              </w:rPr>
            </w:pP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Specimen form of Common Stock certificate</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w w:val="98"/>
              </w:rPr>
              <w:t>Incorporated by Reference</w:t>
            </w: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(incorporated by reference to Exhibit 4(c)</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to Registrant's Registration Statement on</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Form S-8, Registration No. 2-94417).</w:t>
            </w:r>
          </w:p>
        </w:tc>
        <w:tc>
          <w:tcPr>
            <w:tcW w:w="2460" w:type="dxa"/>
            <w:vAlign w:val="bottom"/>
          </w:tcPr>
          <w:p>
            <w:pPr>
              <w:spacing w:after="0"/>
              <w:rPr>
                <w:sz w:val="15"/>
                <w:szCs w:val="15"/>
                <w:color w:val="auto"/>
              </w:rPr>
            </w:pP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Certificate of Incorporation of the</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w w:val="98"/>
              </w:rPr>
              <w:t>Incorporated by Reference</w:t>
            </w: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Registrant (incorporated by reference to</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Exhibit 4.2 to Registrant's Registration</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Statement on Form S-3, Registration</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No. 33-16125.)</w:t>
            </w:r>
          </w:p>
        </w:tc>
        <w:tc>
          <w:tcPr>
            <w:tcW w:w="2460" w:type="dxa"/>
            <w:vAlign w:val="bottom"/>
          </w:tcPr>
          <w:p>
            <w:pPr>
              <w:spacing w:after="0"/>
              <w:rPr>
                <w:sz w:val="15"/>
                <w:szCs w:val="15"/>
                <w:color w:val="auto"/>
              </w:rPr>
            </w:pP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Certificate of Amendment to Certificate</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w w:val="98"/>
              </w:rPr>
              <w:t>Incorporated by Reference</w:t>
            </w: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of Incorporation dated December 9, 1986</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(incorporated by reference to Exhibit 3</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to Registrant's Quarterly Report on Form</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10-Q for the quarter ended January 30,</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1987, Commission File No. 1-8649).</w:t>
            </w:r>
          </w:p>
        </w:tc>
        <w:tc>
          <w:tcPr>
            <w:tcW w:w="2460" w:type="dxa"/>
            <w:vAlign w:val="bottom"/>
          </w:tcPr>
          <w:p>
            <w:pPr>
              <w:spacing w:after="0"/>
              <w:rPr>
                <w:sz w:val="15"/>
                <w:szCs w:val="15"/>
                <w:color w:val="auto"/>
              </w:rPr>
            </w:pP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Certificate of Amendment to Certificate</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w w:val="98"/>
              </w:rPr>
              <w:t>Incorporated by Reference</w:t>
            </w: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of Incorporation dated December 8, 1987</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(incorporated by reference to Exhibit 3</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to Registrant's Quarterly Report on Form</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10-Q for the quarter ended January 29,</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1988, Commission File No. 1-8649).</w:t>
            </w:r>
          </w:p>
        </w:tc>
        <w:tc>
          <w:tcPr>
            <w:tcW w:w="2460" w:type="dxa"/>
            <w:vAlign w:val="bottom"/>
          </w:tcPr>
          <w:p>
            <w:pPr>
              <w:spacing w:after="0"/>
              <w:rPr>
                <w:sz w:val="15"/>
                <w:szCs w:val="15"/>
                <w:color w:val="auto"/>
              </w:rPr>
            </w:pP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Bylaws of the Registrant (incorporated</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w w:val="98"/>
              </w:rPr>
              <w:t>Incorporated by Reference</w:t>
            </w: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by reference to Exhibit 3.3 to Registrant's</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Annual Report on Form 10-K for the year</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ended July 31, 1991, Commission File</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No. 1-8649).</w:t>
            </w:r>
          </w:p>
        </w:tc>
        <w:tc>
          <w:tcPr>
            <w:tcW w:w="2460" w:type="dxa"/>
            <w:vAlign w:val="bottom"/>
          </w:tcPr>
          <w:p>
            <w:pPr>
              <w:spacing w:after="0"/>
              <w:rPr>
                <w:sz w:val="15"/>
                <w:szCs w:val="15"/>
                <w:color w:val="auto"/>
              </w:rPr>
            </w:pP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4.5</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Rights Agreement dated as of June 14, 1988,</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w w:val="98"/>
              </w:rPr>
              <w:t>Incorporated by Reference</w:t>
            </w: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between the Registrant and Norwest Bank</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Minnesota National Association, relating to</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rights to purchase Series B Junior</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Participating Voting Preferred Stock</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(incorporated by reference to Exhibit 1 to</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Registrant's Registration Statement on</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Form 8-A dated June 17, 1988, Commission</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File No. 1-8649, as amended from time to</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time.)</w:t>
            </w:r>
          </w:p>
        </w:tc>
        <w:tc>
          <w:tcPr>
            <w:tcW w:w="2460" w:type="dxa"/>
            <w:vAlign w:val="bottom"/>
          </w:tcPr>
          <w:p>
            <w:pPr>
              <w:spacing w:after="0"/>
              <w:rPr>
                <w:sz w:val="15"/>
                <w:szCs w:val="15"/>
                <w:color w:val="auto"/>
              </w:rPr>
            </w:pP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Opinion of Doherty, Rumble &amp; Butler</w:t>
            </w:r>
          </w:p>
        </w:tc>
        <w:tc>
          <w:tcPr>
            <w:tcW w:w="246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Professional Association, regarding the</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legality of the securities being</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registered</w:t>
            </w:r>
          </w:p>
        </w:tc>
        <w:tc>
          <w:tcPr>
            <w:tcW w:w="2460" w:type="dxa"/>
            <w:vAlign w:val="bottom"/>
          </w:tcPr>
          <w:p>
            <w:pPr>
              <w:spacing w:after="0"/>
              <w:rPr>
                <w:sz w:val="15"/>
                <w:szCs w:val="15"/>
                <w:color w:val="auto"/>
              </w:rPr>
            </w:pP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Peat Marwick LLP.</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Filed herewith</w:t>
            </w: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Consent of Doherty, Rumble &amp; Butler</w:t>
            </w:r>
          </w:p>
        </w:tc>
        <w:tc>
          <w:tcPr>
            <w:tcW w:w="246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Professional Association (included in</w:t>
            </w:r>
          </w:p>
        </w:tc>
        <w:tc>
          <w:tcPr>
            <w:tcW w:w="2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Exhibit 5)</w:t>
            </w:r>
          </w:p>
        </w:tc>
        <w:tc>
          <w:tcPr>
            <w:tcW w:w="2460" w:type="dxa"/>
            <w:vAlign w:val="bottom"/>
          </w:tcPr>
          <w:p>
            <w:pPr>
              <w:spacing w:after="0"/>
              <w:rPr>
                <w:sz w:val="15"/>
                <w:szCs w:val="15"/>
                <w:color w:val="auto"/>
              </w:rPr>
            </w:pPr>
          </w:p>
        </w:tc>
      </w:tr>
      <w:tr>
        <w:trPr>
          <w:trHeight w:val="546"/>
        </w:trPr>
        <w:tc>
          <w:tcPr>
            <w:tcW w:w="4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Powers of Attorney</w:t>
            </w:r>
          </w:p>
        </w:tc>
        <w:tc>
          <w:tcPr>
            <w:tcW w:w="246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r>
      <w:tr>
        <w:trPr>
          <w:trHeight w:val="182"/>
        </w:trPr>
        <w:tc>
          <w:tcPr>
            <w:tcW w:w="420" w:type="dxa"/>
            <w:vAlign w:val="bottom"/>
          </w:tcPr>
          <w:p>
            <w:pPr>
              <w:spacing w:after="0"/>
              <w:rPr>
                <w:sz w:val="15"/>
                <w:szCs w:val="15"/>
                <w:color w:val="auto"/>
              </w:rPr>
            </w:pP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(contained in signature pages).</w:t>
            </w:r>
          </w:p>
        </w:tc>
        <w:tc>
          <w:tcPr>
            <w:tcW w:w="2460" w:type="dxa"/>
            <w:vAlign w:val="bottom"/>
          </w:tcPr>
          <w:p>
            <w:pPr>
              <w:spacing w:after="0"/>
              <w:rPr>
                <w:sz w:val="15"/>
                <w:szCs w:val="15"/>
                <w:color w:val="auto"/>
              </w:rPr>
            </w:pP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Filed May 24, 1996.</w:t>
      </w:r>
    </w:p>
    <w:p>
      <w:pPr>
        <w:spacing w:after="0" w:line="183"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5"/>
          <w:szCs w:val="15"/>
          <w:color w:val="auto"/>
        </w:rPr>
        <w:t>UNDERTAKINGS.</w:t>
      </w:r>
    </w:p>
    <w:p>
      <w:pPr>
        <w:spacing w:after="0" w:line="186" w:lineRule="exact"/>
        <w:rPr>
          <w:sz w:val="20"/>
          <w:szCs w:val="20"/>
          <w:color w:val="auto"/>
        </w:rPr>
      </w:pPr>
    </w:p>
    <w:p>
      <w:pPr>
        <w:ind w:right="3499" w:firstLine="470"/>
        <w:spacing w:after="0" w:line="237" w:lineRule="auto"/>
        <w:tabs>
          <w:tab w:leader="none" w:pos="94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Filings incorporating subsequent Securities Exchange Act 1934 documents by reference.</w:t>
      </w:r>
    </w:p>
    <w:p>
      <w:pPr>
        <w:spacing w:after="0" w:line="187" w:lineRule="exact"/>
        <w:rPr>
          <w:rFonts w:ascii="Courier New" w:cs="Courier New" w:eastAsia="Courier New" w:hAnsi="Courier New"/>
          <w:sz w:val="16"/>
          <w:szCs w:val="16"/>
          <w:color w:val="auto"/>
        </w:rPr>
      </w:pPr>
    </w:p>
    <w:p>
      <w:pPr>
        <w:ind w:right="2839" w:firstLine="943"/>
        <w:spacing w:after="0" w:line="239" w:lineRule="auto"/>
        <w:tabs>
          <w:tab w:leader="none" w:pos="1419"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Act of 1934 (and, where applicable, each filing of an employee benefit plan's annual report pursuant to Section 15(d) of the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59" w:right="1440" w:bottom="1440" w:gutter="0" w:footer="0" w:header="0"/>
        </w:sectPr>
      </w:pPr>
    </w:p>
    <w:bookmarkStart w:id="11" w:name="page12"/>
    <w:bookmarkEnd w:id="11"/>
    <w:p>
      <w:pPr>
        <w:ind w:right="2939"/>
        <w:spacing w:after="0" w:line="239" w:lineRule="auto"/>
        <w:rPr>
          <w:sz w:val="20"/>
          <w:szCs w:val="20"/>
          <w:color w:val="auto"/>
        </w:rPr>
      </w:pPr>
      <w:r>
        <w:rPr>
          <w:rFonts w:ascii="Courier New" w:cs="Courier New" w:eastAsia="Courier New" w:hAnsi="Courier New"/>
          <w:sz w:val="16"/>
          <w:szCs w:val="16"/>
          <w:color w:val="auto"/>
        </w:rPr>
        <w:t>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ind w:right="2659" w:firstLine="943"/>
        <w:spacing w:after="0"/>
        <w:tabs>
          <w:tab w:leader="none" w:pos="141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7"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415 Offering.</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6" w:lineRule="exact"/>
        <w:rPr>
          <w:rFonts w:ascii="Courier New" w:cs="Courier New" w:eastAsia="Courier New" w:hAnsi="Courier New"/>
          <w:sz w:val="16"/>
          <w:szCs w:val="16"/>
          <w:color w:val="auto"/>
        </w:rPr>
      </w:pPr>
    </w:p>
    <w:p>
      <w:pPr>
        <w:jc w:val="both"/>
        <w:ind w:left="460" w:right="3119" w:firstLine="956"/>
        <w:spacing w:after="0" w:line="267" w:lineRule="auto"/>
        <w:tabs>
          <w:tab w:leader="none" w:pos="1879"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67" w:lineRule="exact"/>
        <w:rPr>
          <w:rFonts w:ascii="Courier New" w:cs="Courier New" w:eastAsia="Courier New" w:hAnsi="Courier New"/>
          <w:sz w:val="15"/>
          <w:szCs w:val="15"/>
          <w:color w:val="auto"/>
        </w:rPr>
      </w:pPr>
    </w:p>
    <w:p>
      <w:pPr>
        <w:ind w:left="1420" w:right="2759" w:firstLine="469"/>
        <w:spacing w:after="0" w:line="267" w:lineRule="auto"/>
        <w:tabs>
          <w:tab w:leader="none" w:pos="2366" w:val="left"/>
        </w:tabs>
        <w:numPr>
          <w:ilvl w:val="3"/>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67" w:lineRule="exact"/>
        <w:rPr>
          <w:rFonts w:ascii="Courier New" w:cs="Courier New" w:eastAsia="Courier New" w:hAnsi="Courier New"/>
          <w:sz w:val="15"/>
          <w:szCs w:val="15"/>
          <w:color w:val="auto"/>
        </w:rPr>
      </w:pPr>
    </w:p>
    <w:p>
      <w:pPr>
        <w:ind w:left="1420" w:right="2759" w:firstLine="469"/>
        <w:spacing w:after="0" w:line="259" w:lineRule="auto"/>
        <w:tabs>
          <w:tab w:leader="none" w:pos="2460" w:val="left"/>
        </w:tabs>
        <w:numPr>
          <w:ilvl w:val="3"/>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4" w:lineRule="exact"/>
        <w:rPr>
          <w:rFonts w:ascii="Courier New" w:cs="Courier New" w:eastAsia="Courier New" w:hAnsi="Courier New"/>
          <w:sz w:val="15"/>
          <w:szCs w:val="15"/>
          <w:color w:val="auto"/>
        </w:rPr>
      </w:pPr>
    </w:p>
    <w:p>
      <w:pPr>
        <w:ind w:left="1420" w:right="2659" w:firstLine="469"/>
        <w:spacing w:after="0" w:line="239" w:lineRule="auto"/>
        <w:tabs>
          <w:tab w:leader="none" w:pos="2555" w:val="left"/>
        </w:tabs>
        <w:numPr>
          <w:ilvl w:val="3"/>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ind w:left="460" w:right="2659" w:firstLine="473"/>
        <w:spacing w:after="0" w:line="239" w:lineRule="auto"/>
        <w:rPr>
          <w:sz w:val="20"/>
          <w:szCs w:val="20"/>
          <w:color w:val="auto"/>
        </w:rPr>
      </w:pPr>
      <w:r>
        <w:rPr>
          <w:rFonts w:ascii="Courier New" w:cs="Courier New" w:eastAsia="Courier New" w:hAnsi="Courier New"/>
          <w:sz w:val="16"/>
          <w:szCs w:val="16"/>
          <w:color w:val="auto"/>
        </w:rPr>
        <w:t>Provided, however, that paragraphs (1)(A)(i) and (1)(A)(ii) do not apply if the information required to be included in a post-effective amendment by those paragraphs is contained in periodic reports filed by the Registrant pursuant to Section 13 or 15(d) of the Exchange Act that are incorporated by reference in the Registration Statement.</w:t>
      </w:r>
    </w:p>
    <w:p>
      <w:pPr>
        <w:spacing w:after="0" w:line="189" w:lineRule="exact"/>
        <w:rPr>
          <w:sz w:val="20"/>
          <w:szCs w:val="20"/>
          <w:color w:val="auto"/>
        </w:rPr>
      </w:pPr>
    </w:p>
    <w:p>
      <w:pPr>
        <w:ind w:left="460" w:right="2659" w:firstLine="956"/>
        <w:spacing w:after="0" w:line="239" w:lineRule="auto"/>
        <w:tabs>
          <w:tab w:leader="none" w:pos="187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Courier New" w:cs="Courier New" w:eastAsia="Courier New" w:hAnsi="Courier New"/>
          <w:sz w:val="16"/>
          <w:szCs w:val="16"/>
          <w:color w:val="auto"/>
        </w:rPr>
      </w:pPr>
    </w:p>
    <w:p>
      <w:pPr>
        <w:ind w:left="460" w:right="2659" w:firstLine="956"/>
        <w:spacing w:after="0" w:line="238" w:lineRule="auto"/>
        <w:tabs>
          <w:tab w:leader="none" w:pos="187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63" w:right="1440" w:bottom="1440" w:gutter="0" w:footer="0" w:header="0"/>
        </w:sectPr>
      </w:pPr>
    </w:p>
    <w:bookmarkStart w:id="12" w:name="page13"/>
    <w:bookmarkEnd w:id="12"/>
    <w:p>
      <w:pPr>
        <w:ind w:left="3303"/>
        <w:spacing w:after="0"/>
        <w:rPr>
          <w:sz w:val="20"/>
          <w:szCs w:val="20"/>
          <w:color w:val="auto"/>
        </w:rPr>
      </w:pPr>
      <w:r>
        <w:rPr>
          <w:rFonts w:ascii="Courier New" w:cs="Courier New" w:eastAsia="Courier New" w:hAnsi="Courier New"/>
          <w:sz w:val="16"/>
          <w:szCs w:val="16"/>
          <w:color w:val="auto"/>
        </w:rPr>
        <w:t>SIGNATURES</w:t>
      </w:r>
    </w:p>
    <w:p>
      <w:pPr>
        <w:spacing w:after="0" w:line="368" w:lineRule="exact"/>
        <w:rPr>
          <w:sz w:val="20"/>
          <w:szCs w:val="20"/>
          <w:color w:val="auto"/>
        </w:rPr>
      </w:pPr>
    </w:p>
    <w:p>
      <w:pPr>
        <w:ind w:left="3" w:right="2659" w:firstLine="378"/>
        <w:spacing w:after="0" w:line="239" w:lineRule="auto"/>
        <w:rPr>
          <w:sz w:val="20"/>
          <w:szCs w:val="20"/>
          <w:color w:val="auto"/>
        </w:rPr>
      </w:pPr>
      <w:r>
        <w:rPr>
          <w:rFonts w:ascii="Courier New" w:cs="Courier New" w:eastAsia="Courier New" w:hAnsi="Courier New"/>
          <w:sz w:val="16"/>
          <w:szCs w:val="16"/>
          <w:color w:val="auto"/>
        </w:rPr>
        <w:t>Pursuant to the requirements of the Securities Act of 1933, The Toro Company certifies that it has reasonable grounds to believe that it meets all of the requirements for filing on Form S-3 and has duly caused this Post-Effective Amendment No. 2 to the Registration Statement to be signed on its behalf by the undersigned, thereunto duly authorized, in the City of Bloomington, State of Minnesota, on this 13th day of February, 1997.</w:t>
      </w:r>
    </w:p>
    <w:p>
      <w:pPr>
        <w:spacing w:after="0" w:line="368"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THE TORO COMPANY</w:t>
      </w:r>
    </w:p>
    <w:p>
      <w:pPr>
        <w:sectPr>
          <w:pgSz w:w="11900" w:h="16838" w:orient="portrait"/>
          <w:cols w:equalWidth="0" w:num="1">
            <w:col w:w="10222"/>
          </w:cols>
          <w:pgMar w:left="237" w:top="659" w:right="1440" w:bottom="538" w:gutter="0" w:footer="0" w:header="0"/>
        </w:sectPr>
      </w:pPr>
    </w:p>
    <w:p>
      <w:pPr>
        <w:spacing w:after="0" w:line="183"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LAWRENCE MCINTYRE</w:t>
      </w:r>
    </w:p>
    <w:p>
      <w:pPr>
        <w:spacing w:after="0" w:line="193" w:lineRule="exact"/>
        <w:rPr>
          <w:sz w:val="20"/>
          <w:szCs w:val="20"/>
          <w:color w:val="auto"/>
        </w:rPr>
      </w:pPr>
    </w:p>
    <w:p>
      <w:pPr>
        <w:sectPr>
          <w:pgSz w:w="11900" w:h="16838" w:orient="portrait"/>
          <w:cols w:equalWidth="0" w:num="3">
            <w:col w:w="4163" w:space="560"/>
            <w:col w:w="280" w:space="200"/>
            <w:col w:w="5019"/>
          </w:cols>
          <w:pgMar w:left="237" w:top="659" w:right="1440" w:bottom="538" w:gutter="0" w:footer="0" w:header="0"/>
          <w:type w:val="continuous"/>
        </w:sectPr>
      </w:pPr>
    </w:p>
    <w:p>
      <w:pPr>
        <w:ind w:left="416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923"/>
        <w:spacing w:after="0"/>
        <w:rPr>
          <w:sz w:val="20"/>
          <w:szCs w:val="20"/>
          <w:color w:val="auto"/>
        </w:rPr>
      </w:pPr>
      <w:r>
        <w:rPr>
          <w:rFonts w:ascii="Courier New" w:cs="Courier New" w:eastAsia="Courier New" w:hAnsi="Courier New"/>
          <w:sz w:val="16"/>
          <w:szCs w:val="16"/>
          <w:color w:val="auto"/>
        </w:rPr>
        <w:t>J. Lawrence McIntyre</w:t>
      </w:r>
    </w:p>
    <w:p>
      <w:pPr>
        <w:spacing w:after="0" w:line="1" w:lineRule="exact"/>
        <w:rPr>
          <w:sz w:val="20"/>
          <w:szCs w:val="20"/>
          <w:color w:val="auto"/>
        </w:rPr>
      </w:pPr>
    </w:p>
    <w:p>
      <w:pPr>
        <w:ind w:left="4443"/>
        <w:spacing w:after="0"/>
        <w:rPr>
          <w:sz w:val="20"/>
          <w:szCs w:val="20"/>
          <w:color w:val="auto"/>
        </w:rPr>
      </w:pPr>
      <w:r>
        <w:rPr>
          <w:rFonts w:ascii="Courier New" w:cs="Courier New" w:eastAsia="Courier New" w:hAnsi="Courier New"/>
          <w:sz w:val="16"/>
          <w:szCs w:val="16"/>
          <w:color w:val="auto"/>
        </w:rPr>
        <w:t>VICE PRESIDENT, SECRETARY AND</w:t>
      </w:r>
    </w:p>
    <w:p>
      <w:pPr>
        <w:spacing w:after="0" w:line="1" w:lineRule="exact"/>
        <w:rPr>
          <w:sz w:val="20"/>
          <w:szCs w:val="20"/>
          <w:color w:val="auto"/>
        </w:rPr>
      </w:pPr>
    </w:p>
    <w:p>
      <w:pPr>
        <w:ind w:left="5203"/>
        <w:spacing w:after="0"/>
        <w:rPr>
          <w:sz w:val="20"/>
          <w:szCs w:val="20"/>
          <w:color w:val="auto"/>
        </w:rPr>
      </w:pPr>
      <w:r>
        <w:rPr>
          <w:rFonts w:ascii="Courier New" w:cs="Courier New" w:eastAsia="Courier New" w:hAnsi="Courier New"/>
          <w:sz w:val="16"/>
          <w:szCs w:val="16"/>
          <w:color w:val="auto"/>
        </w:rPr>
        <w:t>GENERAL COUNSEL</w:t>
      </w:r>
    </w:p>
    <w:p>
      <w:pPr>
        <w:sectPr>
          <w:pgSz w:w="11900" w:h="16838" w:orient="portrait"/>
          <w:cols w:equalWidth="0" w:num="1">
            <w:col w:w="10222"/>
          </w:cols>
          <w:pgMar w:left="237" w:top="659" w:right="1440" w:bottom="538" w:gutter="0" w:footer="0" w:header="0"/>
          <w:type w:val="continuous"/>
        </w:sectPr>
      </w:pPr>
    </w:p>
    <w:p>
      <w:pPr>
        <w:spacing w:after="0" w:line="368" w:lineRule="exact"/>
        <w:rPr>
          <w:sz w:val="20"/>
          <w:szCs w:val="20"/>
          <w:color w:val="auto"/>
        </w:rPr>
      </w:pPr>
    </w:p>
    <w:p>
      <w:pPr>
        <w:ind w:left="3" w:right="3039" w:firstLine="378"/>
        <w:spacing w:after="0" w:line="238"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0222"/>
          </w:cols>
          <w:pgMar w:left="237" w:top="659" w:right="1440" w:bottom="538" w:gutter="0" w:footer="0" w:header="0"/>
          <w:type w:val="continuous"/>
        </w:sectPr>
      </w:pPr>
    </w:p>
    <w:p>
      <w:pPr>
        <w:spacing w:after="0" w:line="366"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Kendrick B. Melrose</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Chief Executive Officer</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13, 1997</w:t>
      </w:r>
    </w:p>
    <w:p>
      <w:pPr>
        <w:spacing w:after="0" w:line="389" w:lineRule="exact"/>
        <w:rPr>
          <w:sz w:val="20"/>
          <w:szCs w:val="20"/>
          <w:color w:val="auto"/>
        </w:rPr>
      </w:pPr>
    </w:p>
    <w:p>
      <w:pPr>
        <w:sectPr>
          <w:pgSz w:w="11900" w:h="16838" w:orient="portrait"/>
          <w:cols w:equalWidth="0" w:num="3">
            <w:col w:w="3023" w:space="0"/>
            <w:col w:w="2560" w:space="380"/>
            <w:col w:w="4259"/>
          </w:cols>
          <w:pgMar w:left="237" w:top="659" w:right="1440" w:bottom="538" w:gutter="0" w:footer="0" w:header="0"/>
          <w:type w:val="continuous"/>
        </w:sectPr>
      </w:pPr>
    </w:p>
    <w:p>
      <w:pPr>
        <w:spacing w:after="0" w:line="164"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538" w:gutter="0" w:footer="0" w:header="0"/>
          <w:type w:val="continuous"/>
        </w:sectPr>
      </w:pPr>
    </w:p>
    <w:p>
      <w:pPr>
        <w:spacing w:after="0" w:line="5" w:lineRule="exact"/>
        <w:rPr>
          <w:sz w:val="20"/>
          <w:szCs w:val="20"/>
          <w:color w:val="auto"/>
        </w:rPr>
      </w:pPr>
    </w:p>
    <w:p>
      <w:pPr>
        <w:ind w:left="663" w:hanging="661"/>
        <w:spacing w:after="0" w:line="237" w:lineRule="auto"/>
        <w:rPr>
          <w:sz w:val="20"/>
          <w:szCs w:val="20"/>
          <w:color w:val="auto"/>
        </w:rPr>
      </w:pPr>
      <w:r>
        <w:rPr>
          <w:rFonts w:ascii="Courier New" w:cs="Courier New" w:eastAsia="Courier New" w:hAnsi="Courier New"/>
          <w:sz w:val="16"/>
          <w:szCs w:val="16"/>
          <w:color w:val="auto"/>
        </w:rPr>
        <w:t>- ------------------------------ Gerald T. Knight</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Courier New" w:cs="Courier New" w:eastAsia="Courier New" w:hAnsi="Courier New"/>
          <w:sz w:val="15"/>
          <w:szCs w:val="15"/>
          <w:color w:val="auto"/>
        </w:rPr>
        <w:t>Vice President Finance, 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13, 1997</w:t>
      </w:r>
    </w:p>
    <w:p>
      <w:pPr>
        <w:spacing w:after="0" w:line="408" w:lineRule="exact"/>
        <w:rPr>
          <w:sz w:val="20"/>
          <w:szCs w:val="20"/>
          <w:color w:val="auto"/>
        </w:rPr>
      </w:pPr>
    </w:p>
    <w:p>
      <w:pPr>
        <w:sectPr>
          <w:pgSz w:w="11900" w:h="16838" w:orient="portrait"/>
          <w:cols w:equalWidth="0" w:num="3">
            <w:col w:w="3023" w:space="200"/>
            <w:col w:w="2160" w:space="580"/>
            <w:col w:w="4259"/>
          </w:cols>
          <w:pgMar w:left="237" w:top="659" w:right="1440" w:bottom="538" w:gutter="0" w:footer="0" w:header="0"/>
          <w:type w:val="continuous"/>
        </w:sectPr>
      </w:pPr>
    </w:p>
    <w:p>
      <w:pPr>
        <w:spacing w:after="0" w:line="145"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538" w:gutter="0" w:footer="0" w:header="0"/>
          <w:type w:val="continuous"/>
        </w:sectPr>
      </w:pPr>
    </w:p>
    <w:p>
      <w:pPr>
        <w:spacing w:after="0" w:line="5" w:lineRule="exact"/>
        <w:rPr>
          <w:sz w:val="20"/>
          <w:szCs w:val="20"/>
          <w:color w:val="auto"/>
        </w:rPr>
      </w:pPr>
    </w:p>
    <w:p>
      <w:pPr>
        <w:ind w:left="763" w:hanging="756"/>
        <w:spacing w:after="0" w:line="237" w:lineRule="auto"/>
        <w:rPr>
          <w:sz w:val="20"/>
          <w:szCs w:val="20"/>
          <w:color w:val="auto"/>
        </w:rPr>
      </w:pPr>
      <w:r>
        <w:rPr>
          <w:rFonts w:ascii="Courier New" w:cs="Courier New" w:eastAsia="Courier New" w:hAnsi="Courier New"/>
          <w:sz w:val="16"/>
          <w:szCs w:val="16"/>
          <w:color w:val="auto"/>
        </w:rPr>
        <w:t>- ------------------------------ Randy B. James</w:t>
      </w:r>
    </w:p>
    <w:p>
      <w:pPr>
        <w:spacing w:after="0" w:line="20" w:lineRule="exact"/>
        <w:rPr>
          <w:sz w:val="20"/>
          <w:szCs w:val="20"/>
          <w:color w:val="auto"/>
        </w:rPr>
      </w:pPr>
      <w:r>
        <w:rPr>
          <w:sz w:val="20"/>
          <w:szCs w:val="20"/>
          <w:color w:val="auto"/>
        </w:rPr>
        <w:br w:type="column"/>
      </w:r>
    </w:p>
    <w:p>
      <w:pPr>
        <w:ind w:right="320"/>
        <w:spacing w:after="0" w:line="237" w:lineRule="auto"/>
        <w:rPr>
          <w:sz w:val="20"/>
          <w:szCs w:val="20"/>
          <w:color w:val="auto"/>
        </w:rPr>
      </w:pPr>
      <w:r>
        <w:rPr>
          <w:rFonts w:ascii="Courier New" w:cs="Courier New" w:eastAsia="Courier New" w:hAnsi="Courier New"/>
          <w:sz w:val="16"/>
          <w:szCs w:val="16"/>
          <w:color w:val="auto"/>
        </w:rPr>
        <w:t>Vice President and Controller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13, 1997</w:t>
      </w:r>
    </w:p>
    <w:p>
      <w:pPr>
        <w:spacing w:after="0" w:line="388" w:lineRule="exact"/>
        <w:rPr>
          <w:sz w:val="20"/>
          <w:szCs w:val="20"/>
          <w:color w:val="auto"/>
        </w:rPr>
      </w:pPr>
    </w:p>
    <w:p>
      <w:pPr>
        <w:sectPr>
          <w:pgSz w:w="11900" w:h="16838" w:orient="portrait"/>
          <w:cols w:equalWidth="0" w:num="3">
            <w:col w:w="3023" w:space="200"/>
            <w:col w:w="2020" w:space="720"/>
            <w:col w:w="4259"/>
          </w:cols>
          <w:pgMar w:left="237" w:top="659" w:right="1440" w:bottom="538" w:gutter="0" w:footer="0" w:header="0"/>
          <w:type w:val="continuous"/>
        </w:sectPr>
      </w:pPr>
    </w:p>
    <w:p>
      <w:pPr>
        <w:spacing w:after="0" w:line="166"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538"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13,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659" w:right="1440" w:bottom="538" w:gutter="0" w:footer="0" w:header="0"/>
          <w:type w:val="continuous"/>
        </w:sectPr>
      </w:pPr>
    </w:p>
    <w:p>
      <w:pPr>
        <w:ind w:left="663"/>
        <w:spacing w:after="0"/>
        <w:rPr>
          <w:sz w:val="20"/>
          <w:szCs w:val="20"/>
          <w:color w:val="auto"/>
        </w:rPr>
      </w:pPr>
      <w:r>
        <w:rPr>
          <w:rFonts w:ascii="Courier New" w:cs="Courier New" w:eastAsia="Courier New" w:hAnsi="Courier New"/>
          <w:sz w:val="15"/>
          <w:szCs w:val="15"/>
          <w:color w:val="auto"/>
        </w:rPr>
        <w:t>Ronald O. Baukol</w:t>
      </w:r>
    </w:p>
    <w:p>
      <w:pPr>
        <w:spacing w:after="0" w:line="372"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538"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13,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659" w:right="1440" w:bottom="538" w:gutter="0" w:footer="0" w:header="0"/>
          <w:type w:val="continuous"/>
        </w:sectPr>
      </w:pPr>
    </w:p>
    <w:p>
      <w:pPr>
        <w:ind w:left="463"/>
        <w:spacing w:after="0"/>
        <w:rPr>
          <w:sz w:val="20"/>
          <w:szCs w:val="20"/>
          <w:color w:val="auto"/>
        </w:rPr>
      </w:pPr>
      <w:r>
        <w:rPr>
          <w:rFonts w:ascii="Courier New" w:cs="Courier New" w:eastAsia="Courier New" w:hAnsi="Courier New"/>
          <w:sz w:val="15"/>
          <w:szCs w:val="15"/>
          <w:color w:val="auto"/>
        </w:rPr>
        <w:t>Robert C. Buhrmaster</w:t>
      </w:r>
    </w:p>
    <w:p>
      <w:pPr>
        <w:spacing w:after="0" w:line="372"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538"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13,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659" w:right="1440" w:bottom="538" w:gutter="0" w:footer="0" w:header="0"/>
          <w:type w:val="continuous"/>
        </w:sectPr>
      </w:pPr>
    </w:p>
    <w:p>
      <w:pPr>
        <w:ind w:left="663"/>
        <w:spacing w:after="0"/>
        <w:rPr>
          <w:sz w:val="20"/>
          <w:szCs w:val="20"/>
          <w:color w:val="auto"/>
        </w:rPr>
      </w:pPr>
      <w:r>
        <w:rPr>
          <w:rFonts w:ascii="Courier New" w:cs="Courier New" w:eastAsia="Courier New" w:hAnsi="Courier New"/>
          <w:sz w:val="15"/>
          <w:szCs w:val="15"/>
          <w:color w:val="auto"/>
        </w:rPr>
        <w:t>Janet K. Cooper</w:t>
      </w:r>
    </w:p>
    <w:p>
      <w:pPr>
        <w:spacing w:after="0" w:line="372"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538"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13,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659" w:right="1440" w:bottom="538" w:gutter="0" w:footer="0" w:header="0"/>
          <w:type w:val="continuous"/>
        </w:sectPr>
      </w:pPr>
    </w:p>
    <w:p>
      <w:pPr>
        <w:ind w:left="763"/>
        <w:spacing w:after="0"/>
        <w:rPr>
          <w:sz w:val="20"/>
          <w:szCs w:val="20"/>
          <w:color w:val="auto"/>
        </w:rPr>
      </w:pPr>
      <w:r>
        <w:rPr>
          <w:rFonts w:ascii="Courier New" w:cs="Courier New" w:eastAsia="Courier New" w:hAnsi="Courier New"/>
          <w:sz w:val="15"/>
          <w:szCs w:val="15"/>
          <w:color w:val="auto"/>
        </w:rPr>
        <w:t>Alex A. Meyer</w:t>
      </w:r>
    </w:p>
    <w:p>
      <w:pPr>
        <w:spacing w:after="0" w:line="372"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538"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13,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659" w:right="1440" w:bottom="538" w:gutter="0" w:footer="0" w:header="0"/>
          <w:type w:val="continuous"/>
        </w:sectPr>
      </w:pPr>
    </w:p>
    <w:p>
      <w:pPr>
        <w:ind w:left="663"/>
        <w:spacing w:after="0"/>
        <w:rPr>
          <w:sz w:val="20"/>
          <w:szCs w:val="20"/>
          <w:color w:val="auto"/>
        </w:rPr>
      </w:pPr>
      <w:r>
        <w:rPr>
          <w:rFonts w:ascii="Courier New" w:cs="Courier New" w:eastAsia="Courier New" w:hAnsi="Courier New"/>
          <w:sz w:val="15"/>
          <w:szCs w:val="15"/>
          <w:color w:val="auto"/>
        </w:rPr>
        <w:t>Robert H. Nassau</w:t>
      </w:r>
    </w:p>
    <w:p>
      <w:pPr>
        <w:spacing w:after="0" w:line="372"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538"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13,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659" w:right="1440" w:bottom="538" w:gutter="0" w:footer="0" w:header="0"/>
          <w:type w:val="continuous"/>
        </w:sectPr>
      </w:pPr>
    </w:p>
    <w:p>
      <w:pPr>
        <w:ind w:left="763"/>
        <w:spacing w:after="0"/>
        <w:rPr>
          <w:sz w:val="20"/>
          <w:szCs w:val="20"/>
          <w:color w:val="auto"/>
        </w:rPr>
      </w:pPr>
      <w:r>
        <w:rPr>
          <w:rFonts w:ascii="Courier New" w:cs="Courier New" w:eastAsia="Courier New" w:hAnsi="Courier New"/>
          <w:sz w:val="15"/>
          <w:szCs w:val="15"/>
          <w:color w:val="auto"/>
        </w:rPr>
        <w:t>Dale R. Olseth</w:t>
      </w:r>
    </w:p>
    <w:p>
      <w:pPr>
        <w:spacing w:after="0" w:line="372"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538"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13, 1997</w:t>
      </w:r>
    </w:p>
    <w:p>
      <w:pPr>
        <w:spacing w:after="0" w:line="8" w:lineRule="exact"/>
        <w:rPr>
          <w:sz w:val="20"/>
          <w:szCs w:val="20"/>
          <w:color w:val="auto"/>
        </w:rPr>
      </w:pPr>
    </w:p>
    <w:p>
      <w:pPr>
        <w:sectPr>
          <w:pgSz w:w="11900" w:h="16838" w:orient="portrait"/>
          <w:cols w:equalWidth="0" w:num="3">
            <w:col w:w="3023" w:space="200"/>
            <w:col w:w="2020" w:space="720"/>
            <w:col w:w="4259"/>
          </w:cols>
          <w:pgMar w:left="237" w:top="659" w:right="1440" w:bottom="538" w:gutter="0" w:footer="0" w:header="0"/>
          <w:type w:val="continuous"/>
        </w:sectPr>
      </w:pPr>
    </w:p>
    <w:p>
      <w:pPr>
        <w:ind w:left="663"/>
        <w:spacing w:after="0"/>
        <w:rPr>
          <w:sz w:val="20"/>
          <w:szCs w:val="20"/>
          <w:color w:val="auto"/>
        </w:rPr>
      </w:pPr>
      <w:r>
        <w:rPr>
          <w:rFonts w:ascii="Courier New" w:cs="Courier New" w:eastAsia="Courier New" w:hAnsi="Courier New"/>
          <w:sz w:val="16"/>
          <w:szCs w:val="16"/>
          <w:color w:val="auto"/>
        </w:rPr>
        <w:t>Edwin H. Wingate</w:t>
      </w:r>
    </w:p>
    <w:p>
      <w:pPr>
        <w:spacing w:after="0" w:line="364" w:lineRule="exact"/>
        <w:rPr>
          <w:sz w:val="20"/>
          <w:szCs w:val="20"/>
          <w:color w:val="auto"/>
        </w:rPr>
      </w:pPr>
    </w:p>
    <w:p>
      <w:pPr>
        <w:jc w:val="center"/>
        <w:ind w:right="7396"/>
        <w:spacing w:after="0"/>
        <w:tabs>
          <w:tab w:leader="none" w:pos="7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 LAWRENCE</w:t>
      </w:r>
    </w:p>
    <w:p>
      <w:pPr>
        <w:spacing w:after="0" w:line="1" w:lineRule="exact"/>
        <w:rPr>
          <w:sz w:val="20"/>
          <w:szCs w:val="20"/>
          <w:color w:val="auto"/>
        </w:rPr>
      </w:pPr>
    </w:p>
    <w:p>
      <w:pPr>
        <w:jc w:val="center"/>
        <w:ind w:right="7396"/>
        <w:spacing w:after="0"/>
        <w:rPr>
          <w:sz w:val="20"/>
          <w:szCs w:val="20"/>
          <w:color w:val="auto"/>
        </w:rPr>
      </w:pPr>
      <w:r>
        <w:rPr>
          <w:rFonts w:ascii="Courier New" w:cs="Courier New" w:eastAsia="Courier New" w:hAnsi="Courier New"/>
          <w:sz w:val="16"/>
          <w:szCs w:val="16"/>
          <w:color w:val="auto"/>
        </w:rPr>
        <w:t>MCINTYRE</w:t>
      </w:r>
    </w:p>
    <w:p>
      <w:pPr>
        <w:sectPr>
          <w:pgSz w:w="11900" w:h="16838" w:orient="portrait"/>
          <w:cols w:equalWidth="0" w:num="1">
            <w:col w:w="10222"/>
          </w:cols>
          <w:pgMar w:left="237" w:top="659" w:right="1440" w:bottom="538" w:gutter="0" w:footer="0" w:header="0"/>
          <w:type w:val="continuous"/>
        </w:sectPr>
      </w:pPr>
    </w:p>
    <w:p>
      <w:pPr>
        <w:spacing w:after="0" w:line="1" w:lineRule="exact"/>
        <w:rPr>
          <w:sz w:val="20"/>
          <w:szCs w:val="20"/>
          <w:color w:val="auto"/>
        </w:rPr>
      </w:pPr>
    </w:p>
    <w:p>
      <w:pPr>
        <w:ind w:left="183" w:hanging="183"/>
        <w:spacing w:after="0"/>
        <w:tabs>
          <w:tab w:leader="none" w:pos="18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Lawrence McIntyre</w:t>
      </w:r>
    </w:p>
    <w:p>
      <w:pPr>
        <w:ind w:left="6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ATTORNEY-IN-FACT</w:t>
      </w:r>
    </w:p>
    <w:p>
      <w:pPr>
        <w:spacing w:after="0" w:line="186" w:lineRule="exact"/>
        <w:rPr>
          <w:sz w:val="20"/>
          <w:szCs w:val="20"/>
          <w:color w:val="auto"/>
        </w:rPr>
      </w:pPr>
    </w:p>
    <w:p>
      <w:pPr>
        <w:ind w:left="3603"/>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22"/>
          </w:cols>
          <w:pgMar w:left="237" w:top="659" w:right="1440" w:bottom="538"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0" w:type="dxa"/>
            <w:vAlign w:val="bottom"/>
            <w:gridSpan w:val="2"/>
          </w:tcPr>
          <w:p>
            <w:pPr>
              <w:ind w:left="1660"/>
              <w:spacing w:after="0"/>
              <w:rPr>
                <w:sz w:val="20"/>
                <w:szCs w:val="20"/>
                <w:color w:val="auto"/>
              </w:rPr>
            </w:pPr>
            <w:r>
              <w:rPr>
                <w:rFonts w:ascii="Courier New" w:cs="Courier New" w:eastAsia="Courier New" w:hAnsi="Courier New"/>
                <w:sz w:val="16"/>
                <w:szCs w:val="16"/>
                <w:color w:val="auto"/>
              </w:rPr>
              <w:t>EXHIBIT LIST</w:t>
            </w:r>
          </w:p>
        </w:tc>
      </w:tr>
      <w:tr>
        <w:trPr>
          <w:trHeight w:val="364"/>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Exhibit</w:t>
            </w:r>
          </w:p>
        </w:tc>
        <w:tc>
          <w:tcPr>
            <w:tcW w:w="2460" w:type="dxa"/>
            <w:vAlign w:val="bottom"/>
          </w:tcPr>
          <w:p>
            <w:pPr>
              <w:spacing w:after="0"/>
              <w:rPr>
                <w:sz w:val="24"/>
                <w:szCs w:val="24"/>
                <w:color w:val="auto"/>
              </w:rPr>
            </w:pPr>
          </w:p>
        </w:tc>
        <w:tc>
          <w:tcPr>
            <w:tcW w:w="3740" w:type="dxa"/>
            <w:vAlign w:val="bottom"/>
          </w:tcPr>
          <w:p>
            <w:pPr>
              <w:ind w:left="3160"/>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460" w:type="dxa"/>
            <w:vAlign w:val="bottom"/>
          </w:tcPr>
          <w:p>
            <w:pPr>
              <w:spacing w:after="0"/>
              <w:rPr>
                <w:sz w:val="15"/>
                <w:szCs w:val="15"/>
                <w:color w:val="auto"/>
              </w:rPr>
            </w:pPr>
          </w:p>
        </w:tc>
        <w:tc>
          <w:tcPr>
            <w:tcW w:w="3740" w:type="dxa"/>
            <w:vAlign w:val="bottom"/>
          </w:tcPr>
          <w:p>
            <w:pPr>
              <w:ind w:left="3360"/>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7300" w:type="dxa"/>
            <w:vAlign w:val="bottom"/>
            <w:gridSpan w:val="3"/>
          </w:tcPr>
          <w:p>
            <w:pPr>
              <w:spacing w:after="0"/>
              <w:rPr>
                <w:sz w:val="20"/>
                <w:szCs w:val="20"/>
                <w:color w:val="auto"/>
              </w:rPr>
            </w:pPr>
            <w:r>
              <w:rPr>
                <w:rFonts w:ascii="Courier New" w:cs="Courier New" w:eastAsia="Courier New" w:hAnsi="Courier New"/>
                <w:sz w:val="16"/>
                <w:szCs w:val="16"/>
                <w:color w:val="auto"/>
              </w:rPr>
              <w:t>Specimen form of Common Stock certificate (incorporated by reference</w:t>
            </w:r>
          </w:p>
        </w:tc>
      </w:tr>
      <w:tr>
        <w:trPr>
          <w:trHeight w:val="182"/>
        </w:trPr>
        <w:tc>
          <w:tcPr>
            <w:tcW w:w="460" w:type="dxa"/>
            <w:vAlign w:val="bottom"/>
          </w:tcPr>
          <w:p>
            <w:pPr>
              <w:spacing w:after="0"/>
              <w:rPr>
                <w:sz w:val="15"/>
                <w:szCs w:val="15"/>
                <w:color w:val="auto"/>
              </w:rPr>
            </w:pPr>
          </w:p>
        </w:tc>
        <w:tc>
          <w:tcPr>
            <w:tcW w:w="7300" w:type="dxa"/>
            <w:vAlign w:val="bottom"/>
            <w:gridSpan w:val="3"/>
          </w:tcPr>
          <w:p>
            <w:pPr>
              <w:spacing w:after="0"/>
              <w:rPr>
                <w:sz w:val="20"/>
                <w:szCs w:val="20"/>
                <w:color w:val="auto"/>
              </w:rPr>
            </w:pPr>
            <w:r>
              <w:rPr>
                <w:rFonts w:ascii="Courier New" w:cs="Courier New" w:eastAsia="Courier New" w:hAnsi="Courier New"/>
                <w:sz w:val="16"/>
                <w:szCs w:val="16"/>
                <w:color w:val="auto"/>
              </w:rPr>
              <w:t>to Exhibit 4(c) to Registrant's Registration Statement on Form S-8,</w:t>
            </w:r>
          </w:p>
        </w:tc>
      </w:tr>
      <w:tr>
        <w:trPr>
          <w:trHeight w:val="182"/>
        </w:trPr>
        <w:tc>
          <w:tcPr>
            <w:tcW w:w="46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w w:val="99"/>
              </w:rPr>
              <w:t>Registration No. 2-94417) . . . . . .</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 . . . . . . . . . . . . . . .</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Certificate</w:t>
            </w:r>
          </w:p>
        </w:tc>
        <w:tc>
          <w:tcPr>
            <w:tcW w:w="6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Incorporation of the Registrant (incorporated by</w:t>
            </w:r>
          </w:p>
        </w:tc>
      </w:tr>
      <w:tr>
        <w:trPr>
          <w:trHeight w:val="182"/>
        </w:trPr>
        <w:tc>
          <w:tcPr>
            <w:tcW w:w="460" w:type="dxa"/>
            <w:vAlign w:val="bottom"/>
          </w:tcPr>
          <w:p>
            <w:pPr>
              <w:spacing w:after="0"/>
              <w:rPr>
                <w:sz w:val="15"/>
                <w:szCs w:val="15"/>
                <w:color w:val="auto"/>
              </w:rPr>
            </w:pPr>
          </w:p>
        </w:tc>
        <w:tc>
          <w:tcPr>
            <w:tcW w:w="7300" w:type="dxa"/>
            <w:vAlign w:val="bottom"/>
            <w:gridSpan w:val="3"/>
          </w:tcPr>
          <w:p>
            <w:pPr>
              <w:spacing w:after="0"/>
              <w:rPr>
                <w:sz w:val="20"/>
                <w:szCs w:val="20"/>
                <w:color w:val="auto"/>
              </w:rPr>
            </w:pPr>
            <w:r>
              <w:rPr>
                <w:rFonts w:ascii="Courier New" w:cs="Courier New" w:eastAsia="Courier New" w:hAnsi="Courier New"/>
                <w:sz w:val="16"/>
                <w:szCs w:val="16"/>
                <w:color w:val="auto"/>
              </w:rPr>
              <w:t>reference to Exhibit 4.2 to Registrant's Registration Statement on</w:t>
            </w:r>
          </w:p>
        </w:tc>
      </w:tr>
      <w:tr>
        <w:trPr>
          <w:trHeight w:val="182"/>
        </w:trPr>
        <w:tc>
          <w:tcPr>
            <w:tcW w:w="46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w w:val="99"/>
              </w:rPr>
              <w:t>Form S-3, Registration No. 33-16125).</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 . . . . . . . . . . . . . . .</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Certificate</w:t>
            </w:r>
          </w:p>
        </w:tc>
        <w:tc>
          <w:tcPr>
            <w:tcW w:w="6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Amendment to Certificate of Incorporation dated</w:t>
            </w:r>
          </w:p>
        </w:tc>
      </w:tr>
      <w:tr>
        <w:trPr>
          <w:trHeight w:val="182"/>
        </w:trPr>
        <w:tc>
          <w:tcPr>
            <w:tcW w:w="46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December 9,</w:t>
            </w:r>
          </w:p>
        </w:tc>
        <w:tc>
          <w:tcPr>
            <w:tcW w:w="6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1986 (incorporated by reference to Exhibit 3 to</w:t>
            </w:r>
          </w:p>
        </w:tc>
      </w:tr>
      <w:tr>
        <w:trPr>
          <w:trHeight w:val="182"/>
        </w:trPr>
        <w:tc>
          <w:tcPr>
            <w:tcW w:w="46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w w:val="99"/>
              </w:rPr>
              <w:t>Registrant's Quarterly Report on Form</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10-Q for the quarter ended</w:t>
            </w:r>
          </w:p>
        </w:tc>
      </w:tr>
      <w:tr>
        <w:trPr>
          <w:trHeight w:val="182"/>
        </w:trPr>
        <w:tc>
          <w:tcPr>
            <w:tcW w:w="46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January 30,</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w w:val="99"/>
              </w:rPr>
              <w:t>1987, Commission File No.</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1-8649) . . . . . . . . . . . .</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Certificate</w:t>
            </w:r>
          </w:p>
        </w:tc>
        <w:tc>
          <w:tcPr>
            <w:tcW w:w="6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Amendment to Certificate of Incorporation dated</w:t>
            </w:r>
          </w:p>
        </w:tc>
      </w:tr>
      <w:tr>
        <w:trPr>
          <w:trHeight w:val="182"/>
        </w:trPr>
        <w:tc>
          <w:tcPr>
            <w:tcW w:w="46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December 8,</w:t>
            </w:r>
          </w:p>
        </w:tc>
        <w:tc>
          <w:tcPr>
            <w:tcW w:w="6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1987 (incorporated by reference to Exhibit 3 to</w:t>
            </w:r>
          </w:p>
        </w:tc>
      </w:tr>
      <w:tr>
        <w:trPr>
          <w:trHeight w:val="182"/>
        </w:trPr>
        <w:tc>
          <w:tcPr>
            <w:tcW w:w="46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w w:val="99"/>
              </w:rPr>
              <w:t>Registrant's Quarterly Report on Form</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10-Q for the quarter ended</w:t>
            </w:r>
          </w:p>
        </w:tc>
      </w:tr>
      <w:tr>
        <w:trPr>
          <w:trHeight w:val="182"/>
        </w:trPr>
        <w:tc>
          <w:tcPr>
            <w:tcW w:w="46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January 29,</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w w:val="99"/>
              </w:rPr>
              <w:t>1988, Commission File No.</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1-8649) . . . . . . . . . . . .</w:t>
            </w:r>
          </w:p>
        </w:tc>
      </w:tr>
    </w:tbl>
    <w:p>
      <w:pPr>
        <w:spacing w:after="0" w:line="186" w:lineRule="exact"/>
        <w:rPr>
          <w:sz w:val="20"/>
          <w:szCs w:val="20"/>
          <w:color w:val="auto"/>
        </w:rPr>
      </w:pPr>
    </w:p>
    <w:p>
      <w:pPr>
        <w:ind w:left="460" w:right="3219" w:hanging="472"/>
        <w:spacing w:after="0" w:line="262" w:lineRule="auto"/>
        <w:tabs>
          <w:tab w:leader="none" w:pos="44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5"/>
          <w:szCs w:val="15"/>
          <w:color w:val="auto"/>
        </w:rPr>
        <w:t>Bylaws of the Registrant (incorporated by reference to Exhibit 3.3 to Registrant's Annual Report on Form 10-K for the year ended July 31, 1991, Commission File No. 1-8649) . . . . . . . . . . . . . . . . . .</w:t>
      </w:r>
    </w:p>
    <w:p>
      <w:pPr>
        <w:spacing w:after="0" w:line="171" w:lineRule="exact"/>
        <w:rPr>
          <w:sz w:val="20"/>
          <w:szCs w:val="20"/>
          <w:color w:val="auto"/>
        </w:rPr>
      </w:pPr>
    </w:p>
    <w:p>
      <w:pPr>
        <w:ind w:left="460" w:right="3119" w:hanging="472"/>
        <w:spacing w:after="0" w:line="258" w:lineRule="auto"/>
        <w:tabs>
          <w:tab w:leader="none" w:pos="44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 1-8649, as amended from time to time) . . . . . . . . . . . . . . . . . . . .</w:t>
      </w:r>
    </w:p>
    <w:p>
      <w:pPr>
        <w:spacing w:after="0" w:line="177" w:lineRule="exact"/>
        <w:rPr>
          <w:sz w:val="20"/>
          <w:szCs w:val="20"/>
          <w:color w:val="auto"/>
        </w:rPr>
      </w:pPr>
    </w:p>
    <w:p>
      <w:pPr>
        <w:ind w:left="460" w:right="3219" w:hanging="459"/>
        <w:spacing w:after="0" w:line="267" w:lineRule="auto"/>
        <w:tabs>
          <w:tab w:leader="none" w:pos="44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Opinion of Doherty, Rumble &amp; Butler, Professional Association, regarding the legality of the securities being registered . . . . . .</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23.1 Consent of KPMG Peat Marwick LLP. . . . . . . . . . . . . . . . . . .</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*23.2 Consent of Doherty, Rumble &amp; Butler Professional Association (included</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Exhibit 5) . . . . . . . . . . . . . . . . . . . . . . . . . . . . . . .</w:t>
      </w:r>
    </w:p>
    <w:p>
      <w:pPr>
        <w:spacing w:after="0" w:line="36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6"/>
          <w:szCs w:val="16"/>
          <w:color w:val="auto"/>
        </w:rPr>
        <w:t>*24</w:t>
        <w:tab/>
        <w:t>Powers of Attorney (contained in signature pages) . . . . . . . . . . . .</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Filed May 24, 1996.</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59" w:right="1440" w:bottom="1440" w:gutter="0" w:footer="0" w:header="0"/>
        </w:sectPr>
      </w:pPr>
    </w:p>
    <w:bookmarkStart w:id="14" w:name="page15"/>
    <w:bookmarkEnd w:id="14"/>
    <w:p>
      <w:pPr>
        <w:jc w:val="right"/>
        <w:ind w:right="265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346"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CONSENT OF INDEPENDENT AUDITORS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186"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We consent to the use of our reports incorporated herein by reference and to the reference to our firm under the heading "Experts" in the Prospectus.</w:t>
      </w:r>
    </w:p>
    <w:p>
      <w:pPr>
        <w:spacing w:after="0" w:line="200" w:lineRule="exact"/>
        <w:rPr>
          <w:sz w:val="20"/>
          <w:szCs w:val="20"/>
          <w:color w:val="auto"/>
        </w:rPr>
      </w:pP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KPMG Peat Marwick LLP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13, 1997</w:t>
      </w:r>
    </w:p>
    <w:sectPr>
      <w:pgSz w:w="11900" w:h="16838" w:orient="portrait"/>
      <w:cols w:equalWidth="0" w:num="1">
        <w:col w:w="10219"/>
      </w:cols>
      <w:pgMar w:left="240" w:top="6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lowerLetter"/>
      <w:start w:val="1"/>
    </w:lvl>
    <w:lvl w:ilvl="1">
      <w:lvlJc w:val="left"/>
      <w:lvlText w:val="(%2)"/>
      <w:numFmt w:val="decimal"/>
      <w:start w:val="1"/>
    </w:lvl>
  </w:abstractNum>
  <w:abstractNum w:abstractNumId="6">
    <w:nsid w:val="515F007C"/>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7">
    <w:nsid w:val="5BD062C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8">
    <w:nsid w:val="12200854"/>
    <w:multiLevelType w:val="hybridMultilevel"/>
    <w:lvl w:ilvl="0">
      <w:lvlJc w:val="left"/>
      <w:lvlText w:val="(%1)"/>
      <w:numFmt w:val="upperLetter"/>
      <w:start w:val="2"/>
    </w:lvl>
  </w:abstractNum>
  <w:abstractNum w:abstractNumId="9">
    <w:nsid w:val="4DB127F8"/>
    <w:multiLevelType w:val="hybridMultilevel"/>
    <w:lvl w:ilvl="0">
      <w:lvlJc w:val="left"/>
      <w:lvlText w:val="-"/>
      <w:numFmt w:val="bullet"/>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2019-12-12T07:10:23Z</dcterms:created>
  <dcterms:modified xsi:type="dcterms:W3CDTF">2019-12-12T07:10:23Z</dcterms:modified>
</cp:coreProperties>
</file>