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3700"/>
        <w:spacing w:after="0" w:line="237" w:lineRule="auto"/>
        <w:rPr>
          <w:sz w:val="20"/>
          <w:szCs w:val="20"/>
          <w:color w:val="auto"/>
        </w:rPr>
      </w:pPr>
      <w:r>
        <w:rPr>
          <w:rFonts w:ascii="Courier New" w:cs="Courier New" w:eastAsia="Courier New" w:hAnsi="Courier New"/>
          <w:sz w:val="18"/>
          <w:szCs w:val="18"/>
          <w:color w:val="auto"/>
        </w:rPr>
        <w:t>SCHEDULE 13G</w:t>
      </w:r>
    </w:p>
    <w:p>
      <w:pPr>
        <w:ind w:left="3060"/>
        <w:spacing w:after="0" w:line="238" w:lineRule="auto"/>
        <w:rPr>
          <w:sz w:val="20"/>
          <w:szCs w:val="20"/>
          <w:color w:val="auto"/>
        </w:rPr>
      </w:pPr>
      <w:r>
        <w:rPr>
          <w:rFonts w:ascii="Courier New" w:cs="Courier New" w:eastAsia="Courier New" w:hAnsi="Courier New"/>
          <w:sz w:val="18"/>
          <w:szCs w:val="18"/>
          <w:color w:val="auto"/>
        </w:rPr>
        <w:t>INFORMATION STATEMENT</w:t>
      </w:r>
    </w:p>
    <w:p>
      <w:pPr>
        <w:jc w:val="center"/>
        <w:ind w:right="1459"/>
        <w:spacing w:after="0"/>
        <w:rPr>
          <w:sz w:val="20"/>
          <w:szCs w:val="20"/>
          <w:color w:val="auto"/>
        </w:rPr>
      </w:pPr>
      <w:r>
        <w:rPr>
          <w:rFonts w:ascii="Courier New" w:cs="Courier New" w:eastAsia="Courier New" w:hAnsi="Courier New"/>
          <w:sz w:val="18"/>
          <w:szCs w:val="18"/>
          <w:color w:val="auto"/>
        </w:rPr>
        <w:t>PURSUANT TO RULES 13D-1 AND 13D-2</w:t>
      </w:r>
    </w:p>
    <w:p>
      <w:pPr>
        <w:jc w:val="center"/>
        <w:ind w:right="1459"/>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__________)</w:t>
      </w:r>
    </w:p>
    <w:p>
      <w:pPr>
        <w:spacing w:after="0" w:line="200" w:lineRule="exact"/>
        <w:rPr>
          <w:sz w:val="24"/>
          <w:szCs w:val="24"/>
          <w:color w:val="auto"/>
        </w:rPr>
      </w:pPr>
    </w:p>
    <w:p>
      <w:pPr>
        <w:spacing w:after="0" w:line="204"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The Toro Company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891092108</w:t>
            </w:r>
          </w:p>
        </w:tc>
      </w:tr>
    </w:tbl>
    <w:p>
      <w:pPr>
        <w:spacing w:after="0" w:line="200" w:lineRule="exact"/>
        <w:rPr>
          <w:sz w:val="24"/>
          <w:szCs w:val="24"/>
          <w:color w:val="auto"/>
        </w:rPr>
      </w:pPr>
    </w:p>
    <w:p>
      <w:pPr>
        <w:spacing w:after="0" w:line="209"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[x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51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ind w:left="112"/>
        <w:spacing w:after="0"/>
        <w:rPr>
          <w:sz w:val="20"/>
          <w:szCs w:val="20"/>
          <w:color w:val="auto"/>
        </w:rPr>
      </w:pPr>
      <w:r>
        <w:rPr>
          <w:rFonts w:ascii="Courier New" w:cs="Courier New" w:eastAsia="Courier New" w:hAnsi="Courier New"/>
          <w:sz w:val="18"/>
          <w:szCs w:val="18"/>
          <w:color w:val="auto"/>
        </w:rPr>
        <w:t>2</w:t>
      </w:r>
    </w:p>
    <w:p>
      <w:pPr>
        <w:ind w:left="532" w:hanging="532"/>
        <w:spacing w:after="0" w:line="238"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The Chase Manhattan Corporation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NOS. OF ABOVE PERSONS: 13-2633613</w:t>
      </w:r>
    </w:p>
    <w:p>
      <w:pPr>
        <w:spacing w:after="0" w:line="200" w:lineRule="exact"/>
        <w:rPr>
          <w:rFonts w:ascii="Courier New" w:cs="Courier New" w:eastAsia="Courier New" w:hAnsi="Courier New"/>
          <w:sz w:val="18"/>
          <w:szCs w:val="18"/>
          <w:color w:val="auto"/>
        </w:rPr>
      </w:pPr>
    </w:p>
    <w:p>
      <w:pPr>
        <w:spacing w:after="0" w:line="226" w:lineRule="exact"/>
        <w:rPr>
          <w:rFonts w:ascii="Courier New" w:cs="Courier New" w:eastAsia="Courier New" w:hAnsi="Courier New"/>
          <w:sz w:val="18"/>
          <w:szCs w:val="18"/>
          <w:color w:val="auto"/>
        </w:rPr>
      </w:pPr>
    </w:p>
    <w:p>
      <w:pPr>
        <w:jc w:val="right"/>
        <w:ind w:left="5892" w:right="3679" w:hanging="5892"/>
        <w:spacing w:after="0" w:line="290" w:lineRule="auto"/>
        <w:tabs>
          <w:tab w:leader="none" w:pos="5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(A) [] (B)[x]</w:t>
      </w:r>
    </w:p>
    <w:p>
      <w:pPr>
        <w:spacing w:after="0" w:line="164"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 BY EACH REPORTING PERSON WITH:</w:t>
      </w:r>
    </w:p>
    <w:p>
      <w:pPr>
        <w:spacing w:after="0" w:line="207" w:lineRule="exact"/>
        <w:rPr>
          <w:sz w:val="20"/>
          <w:szCs w:val="20"/>
          <w:color w:val="auto"/>
        </w:rPr>
      </w:pPr>
    </w:p>
    <w:p>
      <w:pPr>
        <w:ind w:left="3152" w:right="4739" w:hanging="623"/>
        <w:spacing w:after="0" w:line="235" w:lineRule="auto"/>
        <w:tabs>
          <w:tab w:leader="none" w:pos="30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102,375 Common Shares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3052" w:hanging="523"/>
        <w:spacing w:after="0"/>
        <w:tabs>
          <w:tab w:leader="none" w:pos="30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3592" w:hanging="326"/>
        <w:spacing w:after="0" w:line="238" w:lineRule="auto"/>
        <w:tabs>
          <w:tab w:leader="none" w:pos="359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Shares</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3052" w:hanging="523"/>
        <w:spacing w:after="0"/>
        <w:tabs>
          <w:tab w:leader="none" w:pos="305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3792" w:hanging="526"/>
        <w:spacing w:after="0" w:line="238" w:lineRule="auto"/>
        <w:tabs>
          <w:tab w:leader="none" w:pos="379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Shares</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3052" w:hanging="523"/>
        <w:spacing w:after="0"/>
        <w:tabs>
          <w:tab w:leader="none" w:pos="305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327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623,875 Common Shares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 w:right="5159" w:firstLine="8"/>
        <w:spacing w:after="0" w:line="235" w:lineRule="auto"/>
        <w:tabs>
          <w:tab w:leader="none" w:pos="51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2532"/>
        <w:spacing w:after="0"/>
        <w:tabs>
          <w:tab w:leader="none" w:pos="3572" w:val="left"/>
        </w:tabs>
        <w:rPr>
          <w:sz w:val="20"/>
          <w:szCs w:val="20"/>
          <w:color w:val="auto"/>
        </w:rPr>
      </w:pPr>
      <w:r>
        <w:rPr>
          <w:rFonts w:ascii="Courier New" w:cs="Courier New" w:eastAsia="Courier New" w:hAnsi="Courier New"/>
          <w:sz w:val="18"/>
          <w:szCs w:val="18"/>
          <w:color w:val="auto"/>
        </w:rPr>
        <w:t>623,875</w:t>
      </w:r>
      <w:r>
        <w:rPr>
          <w:sz w:val="20"/>
          <w:szCs w:val="20"/>
          <w:color w:val="auto"/>
        </w:rPr>
        <w:tab/>
      </w:r>
      <w:r>
        <w:rPr>
          <w:rFonts w:ascii="Courier New" w:cs="Courier New" w:eastAsia="Courier New" w:hAnsi="Courier New"/>
          <w:sz w:val="18"/>
          <w:szCs w:val="18"/>
          <w:color w:val="auto"/>
        </w:rPr>
        <w:t>Common Shares</w:t>
      </w:r>
    </w:p>
    <w:p>
      <w:pPr>
        <w:spacing w:after="0" w:line="200" w:lineRule="exact"/>
        <w:rPr>
          <w:sz w:val="20"/>
          <w:szCs w:val="20"/>
          <w:color w:val="auto"/>
        </w:rPr>
      </w:pPr>
    </w:p>
    <w:p>
      <w:pPr>
        <w:spacing w:after="0" w:line="209" w:lineRule="exact"/>
        <w:rPr>
          <w:sz w:val="20"/>
          <w:szCs w:val="20"/>
          <w:color w:val="auto"/>
        </w:rPr>
      </w:pPr>
    </w:p>
    <w:p>
      <w:pPr>
        <w:ind w:left="-8" w:right="4519" w:firstLine="8"/>
        <w:spacing w:after="0" w:line="235" w:lineRule="auto"/>
        <w:tabs>
          <w:tab w:leader="none" w:pos="51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32"/>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532" w:right="4419" w:hanging="2532"/>
        <w:spacing w:after="0" w:line="235"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5.130%</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r>
        <w:rPr>
          <w:rFonts w:ascii="Courier New" w:cs="Courier New" w:eastAsia="Courier New" w:hAnsi="Courier New"/>
          <w:sz w:val="16"/>
          <w:szCs w:val="16"/>
          <w:color w:val="auto"/>
        </w:rPr>
        <w:t>HC</w:t>
      </w:r>
    </w:p>
    <w:p>
      <w:pPr>
        <w:sectPr>
          <w:pgSz w:w="11900" w:h="16838" w:orient="portrait"/>
          <w:cols w:equalWidth="0" w:num="1">
            <w:col w:w="10211"/>
          </w:cols>
          <w:pgMar w:left="248"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(1)NAME OF REPORTING PERSON: The Chase Manhattan Bank, N.A.</w:t>
      </w:r>
    </w:p>
    <w:p>
      <w:pPr>
        <w:spacing w:after="0" w:line="200" w:lineRule="exact"/>
        <w:rPr>
          <w:sz w:val="20"/>
          <w:szCs w:val="20"/>
          <w:color w:val="auto"/>
        </w:rPr>
      </w:pPr>
    </w:p>
    <w:p>
      <w:pPr>
        <w:spacing w:after="0" w:line="209" w:lineRule="exact"/>
        <w:rPr>
          <w:sz w:val="20"/>
          <w:szCs w:val="20"/>
          <w:color w:val="auto"/>
        </w:rPr>
      </w:pPr>
    </w:p>
    <w:p>
      <w:pPr>
        <w:ind w:left="860" w:hanging="536"/>
        <w:spacing w:after="0"/>
        <w:tabs>
          <w:tab w:leader="none" w:pos="86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I.R.S. IDENTIFICATION NOS. OF ABOVE PERSONS: 13-2633612</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jc w:val="right"/>
        <w:ind w:left="5900" w:right="3679" w:hanging="5892"/>
        <w:spacing w:after="0" w:line="290" w:lineRule="auto"/>
        <w:tabs>
          <w:tab w:leader="none" w:pos="52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(A) [] (B)[x]</w:t>
      </w:r>
    </w:p>
    <w:p>
      <w:pPr>
        <w:spacing w:after="0" w:line="164"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 BY EACH REPORTING PERSON WITH:</w:t>
      </w:r>
    </w:p>
    <w:p>
      <w:pPr>
        <w:spacing w:after="0" w:line="207" w:lineRule="exact"/>
        <w:rPr>
          <w:sz w:val="20"/>
          <w:szCs w:val="20"/>
          <w:color w:val="auto"/>
        </w:rPr>
      </w:pPr>
    </w:p>
    <w:p>
      <w:pPr>
        <w:ind w:left="3160" w:right="4739" w:hanging="623"/>
        <w:spacing w:after="0" w:line="235" w:lineRule="auto"/>
        <w:tabs>
          <w:tab w:leader="none" w:pos="305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102,375 Common Shares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3060" w:hanging="523"/>
        <w:spacing w:after="0"/>
        <w:tabs>
          <w:tab w:leader="none" w:pos="3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3600" w:hanging="326"/>
        <w:spacing w:after="0" w:line="238" w:lineRule="auto"/>
        <w:tabs>
          <w:tab w:leader="none" w:pos="360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Shares</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3060" w:hanging="523"/>
        <w:spacing w:after="0"/>
        <w:tabs>
          <w:tab w:leader="none" w:pos="3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3800" w:hanging="526"/>
        <w:spacing w:after="0" w:line="238" w:lineRule="auto"/>
        <w:tabs>
          <w:tab w:leader="none" w:pos="380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Shares</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3060" w:hanging="523"/>
        <w:spacing w:after="0"/>
        <w:tabs>
          <w:tab w:leader="none" w:pos="3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3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623,875 Common Shares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5159" w:firstLine="8"/>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2540"/>
        <w:spacing w:after="0"/>
        <w:tabs>
          <w:tab w:leader="none" w:pos="3580" w:val="left"/>
        </w:tabs>
        <w:rPr>
          <w:sz w:val="20"/>
          <w:szCs w:val="20"/>
          <w:color w:val="auto"/>
        </w:rPr>
      </w:pPr>
      <w:r>
        <w:rPr>
          <w:rFonts w:ascii="Courier New" w:cs="Courier New" w:eastAsia="Courier New" w:hAnsi="Courier New"/>
          <w:sz w:val="18"/>
          <w:szCs w:val="18"/>
          <w:color w:val="auto"/>
        </w:rPr>
        <w:t>623,875</w:t>
      </w:r>
      <w:r>
        <w:rPr>
          <w:sz w:val="20"/>
          <w:szCs w:val="20"/>
          <w:color w:val="auto"/>
        </w:rPr>
        <w:tab/>
      </w:r>
      <w:r>
        <w:rPr>
          <w:rFonts w:ascii="Courier New" w:cs="Courier New" w:eastAsia="Courier New" w:hAnsi="Courier New"/>
          <w:sz w:val="18"/>
          <w:szCs w:val="18"/>
          <w:color w:val="auto"/>
        </w:rPr>
        <w:t>Common Shares</w:t>
      </w:r>
    </w:p>
    <w:p>
      <w:pPr>
        <w:spacing w:after="0" w:line="207" w:lineRule="exact"/>
        <w:rPr>
          <w:sz w:val="20"/>
          <w:szCs w:val="20"/>
          <w:color w:val="auto"/>
        </w:rPr>
      </w:pPr>
    </w:p>
    <w:p>
      <w:pPr>
        <w:ind w:right="4519" w:firstLine="8"/>
        <w:spacing w:after="0" w:line="235" w:lineRule="auto"/>
        <w:tabs>
          <w:tab w:leader="none" w:pos="5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540" w:right="4419" w:hanging="2532"/>
        <w:spacing w:after="0" w:line="235" w:lineRule="auto"/>
        <w:tabs>
          <w:tab w:leader="none" w:pos="53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5.130%</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r>
        <w:rPr>
          <w:rFonts w:ascii="Courier New" w:cs="Courier New" w:eastAsia="Courier New" w:hAnsi="Courier New"/>
          <w:sz w:val="16"/>
          <w:szCs w:val="16"/>
          <w:color w:val="auto"/>
        </w:rPr>
        <w:t>BK</w:t>
      </w:r>
    </w:p>
    <w:p>
      <w:pPr>
        <w:sectPr>
          <w:pgSz w:w="11900" w:h="16838" w:orient="portrait"/>
          <w:cols w:equalWidth="0" w:num="1">
            <w:col w:w="10219"/>
          </w:cols>
          <w:pgMar w:left="240" w:top="312"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 BEING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0" w:lineRule="exact"/>
        <w:rPr>
          <w:sz w:val="20"/>
          <w:szCs w:val="20"/>
          <w:color w:val="auto"/>
        </w:rPr>
      </w:pPr>
    </w:p>
    <w:p>
      <w:pPr>
        <w:sectPr>
          <w:pgSz w:w="11900" w:h="16838" w:orient="portrait"/>
          <w:cols w:equalWidth="0" w:num="2">
            <w:col w:w="1920" w:space="720"/>
            <w:col w:w="7579"/>
          </w:cols>
          <w:pgMar w:left="240" w:top="312"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w:t>
      </w:r>
    </w:p>
    <w:p>
      <w:pPr>
        <w:spacing w:after="0" w:line="200" w:lineRule="exact"/>
        <w:rPr>
          <w:sz w:val="20"/>
          <w:szCs w:val="20"/>
          <w:color w:val="auto"/>
        </w:rPr>
      </w:pPr>
    </w:p>
    <w:p>
      <w:pPr>
        <w:sectPr>
          <w:pgSz w:w="11900" w:h="16838" w:orient="portrait"/>
          <w:cols w:equalWidth="0" w:num="3">
            <w:col w:w="1060" w:space="320"/>
            <w:col w:w="1580" w:space="520"/>
            <w:col w:w="67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1060" w:space="320"/>
            <w:col w:w="8839"/>
          </w:cols>
          <w:pgMar w:left="240" w:top="312" w:right="1440" w:bottom="1440" w:gutter="0" w:footer="0" w:header="0"/>
          <w:type w:val="continuous"/>
        </w:sectPr>
      </w:pPr>
    </w:p>
    <w:p>
      <w:pPr>
        <w:spacing w:after="0" w:line="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8111 Lyndale Avenue South</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Bloomington , Minnesota 55420</w:t>
      </w:r>
    </w:p>
    <w:p>
      <w:pPr>
        <w:spacing w:after="0" w:line="2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 FILING:</w:t>
      </w:r>
    </w:p>
    <w:p>
      <w:pPr>
        <w:ind w:left="860"/>
        <w:spacing w:after="0" w:line="238" w:lineRule="auto"/>
        <w:rPr>
          <w:sz w:val="20"/>
          <w:szCs w:val="20"/>
          <w:color w:val="auto"/>
        </w:rPr>
      </w:pPr>
      <w:r>
        <w:rPr>
          <w:rFonts w:ascii="Courier New" w:cs="Courier New" w:eastAsia="Courier New" w:hAnsi="Courier New"/>
          <w:sz w:val="18"/>
          <w:szCs w:val="18"/>
          <w:color w:val="auto"/>
        </w:rPr>
        <w:t>The Chase Manhattan Corporation ("CMC")</w:t>
      </w:r>
    </w:p>
    <w:p>
      <w:pPr>
        <w:ind w:left="860"/>
        <w:spacing w:after="0"/>
        <w:rPr>
          <w:sz w:val="20"/>
          <w:szCs w:val="20"/>
          <w:color w:val="auto"/>
        </w:rPr>
      </w:pPr>
      <w:r>
        <w:rPr>
          <w:rFonts w:ascii="Courier New" w:cs="Courier New" w:eastAsia="Courier New" w:hAnsi="Courier New"/>
          <w:sz w:val="18"/>
          <w:szCs w:val="18"/>
          <w:color w:val="auto"/>
        </w:rPr>
        <w:t>The Chase Manhattan Bank, N.A. ("CMB")</w:t>
      </w:r>
    </w:p>
    <w:p>
      <w:pPr>
        <w:sectPr>
          <w:pgSz w:w="11900" w:h="16838" w:orient="portrait"/>
          <w:cols w:equalWidth="0" w:num="1">
            <w:col w:w="10219"/>
          </w:cols>
          <w:pgMar w:left="240" w:top="312" w:right="1440"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(b)</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1 Chase Manhattan Plaza</w:t>
      </w:r>
    </w:p>
    <w:p>
      <w:pPr>
        <w:spacing w:after="0" w:line="16" w:lineRule="exact"/>
        <w:rPr>
          <w:sz w:val="20"/>
          <w:szCs w:val="20"/>
          <w:color w:val="auto"/>
        </w:rPr>
      </w:pPr>
    </w:p>
    <w:p>
      <w:pPr>
        <w:ind w:left="2200"/>
        <w:spacing w:after="0"/>
        <w:tabs>
          <w:tab w:leader="none" w:pos="388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10081</w:t>
      </w:r>
    </w:p>
    <w:p>
      <w:pPr>
        <w:spacing w:after="0" w:line="200" w:lineRule="exact"/>
        <w:rPr>
          <w:sz w:val="20"/>
          <w:szCs w:val="20"/>
          <w:color w:val="auto"/>
        </w:rPr>
      </w:pPr>
    </w:p>
    <w:p>
      <w:pPr>
        <w:sectPr>
          <w:pgSz w:w="11900" w:h="16838" w:orient="portrait"/>
          <w:cols w:equalWidth="0" w:num="2">
            <w:col w:w="1060" w:space="320"/>
            <w:col w:w="8839"/>
          </w:cols>
          <w:pgMar w:left="240" w:top="312" w:right="1440" w:bottom="1440" w:gutter="0" w:footer="0" w:header="0"/>
          <w:type w:val="continuous"/>
        </w:sectPr>
      </w:pPr>
    </w:p>
    <w:p>
      <w:pPr>
        <w:spacing w:after="0" w:line="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 (c)</w:t>
      </w:r>
      <w:r>
        <w:rPr>
          <w:sz w:val="20"/>
          <w:szCs w:val="20"/>
          <w:color w:val="auto"/>
        </w:rPr>
        <w:tab/>
      </w:r>
      <w:r>
        <w:rPr>
          <w:rFonts w:ascii="Courier New" w:cs="Courier New" w:eastAsia="Courier New" w:hAnsi="Courier New"/>
          <w:sz w:val="16"/>
          <w:szCs w:val="16"/>
          <w:color w:val="auto"/>
        </w:rPr>
        <w:t>CITIZENSHIP:</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United States (CMB)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Delaware (CMC)</w:t>
      </w:r>
    </w:p>
    <w:p>
      <w:pPr>
        <w:spacing w:after="0" w:line="402" w:lineRule="exact"/>
        <w:rPr>
          <w:sz w:val="20"/>
          <w:szCs w:val="20"/>
          <w:color w:val="auto"/>
        </w:rPr>
      </w:pPr>
    </w:p>
    <w:p>
      <w:pPr>
        <w:sectPr>
          <w:pgSz w:w="11900" w:h="16838" w:orient="portrait"/>
          <w:cols w:equalWidth="0" w:num="2">
            <w:col w:w="2860" w:space="520"/>
            <w:col w:w="68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Common Stock, $1.00 par value (the "Shares")</w:t>
      </w:r>
    </w:p>
    <w:p>
      <w:pPr>
        <w:spacing w:after="0" w:line="200" w:lineRule="exact"/>
        <w:rPr>
          <w:sz w:val="20"/>
          <w:szCs w:val="20"/>
          <w:color w:val="auto"/>
        </w:rPr>
      </w:pPr>
    </w:p>
    <w:p>
      <w:pPr>
        <w:sectPr>
          <w:pgSz w:w="11900" w:h="16838" w:orient="portrait"/>
          <w:cols w:equalWidth="0" w:num="2">
            <w:col w:w="1060" w:space="320"/>
            <w:col w:w="88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891092108</w:t>
      </w:r>
    </w:p>
    <w:p>
      <w:pPr>
        <w:spacing w:after="0" w:line="200" w:lineRule="exact"/>
        <w:rPr>
          <w:sz w:val="20"/>
          <w:szCs w:val="20"/>
          <w:color w:val="auto"/>
        </w:rPr>
      </w:pPr>
    </w:p>
    <w:p>
      <w:pPr>
        <w:sectPr>
          <w:pgSz w:w="11900" w:h="16838" w:orient="portrait"/>
          <w:cols w:equalWidth="0" w:num="3">
            <w:col w:w="1060" w:space="320"/>
            <w:col w:w="940" w:space="220"/>
            <w:col w:w="7679"/>
          </w:cols>
          <w:pgMar w:left="240" w:top="312" w:right="1440" w:bottom="1440" w:gutter="0" w:footer="0" w:header="0"/>
          <w:type w:val="continuous"/>
        </w:sectPr>
      </w:pPr>
    </w:p>
    <w:p>
      <w:pPr>
        <w:spacing w:after="0" w:line="226" w:lineRule="exact"/>
        <w:rPr>
          <w:sz w:val="20"/>
          <w:szCs w:val="20"/>
          <w:color w:val="auto"/>
        </w:rPr>
      </w:pPr>
    </w:p>
    <w:p>
      <w:pPr>
        <w:ind w:left="860" w:right="241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3</w:t>
        <w:tab/>
        <w:t>If this statement is filed pursuant to Rule 13d-1(b), or 13d-2(b), check whether the persons filing are:</w:t>
      </w:r>
    </w:p>
    <w:p>
      <w:pPr>
        <w:spacing w:after="0" w:line="208" w:lineRule="exact"/>
        <w:rPr>
          <w:sz w:val="20"/>
          <w:szCs w:val="20"/>
          <w:color w:val="auto"/>
        </w:rPr>
      </w:pPr>
    </w:p>
    <w:p>
      <w:pPr>
        <w:ind w:left="860" w:right="2839"/>
        <w:spacing w:after="0" w:line="235" w:lineRule="auto"/>
        <w:rPr>
          <w:sz w:val="20"/>
          <w:szCs w:val="20"/>
          <w:color w:val="auto"/>
        </w:rPr>
      </w:pPr>
      <w:r>
        <w:rPr>
          <w:rFonts w:ascii="Courier New" w:cs="Courier New" w:eastAsia="Courier New" w:hAnsi="Courier New"/>
          <w:sz w:val="18"/>
          <w:szCs w:val="18"/>
          <w:color w:val="auto"/>
        </w:rPr>
        <w:t>This statement is not being filed pursuant to Rule 13d-1(b) or 13d-2(b)</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 (a)</w:t>
      </w:r>
      <w:r>
        <w:rPr>
          <w:sz w:val="20"/>
          <w:szCs w:val="20"/>
          <w:color w:val="auto"/>
        </w:rPr>
        <w:tab/>
      </w:r>
      <w:r>
        <w:rPr>
          <w:rFonts w:ascii="Courier New" w:cs="Courier New" w:eastAsia="Courier New" w:hAnsi="Courier New"/>
          <w:sz w:val="16"/>
          <w:szCs w:val="16"/>
          <w:color w:val="auto"/>
        </w:rPr>
        <w:t>AMOUNT BENEFICIALLY OWNED:</w:t>
      </w:r>
    </w:p>
    <w:p>
      <w:pPr>
        <w:spacing w:after="0" w:line="201" w:lineRule="exact"/>
        <w:rPr>
          <w:sz w:val="20"/>
          <w:szCs w:val="20"/>
          <w:color w:val="auto"/>
        </w:rPr>
      </w:pP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CMB is the beneficial owner of 623,875 Shares.</w:t>
      </w:r>
      <w:r>
        <w:rPr>
          <w:sz w:val="20"/>
          <w:szCs w:val="20"/>
          <w:color w:val="auto"/>
        </w:rPr>
        <w:tab/>
      </w:r>
      <w:r>
        <w:rPr>
          <w:rFonts w:ascii="Courier New" w:cs="Courier New" w:eastAsia="Courier New" w:hAnsi="Courier New"/>
          <w:sz w:val="16"/>
          <w:szCs w:val="16"/>
          <w:color w:val="auto"/>
        </w:rPr>
        <w:t>By virtue of its</w:t>
      </w:r>
    </w:p>
    <w:p>
      <w:pPr>
        <w:ind w:left="860"/>
        <w:spacing w:after="0" w:line="238" w:lineRule="auto"/>
        <w:rPr>
          <w:sz w:val="20"/>
          <w:szCs w:val="20"/>
          <w:color w:val="auto"/>
        </w:rPr>
      </w:pPr>
      <w:r>
        <w:rPr>
          <w:rFonts w:ascii="Courier New" w:cs="Courier New" w:eastAsia="Courier New" w:hAnsi="Courier New"/>
          <w:sz w:val="18"/>
          <w:szCs w:val="18"/>
          <w:color w:val="auto"/>
        </w:rPr>
        <w:t>ownership of all of the outstanding common stock of CMB, CMC</w:t>
      </w:r>
    </w:p>
    <w:p>
      <w:pPr>
        <w:ind w:left="860"/>
        <w:spacing w:after="0"/>
        <w:rPr>
          <w:sz w:val="20"/>
          <w:szCs w:val="20"/>
          <w:color w:val="auto"/>
        </w:rPr>
      </w:pPr>
      <w:r>
        <w:rPr>
          <w:rFonts w:ascii="Courier New" w:cs="Courier New" w:eastAsia="Courier New" w:hAnsi="Courier New"/>
          <w:sz w:val="18"/>
          <w:szCs w:val="18"/>
          <w:color w:val="auto"/>
        </w:rPr>
        <w:t>may be deemed to possess indirect beneficial ownership of all of</w:t>
      </w:r>
    </w:p>
    <w:p>
      <w:pPr>
        <w:ind w:left="860"/>
        <w:spacing w:after="0" w:line="237" w:lineRule="auto"/>
        <w:rPr>
          <w:sz w:val="20"/>
          <w:szCs w:val="20"/>
          <w:color w:val="auto"/>
        </w:rPr>
      </w:pPr>
      <w:r>
        <w:rPr>
          <w:rFonts w:ascii="Courier New" w:cs="Courier New" w:eastAsia="Courier New" w:hAnsi="Courier New"/>
          <w:sz w:val="18"/>
          <w:szCs w:val="18"/>
          <w:color w:val="auto"/>
        </w:rPr>
        <w:t>the Shares beneficially owned by CMB.</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 (b)</w:t>
      </w:r>
      <w:r>
        <w:rPr>
          <w:sz w:val="20"/>
          <w:szCs w:val="20"/>
          <w:color w:val="auto"/>
        </w:rPr>
        <w:tab/>
      </w:r>
      <w:r>
        <w:rPr>
          <w:rFonts w:ascii="Courier New" w:cs="Courier New" w:eastAsia="Courier New" w:hAnsi="Courier New"/>
          <w:sz w:val="16"/>
          <w:szCs w:val="16"/>
          <w:color w:val="auto"/>
        </w:rPr>
        <w:t>PERCENT OF CLASS:</w:t>
      </w:r>
    </w:p>
    <w:p>
      <w:pPr>
        <w:spacing w:after="0" w:line="207" w:lineRule="exact"/>
        <w:rPr>
          <w:sz w:val="20"/>
          <w:szCs w:val="20"/>
          <w:color w:val="auto"/>
        </w:rPr>
      </w:pPr>
    </w:p>
    <w:p>
      <w:pPr>
        <w:ind w:left="860" w:right="2419"/>
        <w:spacing w:after="0" w:line="235" w:lineRule="auto"/>
        <w:rPr>
          <w:sz w:val="20"/>
          <w:szCs w:val="20"/>
          <w:color w:val="auto"/>
        </w:rPr>
      </w:pPr>
      <w:r>
        <w:rPr>
          <w:rFonts w:ascii="Courier New" w:cs="Courier New" w:eastAsia="Courier New" w:hAnsi="Courier New"/>
          <w:sz w:val="18"/>
          <w:szCs w:val="18"/>
          <w:color w:val="auto"/>
        </w:rPr>
        <w:t>CMB is the beneficial owner of 5.130% of the Shares. By virtue of its ownership of all of the outstanding common stock of CMB,</w:t>
      </w:r>
    </w:p>
    <w:p>
      <w:pPr>
        <w:spacing w:after="0" w:line="6" w:lineRule="exact"/>
        <w:rPr>
          <w:sz w:val="20"/>
          <w:szCs w:val="20"/>
          <w:color w:val="auto"/>
        </w:rPr>
      </w:pPr>
    </w:p>
    <w:p>
      <w:pPr>
        <w:ind w:left="860" w:right="2939"/>
        <w:spacing w:after="0" w:line="235" w:lineRule="auto"/>
        <w:rPr>
          <w:sz w:val="20"/>
          <w:szCs w:val="20"/>
          <w:color w:val="auto"/>
        </w:rPr>
      </w:pPr>
      <w:r>
        <w:rPr>
          <w:rFonts w:ascii="Courier New" w:cs="Courier New" w:eastAsia="Courier New" w:hAnsi="Courier New"/>
          <w:sz w:val="18"/>
          <w:szCs w:val="18"/>
          <w:color w:val="auto"/>
        </w:rPr>
        <w:t>CMC may be deemed to possess indirect beneficial ownership of the same percentage of Shares beneficially owned by CMB.</w:t>
      </w:r>
    </w:p>
    <w:p>
      <w:pPr>
        <w:spacing w:after="0" w:line="208" w:lineRule="exact"/>
        <w:rPr>
          <w:sz w:val="20"/>
          <w:szCs w:val="20"/>
          <w:color w:val="auto"/>
        </w:rPr>
      </w:pPr>
    </w:p>
    <w:p>
      <w:pPr>
        <w:ind w:left="860" w:right="2939" w:hanging="842"/>
        <w:spacing w:after="0" w:line="237" w:lineRule="auto"/>
        <w:rPr>
          <w:sz w:val="20"/>
          <w:szCs w:val="20"/>
          <w:color w:val="auto"/>
        </w:rPr>
      </w:pPr>
      <w:r>
        <w:rPr>
          <w:rFonts w:ascii="Courier New" w:cs="Courier New" w:eastAsia="Courier New" w:hAnsi="Courier New"/>
          <w:sz w:val="18"/>
          <w:szCs w:val="18"/>
          <w:color w:val="auto"/>
        </w:rPr>
        <w:t>ITEM 4 (c) CMB has power to vote as indicated below. By virtue of its ownership of all of the outstanding common stock of CMB, CMC may be deemed to possess the same level of power to vote indicated below.</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840" w:type="dxa"/>
            <w:vAlign w:val="bottom"/>
            <w:gridSpan w:val="2"/>
          </w:tcPr>
          <w:p>
            <w:pPr>
              <w:spacing w:after="0"/>
              <w:rPr>
                <w:sz w:val="20"/>
                <w:szCs w:val="20"/>
                <w:color w:val="auto"/>
              </w:rPr>
            </w:pPr>
            <w:r>
              <w:rPr>
                <w:rFonts w:ascii="Courier New" w:cs="Courier New" w:eastAsia="Courier New" w:hAnsi="Courier New"/>
                <w:sz w:val="18"/>
                <w:szCs w:val="18"/>
                <w:color w:val="auto"/>
                <w:w w:val="99"/>
              </w:rPr>
              <w:t>(i) SOLE POWER TO</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VOTE:</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102,375</w:t>
            </w:r>
          </w:p>
        </w:tc>
        <w:tc>
          <w:tcPr>
            <w:tcW w:w="14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Common Shares</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SHARED POWER</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TO VOTE:</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c>
          <w:tcPr>
            <w:tcW w:w="14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Common Shares</w:t>
            </w:r>
          </w:p>
        </w:tc>
      </w:tr>
      <w:tr>
        <w:trPr>
          <w:trHeight w:val="405"/>
        </w:trPr>
        <w:tc>
          <w:tcPr>
            <w:tcW w:w="3360" w:type="dxa"/>
            <w:vAlign w:val="bottom"/>
            <w:gridSpan w:val="3"/>
          </w:tcPr>
          <w:p>
            <w:pPr>
              <w:spacing w:after="0"/>
              <w:rPr>
                <w:sz w:val="20"/>
                <w:szCs w:val="20"/>
                <w:color w:val="auto"/>
              </w:rPr>
            </w:pPr>
            <w:r>
              <w:rPr>
                <w:rFonts w:ascii="Courier New" w:cs="Courier New" w:eastAsia="Courier New" w:hAnsi="Courier New"/>
                <w:sz w:val="18"/>
                <w:szCs w:val="18"/>
                <w:color w:val="auto"/>
              </w:rPr>
              <w:t>(iii) SOLE POWER TO DISPOSE:</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Common</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w w:val="95"/>
              </w:rPr>
              <w:t>Shares</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SHARED POWER</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TO DISPOSE:</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623,875</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Common</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w w:val="95"/>
              </w:rPr>
              <w:t>Shares</w:t>
            </w:r>
          </w:p>
        </w:tc>
      </w:tr>
    </w:tbl>
    <w:p>
      <w:pPr>
        <w:spacing w:after="0" w:line="200" w:lineRule="exact"/>
        <w:rPr>
          <w:sz w:val="20"/>
          <w:szCs w:val="20"/>
          <w:color w:val="auto"/>
        </w:rPr>
      </w:pPr>
    </w:p>
    <w:p>
      <w:pPr>
        <w:spacing w:after="0" w:line="209" w:lineRule="exact"/>
        <w:rPr>
          <w:sz w:val="20"/>
          <w:szCs w:val="20"/>
          <w:color w:val="auto"/>
        </w:rPr>
      </w:pPr>
    </w:p>
    <w:p>
      <w:pPr>
        <w:ind w:left="1380" w:right="399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PERCENT OR LESS OF A CLASS: NOT APPLICABLE</w:t>
      </w:r>
    </w:p>
    <w:p>
      <w:pPr>
        <w:spacing w:after="0" w:line="200" w:lineRule="exact"/>
        <w:rPr>
          <w:sz w:val="20"/>
          <w:szCs w:val="20"/>
          <w:color w:val="auto"/>
        </w:rPr>
      </w:pPr>
    </w:p>
    <w:p>
      <w:pPr>
        <w:spacing w:after="0" w:line="211" w:lineRule="exact"/>
        <w:rPr>
          <w:sz w:val="20"/>
          <w:szCs w:val="20"/>
          <w:color w:val="auto"/>
        </w:rPr>
      </w:pPr>
    </w:p>
    <w:p>
      <w:pPr>
        <w:ind w:left="1380" w:right="409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5 PERCENT ON BEHALF OF ANOTHER PERSON:</w:t>
      </w:r>
    </w:p>
    <w:p>
      <w:pPr>
        <w:ind w:left="402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12"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left="1380" w:right="335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SUBSIDIARIES WHICH ACQUIRED THE SECURITY BEING REPORTED ON BY THE PARENT HOLDING COMPANY:</w:t>
      </w:r>
    </w:p>
    <w:p>
      <w:pPr>
        <w:spacing w:after="0" w:line="203" w:lineRule="exact"/>
        <w:rPr>
          <w:sz w:val="20"/>
          <w:szCs w:val="20"/>
          <w:color w:val="auto"/>
        </w:rPr>
      </w:pPr>
    </w:p>
    <w:p>
      <w:pPr>
        <w:ind w:left="1380"/>
        <w:spacing w:after="0"/>
        <w:tabs>
          <w:tab w:leader="none" w:pos="4840" w:val="left"/>
        </w:tabs>
        <w:rPr>
          <w:sz w:val="20"/>
          <w:szCs w:val="20"/>
          <w:color w:val="auto"/>
        </w:rPr>
      </w:pPr>
      <w:r>
        <w:rPr>
          <w:rFonts w:ascii="Courier New" w:cs="Courier New" w:eastAsia="Courier New" w:hAnsi="Courier New"/>
          <w:sz w:val="18"/>
          <w:szCs w:val="18"/>
          <w:color w:val="auto"/>
        </w:rPr>
        <w:t>The Chase Manhattan Bank, N.A.</w:t>
      </w:r>
      <w:r>
        <w:rPr>
          <w:sz w:val="20"/>
          <w:szCs w:val="20"/>
          <w:color w:val="auto"/>
        </w:rPr>
        <w:tab/>
      </w:r>
      <w:r>
        <w:rPr>
          <w:rFonts w:ascii="Courier New" w:cs="Courier New" w:eastAsia="Courier New" w:hAnsi="Courier New"/>
          <w:sz w:val="16"/>
          <w:szCs w:val="16"/>
          <w:color w:val="auto"/>
        </w:rPr>
        <w:t>- BANK</w:t>
      </w:r>
    </w:p>
    <w:p>
      <w:pPr>
        <w:spacing w:after="0" w:line="200" w:lineRule="exact"/>
        <w:rPr>
          <w:sz w:val="20"/>
          <w:szCs w:val="20"/>
          <w:color w:val="auto"/>
        </w:rPr>
      </w:pPr>
    </w:p>
    <w:p>
      <w:pPr>
        <w:spacing w:after="0" w:line="209" w:lineRule="exact"/>
        <w:rPr>
          <w:sz w:val="20"/>
          <w:szCs w:val="20"/>
          <w:color w:val="auto"/>
        </w:rPr>
      </w:pPr>
    </w:p>
    <w:p>
      <w:pPr>
        <w:ind w:left="1380" w:right="389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p>
    <w:p>
      <w:pPr>
        <w:ind w:left="3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338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12"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99"/>
        <w:spacing w:after="0" w:line="279" w:lineRule="auto"/>
        <w:rPr>
          <w:sz w:val="20"/>
          <w:szCs w:val="20"/>
          <w:color w:val="auto"/>
        </w:rPr>
      </w:pPr>
      <w:r>
        <w:rPr>
          <w:rFonts w:ascii="Courier New" w:cs="Courier New" w:eastAsia="Courier New" w:hAnsi="Courier New"/>
          <w:sz w:val="16"/>
          <w:szCs w:val="16"/>
          <w:color w:val="auto"/>
        </w:rPr>
        <w:t>SIGNATURE: 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Chase Manhattan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John V. Caulfield</w:t>
      </w:r>
    </w:p>
    <w:p>
      <w:pPr>
        <w:jc w:val="right"/>
        <w:ind w:right="3159"/>
        <w:spacing w:after="0" w:line="238" w:lineRule="auto"/>
        <w:rPr>
          <w:sz w:val="20"/>
          <w:szCs w:val="20"/>
          <w:color w:val="auto"/>
        </w:rPr>
      </w:pPr>
      <w:r>
        <w:rPr>
          <w:rFonts w:ascii="Courier New" w:cs="Courier New" w:eastAsia="Courier New" w:hAnsi="Courier New"/>
          <w:sz w:val="18"/>
          <w:szCs w:val="18"/>
          <w:color w:val="auto"/>
        </w:rPr>
        <w:t>John V. Caulfield,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DATED: FEBRUARY 14,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Chase Manhattan Bank,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John V. Caulfield</w:t>
      </w:r>
    </w:p>
    <w:p>
      <w:pPr>
        <w:jc w:val="right"/>
        <w:ind w:right="3159"/>
        <w:spacing w:after="0" w:line="238" w:lineRule="auto"/>
        <w:rPr>
          <w:sz w:val="20"/>
          <w:szCs w:val="20"/>
          <w:color w:val="auto"/>
        </w:rPr>
      </w:pPr>
      <w:r>
        <w:rPr>
          <w:rFonts w:ascii="Courier New" w:cs="Courier New" w:eastAsia="Courier New" w:hAnsi="Courier New"/>
          <w:sz w:val="18"/>
          <w:szCs w:val="18"/>
          <w:color w:val="auto"/>
        </w:rPr>
        <w:t>John V. Caulfield,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DATED: FEBRUARY 14, 1996</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5"/>
    </w:lvl>
  </w:abstractNum>
  <w:abstractNum w:abstractNumId="3">
    <w:nsid w:val="5BD062C2"/>
    <w:multiLevelType w:val="hybridMultilevel"/>
    <w:lvl w:ilvl="0">
      <w:lvlJc w:val="left"/>
      <w:lvlText w:val="%1"/>
      <w:numFmt w:val="decimal"/>
      <w:start w:val="1"/>
    </w:lvl>
    <w:lvl w:ilvl="1">
      <w:lvlJc w:val="left"/>
      <w:lvlText w:val="(%2)"/>
      <w:numFmt w:val="decimal"/>
      <w:start w:val="6"/>
    </w:lvl>
    <w:lvl w:ilvl="2">
      <w:lvlJc w:val="left"/>
      <w:lvlText w:val="0"/>
      <w:numFmt w:val="bullet"/>
      <w:start w:val="1"/>
    </w:lvl>
  </w:abstractNum>
  <w:abstractNum w:abstractNumId="4">
    <w:nsid w:val="12200854"/>
    <w:multiLevelType w:val="hybridMultilevel"/>
    <w:lvl w:ilvl="0">
      <w:lvlJc w:val="left"/>
      <w:lvlText w:val="(%1)"/>
      <w:numFmt w:val="decimal"/>
      <w:start w:val="9"/>
    </w:lvl>
    <w:lvl w:ilvl="1">
      <w:lvlJc w:val="left"/>
      <w:lvlText w:val="%2"/>
      <w:numFmt w:val="decimal"/>
      <w:start w:val="1"/>
    </w:lvl>
    <w:lvl w:ilvl="2">
      <w:lvlJc w:val="left"/>
      <w:lvlText w:val="0"/>
      <w:numFmt w:val="bullet"/>
      <w:start w:val="1"/>
    </w:lvl>
  </w:abstractNum>
  <w:abstractNum w:abstractNumId="5">
    <w:nsid w:val="4DB127F8"/>
    <w:multiLevelType w:val="hybridMultilevel"/>
    <w:lvl w:ilvl="0">
      <w:lvlJc w:val="left"/>
      <w:lvlText w:val="(%1)"/>
      <w:numFmt w:val="decimal"/>
      <w:start w:val="10"/>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1"/>
      <w:numFmt w:val="decimal"/>
      <w:start w:val="1"/>
    </w:lvl>
    <w:lvl w:ilvl="1">
      <w:lvlJc w:val="left"/>
      <w:lvlText w:val="S.%2."/>
      <w:numFmt w:val="upperLetter"/>
      <w:start w:val="19"/>
    </w:lvl>
  </w:abstractNum>
  <w:abstractNum w:abstractNumId="8">
    <w:nsid w:val="1190CDE7"/>
    <w:multiLevelType w:val="hybridMultilevel"/>
    <w:lvl w:ilvl="0">
      <w:lvlJc w:val="left"/>
      <w:lvlText w:val="(%1)"/>
      <w:numFmt w:val="decimal"/>
      <w:start w:val="2"/>
    </w:lvl>
    <w:lvl w:ilvl="1">
      <w:lvlJc w:val="left"/>
      <w:lvlText w:val="%2"/>
      <w:numFmt w:val="upperLetter"/>
      <w:start w:val="1"/>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decimal"/>
      <w:start w:val="1"/>
    </w:lvl>
    <w:lvl w:ilvl="1">
      <w:lvlJc w:val="left"/>
      <w:lvlText w:val="(%2)"/>
      <w:numFmt w:val="decimal"/>
      <w:start w:val="6"/>
    </w:lvl>
    <w:lvl w:ilvl="2">
      <w:lvlJc w:val="left"/>
      <w:lvlText w:val="0"/>
      <w:numFmt w:val="bullet"/>
      <w:start w:val="1"/>
    </w:lvl>
  </w:abstractNum>
  <w:abstractNum w:abstractNumId="11">
    <w:nsid w:val="3352255A"/>
    <w:multiLevelType w:val="hybridMultilevel"/>
    <w:lvl w:ilvl="0">
      <w:lvlJc w:val="left"/>
      <w:lvlText w:val="(%1)"/>
      <w:numFmt w:val="decimal"/>
      <w:start w:val="9"/>
    </w:lvl>
    <w:lvl w:ilvl="1">
      <w:lvlJc w:val="left"/>
      <w:lvlText w:val="%2"/>
      <w:numFmt w:val="decimal"/>
      <w:start w:val="1"/>
    </w:lvl>
    <w:lvl w:ilvl="2">
      <w:lvlJc w:val="left"/>
      <w:lvlText w:val="0"/>
      <w:numFmt w:val="bullet"/>
      <w:start w:val="1"/>
    </w:lvl>
  </w:abstractNum>
  <w:abstractNum w:abstractNumId="12">
    <w:nsid w:val="109CF92E"/>
    <w:multiLevelType w:val="hybridMultilevel"/>
    <w:lvl w:ilvl="0">
      <w:lvlJc w:val="left"/>
      <w:lvlText w:val="(%1)"/>
      <w:numFmt w:val="decimal"/>
      <w:start w:val="10"/>
    </w:lvl>
  </w:abstractNum>
  <w:abstractNum w:abstractNumId="13">
    <w:nsid w:val="DED7263"/>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2019-12-13T14:05:53Z</dcterms:created>
  <dcterms:modified xsi:type="dcterms:W3CDTF">2019-12-13T14:05:53Z</dcterms:modified>
</cp:coreProperties>
</file>