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Ramstad Peter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12/20/2012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VP, HR and Bus. Development</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12/20/2012</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34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375</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3"/>
              </w:rPr>
              <w:t>6,285.171</w:t>
            </w:r>
            <w:r>
              <w:rPr>
                <w:rFonts w:ascii="Arial" w:cs="Arial" w:eastAsia="Arial" w:hAnsi="Arial"/>
                <w:sz w:val="22"/>
                <w:szCs w:val="22"/>
                <w:color w:val="008000"/>
                <w:w w:val="83"/>
                <w:vertAlign w:val="superscript"/>
              </w:rPr>
              <w:t>(1)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40" w:type="dxa"/>
            <w:vAlign w:val="bottom"/>
            <w:gridSpan w:val="2"/>
          </w:tcPr>
          <w:p>
            <w:pPr>
              <w:ind w:left="720"/>
              <w:spacing w:after="0"/>
              <w:rPr>
                <w:sz w:val="20"/>
                <w:szCs w:val="20"/>
                <w:color w:val="auto"/>
              </w:rPr>
            </w:pPr>
            <w:r>
              <w:rPr>
                <w:rFonts w:ascii="Arial" w:cs="Arial" w:eastAsia="Arial" w:hAnsi="Arial"/>
                <w:sz w:val="18"/>
                <w:szCs w:val="18"/>
                <w:color w:val="0000FF"/>
              </w:rPr>
              <w:t>12/26/2012</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G</w:t>
            </w:r>
          </w:p>
        </w:tc>
        <w:tc>
          <w:tcPr>
            <w:tcW w:w="340" w:type="dxa"/>
            <w:vAlign w:val="bottom"/>
          </w:tcPr>
          <w:p>
            <w:pPr>
              <w:ind w:left="140"/>
              <w:spacing w:after="0"/>
              <w:rPr>
                <w:sz w:val="20"/>
                <w:szCs w:val="20"/>
                <w:color w:val="auto"/>
              </w:rPr>
            </w:pPr>
            <w:r>
              <w:rPr>
                <w:rFonts w:ascii="Arial" w:cs="Arial" w:eastAsia="Arial" w:hAnsi="Arial"/>
                <w:sz w:val="14"/>
                <w:szCs w:val="14"/>
                <w:color w:val="0000FF"/>
              </w:rPr>
              <w:t>V</w:t>
            </w:r>
          </w:p>
        </w:tc>
        <w:tc>
          <w:tcPr>
            <w:tcW w:w="720" w:type="dxa"/>
            <w:vAlign w:val="bottom"/>
          </w:tcPr>
          <w:p>
            <w:pPr>
              <w:ind w:left="300"/>
              <w:spacing w:after="0"/>
              <w:rPr>
                <w:sz w:val="20"/>
                <w:szCs w:val="20"/>
                <w:color w:val="auto"/>
              </w:rPr>
            </w:pPr>
            <w:r>
              <w:rPr>
                <w:rFonts w:ascii="Arial" w:cs="Arial" w:eastAsia="Arial" w:hAnsi="Arial"/>
                <w:sz w:val="18"/>
                <w:szCs w:val="18"/>
                <w:color w:val="0000FF"/>
              </w:rPr>
              <w:t>625</w:t>
            </w:r>
          </w:p>
        </w:tc>
        <w:tc>
          <w:tcPr>
            <w:tcW w:w="520" w:type="dxa"/>
            <w:vAlign w:val="bottom"/>
          </w:tcPr>
          <w:p>
            <w:pPr>
              <w:ind w:left="300"/>
              <w:spacing w:after="0"/>
              <w:rPr>
                <w:sz w:val="20"/>
                <w:szCs w:val="20"/>
                <w:color w:val="auto"/>
              </w:rPr>
            </w:pPr>
            <w:r>
              <w:rPr>
                <w:rFonts w:ascii="Arial" w:cs="Arial" w:eastAsia="Arial" w:hAnsi="Arial"/>
                <w:sz w:val="18"/>
                <w:szCs w:val="18"/>
                <w:color w:val="0000FF"/>
              </w:rPr>
              <w:t>D</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7"/>
              </w:rPr>
              <w:t>5,675.771</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4"/>
              </w:rPr>
              <w:t>546.79</w:t>
            </w:r>
            <w:r>
              <w:rPr>
                <w:rFonts w:ascii="Arial" w:cs="Arial" w:eastAsia="Arial" w:hAnsi="Arial"/>
                <w:sz w:val="22"/>
                <w:szCs w:val="22"/>
                <w:color w:val="008000"/>
                <w:w w:val="84"/>
                <w:vertAlign w:val="superscript"/>
              </w:rPr>
              <w:t>(2)</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3"/>
              </w:rPr>
              <w:t>23,137.18</w:t>
            </w:r>
            <w:r>
              <w:rPr>
                <w:rFonts w:ascii="Arial" w:cs="Arial" w:eastAsia="Arial" w:hAnsi="Arial"/>
                <w:sz w:val="22"/>
                <w:szCs w:val="22"/>
                <w:color w:val="008000"/>
                <w:w w:val="83"/>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15.6 shares of common stock acquired by the reporting person under The Toro Company Dividend Reinvestment Plan since the date of his last report.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1.782 shares of common stock acquired by the reporting person under the dividend reinvestment feature of The Toro Company Investment, Savings &amp; ESOP since the date of his last report.</w:t>
      </w:r>
    </w:p>
    <w:p>
      <w:pPr>
        <w:spacing w:after="0" w:line="64" w:lineRule="exact"/>
        <w:rPr>
          <w:rFonts w:ascii="Arial" w:cs="Arial" w:eastAsia="Arial" w:hAnsi="Arial"/>
          <w:sz w:val="12"/>
          <w:szCs w:val="12"/>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75.494 performance share units acquired by the reporting person under the dividend reinvestment feature of The Toro Company Deferred Compensation Plan for Officers since the date of his last report.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01/03/2013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127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2019-12-17T01:44:47Z</dcterms:created>
  <dcterms:modified xsi:type="dcterms:W3CDTF">2019-12-17T01:44:47Z</dcterms:modified>
</cp:coreProperties>
</file>