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3000" w:right="4339" w:hanging="618"/>
        <w:spacing w:after="0" w:line="49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AND EXCHANGE COMMISSION WASHINGTON, D.C. 20549</w:t>
      </w:r>
    </w:p>
    <w:p>
      <w:pPr>
        <w:spacing w:after="0" w:line="1"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3"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For the Quarter Ended FEBRUARY 3, 1995 Commission File Number 1-8649</w:t>
      </w:r>
    </w:p>
    <w:p>
      <w:pPr>
        <w:spacing w:after="0" w:line="200" w:lineRule="exact"/>
        <w:rPr>
          <w:sz w:val="24"/>
          <w:szCs w:val="24"/>
          <w:color w:val="auto"/>
        </w:rPr>
      </w:pP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ind w:left="100"/>
              <w:spacing w:after="0"/>
              <w:rPr>
                <w:sz w:val="20"/>
                <w:szCs w:val="20"/>
                <w:color w:val="auto"/>
              </w:rPr>
            </w:pPr>
            <w:r>
              <w:rPr>
                <w:rFonts w:ascii="Courier New" w:cs="Courier New" w:eastAsia="Courier New" w:hAnsi="Courier New"/>
                <w:sz w:val="17"/>
                <w:szCs w:val="17"/>
                <w:color w:val="auto"/>
              </w:rPr>
              <w:t>DELAWARE</w:t>
            </w:r>
          </w:p>
        </w:tc>
        <w:tc>
          <w:tcPr>
            <w:tcW w:w="2460" w:type="dxa"/>
            <w:vAlign w:val="bottom"/>
          </w:tcPr>
          <w:p>
            <w:pPr>
              <w:spacing w:after="0"/>
              <w:rPr>
                <w:sz w:val="16"/>
                <w:szCs w:val="16"/>
                <w:color w:val="auto"/>
              </w:rPr>
            </w:pP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41-0580470</w:t>
            </w:r>
          </w:p>
        </w:tc>
      </w:tr>
      <w:tr>
        <w:trPr>
          <w:trHeight w:val="198"/>
        </w:trPr>
        <w:tc>
          <w:tcPr>
            <w:tcW w:w="2480" w:type="dxa"/>
            <w:vAlign w:val="bottom"/>
          </w:tcPr>
          <w:p>
            <w:pPr>
              <w:spacing w:after="0"/>
              <w:rPr>
                <w:sz w:val="20"/>
                <w:szCs w:val="20"/>
                <w:color w:val="auto"/>
              </w:rPr>
            </w:pPr>
            <w:r>
              <w:rPr>
                <w:rFonts w:ascii="Courier New" w:cs="Courier New" w:eastAsia="Courier New" w:hAnsi="Courier New"/>
                <w:sz w:val="17"/>
                <w:szCs w:val="17"/>
                <w:color w:val="auto"/>
              </w:rPr>
              <w:t>(State of Incorporation)</w:t>
            </w:r>
          </w:p>
        </w:tc>
        <w:tc>
          <w:tcPr>
            <w:tcW w:w="5240" w:type="dxa"/>
            <w:vAlign w:val="bottom"/>
            <w:gridSpan w:val="2"/>
          </w:tcPr>
          <w:p>
            <w:pPr>
              <w:ind w:left="1240"/>
              <w:spacing w:after="0"/>
              <w:rPr>
                <w:sz w:val="20"/>
                <w:szCs w:val="20"/>
                <w:color w:val="auto"/>
              </w:rPr>
            </w:pPr>
            <w:r>
              <w:rPr>
                <w:rFonts w:ascii="Courier New" w:cs="Courier New" w:eastAsia="Courier New" w:hAnsi="Courier New"/>
                <w:sz w:val="17"/>
                <w:szCs w:val="17"/>
                <w:color w:val="auto"/>
              </w:rPr>
              <w:t>(I.R.S. Employer Identification Number)</w:t>
            </w:r>
          </w:p>
        </w:tc>
      </w:tr>
      <w:tr>
        <w:trPr>
          <w:trHeight w:val="594"/>
        </w:trPr>
        <w:tc>
          <w:tcPr>
            <w:tcW w:w="2480" w:type="dxa"/>
            <w:vAlign w:val="bottom"/>
          </w:tcPr>
          <w:p>
            <w:pPr>
              <w:spacing w:after="0"/>
              <w:rPr>
                <w:sz w:val="24"/>
                <w:szCs w:val="24"/>
                <w:color w:val="auto"/>
              </w:rPr>
            </w:pPr>
          </w:p>
        </w:tc>
        <w:tc>
          <w:tcPr>
            <w:tcW w:w="2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8111 LYNDALE AVENUE</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SOUTH</w:t>
            </w:r>
          </w:p>
        </w:tc>
      </w:tr>
      <w:tr>
        <w:trPr>
          <w:trHeight w:val="198"/>
        </w:trPr>
        <w:tc>
          <w:tcPr>
            <w:tcW w:w="248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BLOOMINGTON, MINNESOTA</w:t>
            </w: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55420</w:t>
            </w:r>
          </w:p>
        </w:tc>
      </w:tr>
      <w:tr>
        <w:trPr>
          <w:trHeight w:val="198"/>
        </w:trPr>
        <w:tc>
          <w:tcPr>
            <w:tcW w:w="2480" w:type="dxa"/>
            <w:vAlign w:val="bottom"/>
          </w:tcPr>
          <w:p>
            <w:pPr>
              <w:spacing w:after="0"/>
              <w:rPr>
                <w:sz w:val="17"/>
                <w:szCs w:val="17"/>
                <w:color w:val="auto"/>
              </w:rPr>
            </w:pPr>
          </w:p>
        </w:tc>
        <w:tc>
          <w:tcPr>
            <w:tcW w:w="246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TELEPHONE NUMBER: (612)</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888-8801</w:t>
            </w:r>
          </w:p>
        </w:tc>
      </w:tr>
    </w:tbl>
    <w:p>
      <w:pPr>
        <w:spacing w:after="0" w:line="200" w:lineRule="exact"/>
        <w:rPr>
          <w:sz w:val="24"/>
          <w:szCs w:val="24"/>
          <w:color w:val="auto"/>
        </w:rPr>
      </w:pPr>
    </w:p>
    <w:p>
      <w:pPr>
        <w:spacing w:after="0" w:line="399" w:lineRule="exact"/>
        <w:rPr>
          <w:sz w:val="24"/>
          <w:szCs w:val="24"/>
          <w:color w:val="auto"/>
        </w:rPr>
      </w:pPr>
    </w:p>
    <w:p>
      <w:pPr>
        <w:ind w:right="2179" w:firstLine="309"/>
        <w:spacing w:after="0" w:line="247"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8"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(1) has filed all reports required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be filed by Section 13 or 15(d) of the Securities Exchange Act of 1934 during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preceding 12 months (or for such shorter period that the registrant was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required to file such reports), and (2) has been subject to such filing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requirements for the past 90 days.</w:t>
      </w:r>
    </w:p>
    <w:p>
      <w:pPr>
        <w:sectPr>
          <w:pgSz w:w="11900" w:h="16838" w:orient="portrait"/>
          <w:cols w:equalWidth="0" w:num="1">
            <w:col w:w="10219"/>
          </w:cols>
          <w:pgMar w:left="240" w:top="643"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7" w:lineRule="exact"/>
        <w:rPr>
          <w:sz w:val="24"/>
          <w:szCs w:val="24"/>
          <w:color w:val="auto"/>
        </w:rPr>
      </w:pPr>
    </w:p>
    <w:p>
      <w:pPr>
        <w:sectPr>
          <w:pgSz w:w="11900" w:h="16838" w:orient="portrait"/>
          <w:cols w:equalWidth="0" w:num="3">
            <w:col w:w="2680" w:space="320"/>
            <w:col w:w="400" w:space="720"/>
            <w:col w:w="6099"/>
          </w:cols>
          <w:pgMar w:left="240" w:top="643" w:right="1440" w:bottom="1440" w:gutter="0" w:footer="0" w:header="0"/>
          <w:type w:val="continuous"/>
        </w:sect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720" w:space="720"/>
            <w:col w:w="5779"/>
          </w:cols>
          <w:pgMar w:left="240" w:top="643" w:right="1440" w:bottom="1440" w:gutter="0" w:footer="0" w:header="0"/>
          <w:type w:val="continuous"/>
        </w:sectPr>
      </w:pPr>
    </w:p>
    <w:p>
      <w:pPr>
        <w:spacing w:after="0" w:line="201" w:lineRule="exact"/>
        <w:rPr>
          <w:sz w:val="24"/>
          <w:szCs w:val="24"/>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number of shares of Common Stock outstanding as of February 3, 1995 was 12,770,584.</w:t>
      </w:r>
    </w:p>
    <w:p>
      <w:pPr>
        <w:spacing w:after="0" w:line="1"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43" w:right="1440" w:bottom="1440" w:gutter="0" w:footer="0" w:header="0"/>
          <w:type w:val="continuous"/>
        </w:sectPr>
      </w:pPr>
    </w:p>
    <w:bookmarkStart w:id="1" w:name="page2"/>
    <w:bookmarkEnd w:id="1"/>
    <w:p>
      <w:pPr>
        <w:jc w:val="center"/>
        <w:ind w:right="1959"/>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399"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7"/>
          <w:szCs w:val="17"/>
          <w:color w:val="auto"/>
        </w:rPr>
        <w:t>PAGE NUMBER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03" w:lineRule="exact"/>
        <w:rPr>
          <w:sz w:val="20"/>
          <w:szCs w:val="20"/>
          <w:color w:val="auto"/>
        </w:rPr>
      </w:pPr>
    </w:p>
    <w:p>
      <w:pPr>
        <w:ind w:left="1040" w:right="3939"/>
        <w:spacing w:after="0" w:line="246" w:lineRule="auto"/>
        <w:rPr>
          <w:sz w:val="20"/>
          <w:szCs w:val="20"/>
          <w:color w:val="auto"/>
        </w:rPr>
      </w:pPr>
      <w:r>
        <w:rPr>
          <w:rFonts w:ascii="Courier New" w:cs="Courier New" w:eastAsia="Courier New" w:hAnsi="Courier New"/>
          <w:sz w:val="17"/>
          <w:szCs w:val="17"/>
          <w:color w:val="auto"/>
        </w:rPr>
        <w:t>Condensed Consolidated Statements of Operations and Retained Earnings -</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Three and Six Months Ended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February 3, 1995 and January 28, 1994 . . . . . . . . . . . 3</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February 3, 1995, January 28, 1994 and July 31, 1994, . . . 4</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Consolidated Statements of Cash Flows -</w:t>
      </w:r>
    </w:p>
    <w:p>
      <w:pPr>
        <w:spacing w:after="0" w:line="5" w:lineRule="exact"/>
        <w:rPr>
          <w:sz w:val="20"/>
          <w:szCs w:val="20"/>
          <w:color w:val="auto"/>
        </w:rPr>
      </w:pPr>
    </w:p>
    <w:p>
      <w:pPr>
        <w:jc w:val="both"/>
        <w:ind w:left="1040" w:right="2599" w:firstLine="309"/>
        <w:spacing w:after="0" w:line="411" w:lineRule="auto"/>
        <w:rPr>
          <w:sz w:val="20"/>
          <w:szCs w:val="20"/>
          <w:color w:val="auto"/>
        </w:rPr>
      </w:pPr>
      <w:r>
        <w:rPr>
          <w:rFonts w:ascii="Courier New" w:cs="Courier New" w:eastAsia="Courier New" w:hAnsi="Courier New"/>
          <w:sz w:val="17"/>
          <w:szCs w:val="17"/>
          <w:color w:val="auto"/>
        </w:rPr>
        <w:t>Six Months Ended February 3, 1995 and January 28, 1994. . . 5 Notes to Condensed Consolidated Financial Statements . . . . . 6 Management's Discussion and Analysis of Financial</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Condition and Results of Operations . . . . . . . . . . . 7-8</w:t>
      </w:r>
    </w:p>
    <w:p>
      <w:pPr>
        <w:spacing w:after="0" w:line="200" w:lineRule="exact"/>
        <w:rPr>
          <w:sz w:val="20"/>
          <w:szCs w:val="20"/>
          <w:color w:val="auto"/>
        </w:rPr>
      </w:pP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3" w:lineRule="exact"/>
        <w:rPr>
          <w:sz w:val="20"/>
          <w:szCs w:val="20"/>
          <w:color w:val="auto"/>
        </w:rPr>
      </w:pPr>
    </w:p>
    <w:p>
      <w:pPr>
        <w:ind w:left="1040"/>
        <w:spacing w:after="0"/>
        <w:tabs>
          <w:tab w:leader="none" w:pos="1840" w:val="left"/>
        </w:tabs>
        <w:rPr>
          <w:sz w:val="20"/>
          <w:szCs w:val="20"/>
          <w:color w:val="auto"/>
        </w:rPr>
      </w:pPr>
      <w:r>
        <w:rPr>
          <w:rFonts w:ascii="Courier New" w:cs="Courier New" w:eastAsia="Courier New" w:hAnsi="Courier New"/>
          <w:sz w:val="17"/>
          <w:szCs w:val="17"/>
          <w:color w:val="auto"/>
        </w:rPr>
        <w:t>Item 4</w:t>
        <w:tab/>
        <w:t>Results of Votes of Security Holders . . . . . . . . . 9</w:t>
      </w:r>
    </w:p>
    <w:p>
      <w:pPr>
        <w:spacing w:after="0" w:line="203" w:lineRule="exact"/>
        <w:rPr>
          <w:sz w:val="20"/>
          <w:szCs w:val="20"/>
          <w:color w:val="auto"/>
        </w:rPr>
      </w:pPr>
    </w:p>
    <w:p>
      <w:pPr>
        <w:ind w:left="1040"/>
        <w:spacing w:after="0"/>
        <w:tabs>
          <w:tab w:leader="none" w:pos="1840" w:val="left"/>
        </w:tabs>
        <w:rPr>
          <w:sz w:val="20"/>
          <w:szCs w:val="20"/>
          <w:color w:val="auto"/>
        </w:rPr>
      </w:pPr>
      <w:r>
        <w:rPr>
          <w:rFonts w:ascii="Courier New" w:cs="Courier New" w:eastAsia="Courier New" w:hAnsi="Courier New"/>
          <w:sz w:val="17"/>
          <w:szCs w:val="17"/>
          <w:color w:val="auto"/>
        </w:rPr>
        <w:t>Item 6</w:t>
        <w:tab/>
        <w:t>Exhibits and Reports on Form 8-K . . . . . . . . . . . 9</w:t>
      </w:r>
    </w:p>
    <w:p>
      <w:pPr>
        <w:spacing w:after="0" w:line="203" w:lineRule="exact"/>
        <w:rPr>
          <w:sz w:val="20"/>
          <w:szCs w:val="20"/>
          <w:color w:val="auto"/>
        </w:rPr>
      </w:pPr>
    </w:p>
    <w:p>
      <w:pPr>
        <w:ind w:left="1340"/>
        <w:spacing w:after="0"/>
        <w:tabs>
          <w:tab w:leader="none" w:pos="2560" w:val="left"/>
        </w:tabs>
        <w:rPr>
          <w:sz w:val="20"/>
          <w:szCs w:val="20"/>
          <w:color w:val="auto"/>
        </w:rPr>
      </w:pPr>
      <w:r>
        <w:rPr>
          <w:rFonts w:ascii="Courier New" w:cs="Courier New" w:eastAsia="Courier New" w:hAnsi="Courier New"/>
          <w:sz w:val="17"/>
          <w:szCs w:val="17"/>
          <w:color w:val="auto"/>
        </w:rPr>
        <w:t>Exhibit 11</w:t>
        <w:tab/>
        <w:t>Computation of Earnings Per Common Share. . . .10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2" w:name="page3"/>
    <w:bookmarkEnd w:id="2"/>
    <w:p>
      <w:pPr>
        <w:ind w:left="2680"/>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spacing w:after="0" w:line="399"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5"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7"/>
          <w:szCs w:val="17"/>
          <w:color w:val="auto"/>
        </w:rPr>
        <w:t>CONDENSED CONSOLIDATED STATEMENTS OF OPERATIONS AND RETAINED EARNINGS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(DOLLARS IN THOUSANDS, EXCEPT PER-SHARE</w:t>
            </w:r>
          </w:p>
        </w:tc>
        <w:tc>
          <w:tcPr>
            <w:tcW w:w="100" w:type="dxa"/>
            <w:vAlign w:val="bottom"/>
          </w:tcPr>
          <w:p>
            <w:pPr>
              <w:spacing w:after="0"/>
              <w:rPr>
                <w:sz w:val="16"/>
                <w:szCs w:val="16"/>
                <w:color w:val="auto"/>
              </w:rPr>
            </w:pPr>
          </w:p>
        </w:tc>
        <w:tc>
          <w:tcPr>
            <w:tcW w:w="138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w w:val="94"/>
              </w:rPr>
              <w:t>DATA)</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792"/>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right"/>
              <w:ind w:right="51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February 3,</w:t>
            </w:r>
          </w:p>
        </w:tc>
        <w:tc>
          <w:tcPr>
            <w:tcW w:w="2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January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February 3,</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9"/>
              </w:rPr>
              <w:t>January 28,</w:t>
            </w:r>
          </w:p>
        </w:tc>
      </w:tr>
      <w:tr>
        <w:trPr>
          <w:trHeight w:val="198"/>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1995</w:t>
            </w:r>
          </w:p>
        </w:tc>
        <w:tc>
          <w:tcPr>
            <w:tcW w:w="22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2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1994</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3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sales. . . . . . . . . . . . . . . . . . . . .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213,950</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189,413</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419,654</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325,174</w:t>
            </w:r>
          </w:p>
        </w:tc>
      </w:tr>
      <w:tr>
        <w:trPr>
          <w:trHeight w:val="198"/>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Cost of sales. . . . . . . . .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137,882</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122,826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267,521</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209,552</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Gross profit. . . . . . .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76,068</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66,587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152,133</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115,622</w:t>
            </w:r>
          </w:p>
        </w:tc>
      </w:tr>
      <w:tr>
        <w:trPr>
          <w:trHeight w:val="198"/>
        </w:trPr>
        <w:tc>
          <w:tcPr>
            <w:tcW w:w="54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expense . . . . . . . . .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63,994</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56,805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126,295</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108,801</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Earnings from operations.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12,074</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9,782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25,838</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6,821</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expense . . . . . . .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2,595</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3,210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5,075</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6,548</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net. . . . . . . . . . . . . . . . . .</w:t>
            </w:r>
          </w:p>
        </w:tc>
        <w:tc>
          <w:tcPr>
            <w:tcW w:w="2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(1,852)</w:t>
            </w:r>
          </w:p>
        </w:tc>
        <w:tc>
          <w:tcPr>
            <w:tcW w:w="2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(4,405)</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(4,030)</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Earnings before income taxes.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11,331</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7,461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25,168</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4,303</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 . . . . . . . . . . . . .</w:t>
            </w:r>
          </w:p>
        </w:tc>
        <w:tc>
          <w:tcPr>
            <w:tcW w:w="2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4,532</w:t>
            </w:r>
          </w:p>
        </w:tc>
        <w:tc>
          <w:tcPr>
            <w:tcW w:w="220" w:type="dxa"/>
            <w:vAlign w:val="bottom"/>
          </w:tcPr>
          <w:p>
            <w:pPr>
              <w:spacing w:after="0"/>
              <w:rPr>
                <w:sz w:val="17"/>
                <w:szCs w:val="17"/>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2,984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10,067</w:t>
            </w:r>
          </w:p>
        </w:tc>
        <w:tc>
          <w:tcPr>
            <w:tcW w:w="26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1,721</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earnings. . . . . . . . . . . . . . . . .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6,799</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4,477</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15,101</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2,582</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594"/>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 at beginning of period . . . . . .</w:t>
            </w:r>
          </w:p>
        </w:tc>
        <w:tc>
          <w:tcPr>
            <w:tcW w:w="200" w:type="dxa"/>
            <w:vAlign w:val="bottom"/>
          </w:tcPr>
          <w:p>
            <w:pPr>
              <w:spacing w:after="0"/>
              <w:rPr>
                <w:sz w:val="24"/>
                <w:szCs w:val="24"/>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116,482</w:t>
            </w:r>
          </w:p>
        </w:tc>
        <w:tc>
          <w:tcPr>
            <w:tcW w:w="220" w:type="dxa"/>
            <w:vAlign w:val="bottom"/>
          </w:tcPr>
          <w:p>
            <w:pPr>
              <w:spacing w:after="0"/>
              <w:rPr>
                <w:sz w:val="24"/>
                <w:szCs w:val="24"/>
                <w:color w:val="auto"/>
              </w:rPr>
            </w:pP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90,078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109,688</w:t>
            </w:r>
          </w:p>
        </w:tc>
        <w:tc>
          <w:tcPr>
            <w:tcW w:w="260" w:type="dxa"/>
            <w:vAlign w:val="bottom"/>
          </w:tcPr>
          <w:p>
            <w:pPr>
              <w:spacing w:after="0"/>
              <w:rPr>
                <w:sz w:val="24"/>
                <w:szCs w:val="24"/>
                <w:color w:val="auto"/>
              </w:rPr>
            </w:pP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93,451</w:t>
            </w:r>
          </w:p>
        </w:tc>
      </w:tr>
      <w:tr>
        <w:trPr>
          <w:trHeight w:val="198"/>
        </w:trPr>
        <w:tc>
          <w:tcPr>
            <w:tcW w:w="5460" w:type="dxa"/>
            <w:vAlign w:val="bottom"/>
          </w:tcPr>
          <w:p>
            <w:pPr>
              <w:spacing w:after="0"/>
              <w:rPr>
                <w:sz w:val="20"/>
                <w:szCs w:val="20"/>
                <w:color w:val="auto"/>
              </w:rPr>
            </w:pPr>
            <w:r>
              <w:rPr>
                <w:rFonts w:ascii="Courier New" w:cs="Courier New" w:eastAsia="Courier New" w:hAnsi="Courier New"/>
                <w:sz w:val="17"/>
                <w:szCs w:val="17"/>
                <w:color w:val="auto"/>
              </w:rPr>
              <w:t>Dividends on common stock of $0.12, $0.12,</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$0.24 and $0.24 per share, respectively . . . .</w:t>
            </w:r>
          </w:p>
        </w:tc>
        <w:tc>
          <w:tcPr>
            <w:tcW w:w="20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(1,530)</w:t>
            </w:r>
          </w:p>
        </w:tc>
        <w:tc>
          <w:tcPr>
            <w:tcW w:w="2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(3,038)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(2,970)</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 at end of period . . . . . . . .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121,751</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93,063</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121,751</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93,063</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3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earnings per share of common stock and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5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common stock equivalent . . . . . . . . . . . .</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0.51</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0.35</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1.15</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0.20</w:t>
            </w:r>
          </w:p>
        </w:tc>
      </w:tr>
      <w:tr>
        <w:trPr>
          <w:trHeight w:val="198"/>
        </w:trPr>
        <w:tc>
          <w:tcPr>
            <w:tcW w:w="54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3"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709" w:right="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8960" w:type="dxa"/>
            <w:vAlign w:val="bottom"/>
            <w:gridSpan w:val="5"/>
          </w:tcPr>
          <w:p>
            <w:pPr>
              <w:ind w:left="5160"/>
              <w:spacing w:after="0"/>
              <w:rPr>
                <w:sz w:val="20"/>
                <w:szCs w:val="20"/>
                <w:color w:val="auto"/>
              </w:rPr>
            </w:pPr>
            <w:r>
              <w:rPr>
                <w:rFonts w:ascii="Courier New" w:cs="Courier New" w:eastAsia="Courier New" w:hAnsi="Courier New"/>
                <w:sz w:val="17"/>
                <w:szCs w:val="17"/>
                <w:color w:val="auto"/>
              </w:rPr>
              <w:t>THE TORO COMPANY AND SUBSIDIARIES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8"/>
        </w:trPr>
        <w:tc>
          <w:tcPr>
            <w:tcW w:w="9380" w:type="dxa"/>
            <w:vAlign w:val="bottom"/>
            <w:gridSpan w:val="6"/>
          </w:tcPr>
          <w:p>
            <w:pPr>
              <w:ind w:left="4320"/>
              <w:spacing w:after="0"/>
              <w:rPr>
                <w:sz w:val="20"/>
                <w:szCs w:val="20"/>
                <w:color w:val="auto"/>
              </w:rPr>
            </w:pPr>
            <w:r>
              <w:rPr>
                <w:rFonts w:ascii="Courier New" w:cs="Courier New" w:eastAsia="Courier New" w:hAnsi="Courier New"/>
                <w:sz w:val="17"/>
                <w:szCs w:val="17"/>
                <w:color w:val="auto"/>
              </w:rPr>
              <w:t>CONDENSED CONSOLIDATED BALANCE SHEETS (UNAUDITED)</w:t>
            </w:r>
          </w:p>
        </w:tc>
        <w:tc>
          <w:tcPr>
            <w:tcW w:w="1120" w:type="dxa"/>
            <w:vAlign w:val="bottom"/>
          </w:tcPr>
          <w:p>
            <w:pPr>
              <w:spacing w:after="0"/>
              <w:rPr>
                <w:sz w:val="17"/>
                <w:szCs w:val="17"/>
                <w:color w:val="auto"/>
              </w:rPr>
            </w:pPr>
          </w:p>
        </w:tc>
      </w:tr>
      <w:tr>
        <w:trPr>
          <w:trHeight w:val="198"/>
        </w:trPr>
        <w:tc>
          <w:tcPr>
            <w:tcW w:w="8960" w:type="dxa"/>
            <w:vAlign w:val="bottom"/>
            <w:gridSpan w:val="5"/>
          </w:tcPr>
          <w:p>
            <w:pPr>
              <w:ind w:left="5660"/>
              <w:spacing w:after="0"/>
              <w:rPr>
                <w:sz w:val="20"/>
                <w:szCs w:val="20"/>
                <w:color w:val="auto"/>
              </w:rPr>
            </w:pPr>
            <w:r>
              <w:rPr>
                <w:rFonts w:ascii="Courier New" w:cs="Courier New" w:eastAsia="Courier New" w:hAnsi="Courier New"/>
                <w:sz w:val="17"/>
                <w:szCs w:val="17"/>
                <w:color w:val="auto"/>
              </w:rPr>
              <w:t>(DOLLARS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94"/>
        </w:trPr>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February 3,</w:t>
            </w:r>
          </w:p>
        </w:tc>
        <w:tc>
          <w:tcPr>
            <w:tcW w:w="26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January 28,</w:t>
            </w:r>
          </w:p>
        </w:tc>
        <w:tc>
          <w:tcPr>
            <w:tcW w:w="420" w:type="dxa"/>
            <w:vAlign w:val="bottom"/>
          </w:tcPr>
          <w:p>
            <w:pPr>
              <w:spacing w:after="0"/>
              <w:rPr>
                <w:sz w:val="24"/>
                <w:szCs w:val="24"/>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July 31,</w:t>
            </w:r>
          </w:p>
        </w:tc>
      </w:tr>
      <w:tr>
        <w:trPr>
          <w:trHeight w:val="198"/>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2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42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1994</w:t>
            </w:r>
          </w:p>
        </w:tc>
      </w:tr>
      <w:tr>
        <w:trPr>
          <w:trHeight w:val="198"/>
        </w:trPr>
        <w:tc>
          <w:tcPr>
            <w:tcW w:w="5880" w:type="dxa"/>
            <w:vAlign w:val="bottom"/>
          </w:tcPr>
          <w:p>
            <w:pPr>
              <w:spacing w:after="0"/>
              <w:rPr>
                <w:sz w:val="17"/>
                <w:szCs w:val="17"/>
                <w:color w:val="auto"/>
              </w:rPr>
            </w:pPr>
          </w:p>
        </w:tc>
        <w:tc>
          <w:tcPr>
            <w:tcW w:w="462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 -------------- --------------</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and cash equivalents. . . . . . . . . . . . . . . .</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9,198</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9,141</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36,231</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Receivables (net).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221,924</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215,663</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183,683</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Inventories. . . .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165,053</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128,477</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118,764</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Prepaid expenses .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31,216</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24,014</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25,817</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427,391</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377,295</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364,495</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 . . . . . . . . . . . .</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196,816</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177,339</w:t>
            </w:r>
          </w:p>
        </w:tc>
        <w:tc>
          <w:tcPr>
            <w:tcW w:w="4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185,478</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Less accumulated depreciation and amortization.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133,752</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120,643</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126,635</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$63,064</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$56,696</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$58,843</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Other assets . . . . . . . . . . . . . . . . . . . . . .</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19,150</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17,941</w:t>
            </w:r>
          </w:p>
        </w:tc>
        <w:tc>
          <w:tcPr>
            <w:tcW w:w="4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20,301</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Total assets. . . . . . . . . . . . . . . . . . . .</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509,605</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451,932</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443,639</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 . . . . . . . . . . .</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16,055</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35,645</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20,300</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Short-term debt. .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55,854</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25,361</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Accounts payable .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41,957</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36,066</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37,035</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Other accrued liabilities.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140,147</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119,883</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131,377</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Total current liabilities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254,013</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216,955</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188,712</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Deferred income taxes. . . . . . . . . . . . . . . . . .</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758</w:t>
            </w:r>
          </w:p>
        </w:tc>
        <w:tc>
          <w:tcPr>
            <w:tcW w:w="4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65,384</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87,325</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81,025</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Deferred income. . .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5,250</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5,250</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Common stockholders' equity:</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par value $1.00,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authorized 35,000,000 shares; issued and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outstanding 12,770,584 shares at February 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1995 (net of 4,467 treasury shares),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12,466,881 shares at January 28, 1994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(net of 110,992 treasury shares), and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12,561,204 shares at July 31, 1994 (net</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of 76,153 treasury shares).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12,771</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12,467</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12,561</w:t>
            </w: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53,063</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47,374</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49,420</w:t>
            </w: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Retained earnings . . . . . . . .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121,751</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93,063</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109,688</w:t>
            </w: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Foreign currency translation adjustment . . . . . . .</w:t>
            </w:r>
          </w:p>
        </w:tc>
        <w:tc>
          <w:tcPr>
            <w:tcW w:w="26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c>
          <w:tcPr>
            <w:tcW w:w="26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(787)</w:t>
            </w:r>
          </w:p>
        </w:tc>
        <w:tc>
          <w:tcPr>
            <w:tcW w:w="4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(405)</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187,570</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152,117</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171,264</w:t>
            </w: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Receivable from ESOP. . . . . . . . . . . . . . . . .</w:t>
            </w:r>
          </w:p>
        </w:tc>
        <w:tc>
          <w:tcPr>
            <w:tcW w:w="26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(2,612)</w:t>
            </w:r>
          </w:p>
        </w:tc>
        <w:tc>
          <w:tcPr>
            <w:tcW w:w="26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(5,223)</w:t>
            </w:r>
          </w:p>
        </w:tc>
        <w:tc>
          <w:tcPr>
            <w:tcW w:w="4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(2,612)</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Total common stockholders' equity . . . . . . . . . .</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184,958</w:t>
            </w:r>
          </w:p>
        </w:tc>
        <w:tc>
          <w:tcPr>
            <w:tcW w:w="2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146,894</w:t>
            </w:r>
          </w:p>
        </w:tc>
        <w:tc>
          <w:tcPr>
            <w:tcW w:w="4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168,652</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common stockholders' equity .</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509,605</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451,932</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443,639</w:t>
            </w:r>
          </w:p>
        </w:tc>
      </w:tr>
      <w:tr>
        <w:trPr>
          <w:trHeight w:val="198"/>
        </w:trPr>
        <w:tc>
          <w:tcPr>
            <w:tcW w:w="58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3"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500"/>
          </w:cols>
          <w:pgMar w:left="240" w:top="1105" w:right="11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THE TORO COMPANY AND</w:t>
            </w:r>
          </w:p>
        </w:tc>
        <w:tc>
          <w:tcPr>
            <w:tcW w:w="2160" w:type="dxa"/>
            <w:vAlign w:val="bottom"/>
            <w:gridSpan w:val="2"/>
          </w:tcPr>
          <w:p>
            <w:pPr>
              <w:jc w:val="right"/>
              <w:ind w:right="774"/>
              <w:spacing w:after="0"/>
              <w:rPr>
                <w:sz w:val="20"/>
                <w:szCs w:val="20"/>
                <w:color w:val="auto"/>
              </w:rPr>
            </w:pPr>
            <w:r>
              <w:rPr>
                <w:rFonts w:ascii="Courier New" w:cs="Courier New" w:eastAsia="Courier New" w:hAnsi="Courier New"/>
                <w:sz w:val="17"/>
                <w:szCs w:val="17"/>
                <w:color w:val="auto"/>
              </w:rPr>
              <w:t>SUBSIDIARIES</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8"/>
        </w:trPr>
        <w:tc>
          <w:tcPr>
            <w:tcW w:w="9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CONSOLIDATED STATEMENTS OF CASH FLOWS (UNAUDITED)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9420" w:type="dxa"/>
            <w:vAlign w:val="bottom"/>
            <w:gridSpan w:val="3"/>
          </w:tcPr>
          <w:p>
            <w:pPr>
              <w:jc w:val="right"/>
              <w:ind w:right="1394"/>
              <w:spacing w:after="0"/>
              <w:rPr>
                <w:sz w:val="20"/>
                <w:szCs w:val="20"/>
                <w:color w:val="auto"/>
              </w:rPr>
            </w:pPr>
            <w:r>
              <w:rPr>
                <w:rFonts w:ascii="Courier New" w:cs="Courier New" w:eastAsia="Courier New" w:hAnsi="Courier New"/>
                <w:sz w:val="17"/>
                <w:szCs w:val="17"/>
                <w:color w:val="auto"/>
              </w:rPr>
              <w:t>(DOLLARS IN THOUSANDS)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594"/>
        </w:trPr>
        <w:tc>
          <w:tcPr>
            <w:tcW w:w="7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gridSpan w:val="3"/>
          </w:tcPr>
          <w:p>
            <w:pPr>
              <w:jc w:val="right"/>
              <w:ind w:right="115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7260" w:type="dxa"/>
            <w:vAlign w:val="bottom"/>
          </w:tcPr>
          <w:p>
            <w:pPr>
              <w:spacing w:after="0"/>
              <w:rPr>
                <w:sz w:val="17"/>
                <w:szCs w:val="17"/>
                <w:color w:val="auto"/>
              </w:rPr>
            </w:pPr>
          </w:p>
        </w:tc>
        <w:tc>
          <w:tcPr>
            <w:tcW w:w="40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9"/>
              </w:rPr>
              <w:t>February 3,</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January 28,</w:t>
            </w:r>
          </w:p>
        </w:tc>
      </w:tr>
      <w:tr>
        <w:trPr>
          <w:trHeight w:val="198"/>
        </w:trPr>
        <w:tc>
          <w:tcPr>
            <w:tcW w:w="7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660" w:type="dxa"/>
            <w:vAlign w:val="bottom"/>
          </w:tcPr>
          <w:p>
            <w:pPr>
              <w:jc w:val="right"/>
              <w:ind w:right="654"/>
              <w:spacing w:after="0"/>
              <w:rPr>
                <w:sz w:val="20"/>
                <w:szCs w:val="20"/>
                <w:color w:val="auto"/>
              </w:rPr>
            </w:pPr>
            <w:r>
              <w:rPr>
                <w:rFonts w:ascii="Courier New" w:cs="Courier New" w:eastAsia="Courier New" w:hAnsi="Courier New"/>
                <w:sz w:val="17"/>
                <w:szCs w:val="17"/>
                <w:color w:val="auto"/>
              </w:rPr>
              <w:t>1994</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ind w:right="3354"/>
              <w:spacing w:after="0"/>
              <w:rPr>
                <w:sz w:val="20"/>
                <w:szCs w:val="20"/>
                <w:color w:val="auto"/>
              </w:rPr>
            </w:pPr>
            <w:r>
              <w:rPr>
                <w:rFonts w:ascii="Courier New" w:cs="Courier New" w:eastAsia="Courier New" w:hAnsi="Courier New"/>
                <w:sz w:val="17"/>
                <w:szCs w:val="17"/>
                <w:color w:val="auto"/>
              </w:rPr>
              <w:t>Cash flows from operating activities: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Net earnings. . . .  . . . . . . . . . . . . . . . . . . . . . . . . .</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15,101</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2,582</w:t>
            </w:r>
          </w:p>
        </w:tc>
      </w:tr>
      <w:tr>
        <w:trPr>
          <w:trHeight w:val="198"/>
        </w:trPr>
        <w:tc>
          <w:tcPr>
            <w:tcW w:w="7260" w:type="dxa"/>
            <w:vAlign w:val="bottom"/>
          </w:tcPr>
          <w:p>
            <w:pPr>
              <w:ind w:left="520"/>
              <w:spacing w:after="0"/>
              <w:rPr>
                <w:sz w:val="20"/>
                <w:szCs w:val="20"/>
                <w:color w:val="auto"/>
              </w:rPr>
            </w:pPr>
            <w:r>
              <w:rPr>
                <w:rFonts w:ascii="Courier New" w:cs="Courier New" w:eastAsia="Courier New" w:hAnsi="Courier New"/>
                <w:sz w:val="17"/>
                <w:szCs w:val="17"/>
                <w:color w:val="auto"/>
              </w:rPr>
              <w:t>Adjustments to reconcile net earnings to net cash</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7260" w:type="dxa"/>
            <w:vAlign w:val="bottom"/>
          </w:tcPr>
          <w:p>
            <w:pPr>
              <w:jc w:val="right"/>
              <w:ind w:right="3054"/>
              <w:spacing w:after="0"/>
              <w:rPr>
                <w:sz w:val="20"/>
                <w:szCs w:val="20"/>
                <w:color w:val="auto"/>
              </w:rPr>
            </w:pPr>
            <w:r>
              <w:rPr>
                <w:rFonts w:ascii="Courier New" w:cs="Courier New" w:eastAsia="Courier New" w:hAnsi="Courier New"/>
                <w:sz w:val="17"/>
                <w:szCs w:val="17"/>
                <w:color w:val="auto"/>
              </w:rPr>
              <w:t>used in operating activities:</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Provision for depreciation and amortization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8,400</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8,543</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Loss on disposal of property, plant and equipment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(127)</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 . . .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(297)</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(614)</w:t>
            </w:r>
          </w:p>
        </w:tc>
      </w:tr>
      <w:tr>
        <w:trPr>
          <w:trHeight w:val="198"/>
        </w:trPr>
        <w:tc>
          <w:tcPr>
            <w:tcW w:w="7260" w:type="dxa"/>
            <w:vAlign w:val="bottom"/>
          </w:tcPr>
          <w:p>
            <w:pPr>
              <w:ind w:left="5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Receivables (net)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(44,168)</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(41,890)</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Inventories . . .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(46,289)</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(49,769)</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(5,399)</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(748)</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and accrued expenses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18,813</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21,074</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Accrued income taxes.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(5,121)</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(385)</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operating activities.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(59,087)</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(61,207)</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ind w:right="3354"/>
              <w:spacing w:after="0"/>
              <w:rPr>
                <w:sz w:val="20"/>
                <w:szCs w:val="20"/>
                <w:color w:val="auto"/>
              </w:rPr>
            </w:pPr>
            <w:r>
              <w:rPr>
                <w:rFonts w:ascii="Courier New" w:cs="Courier New" w:eastAsia="Courier New" w:hAnsi="Courier New"/>
                <w:sz w:val="17"/>
                <w:szCs w:val="17"/>
                <w:color w:val="auto"/>
              </w:rPr>
              <w:t>Cash flows from investing activities: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Purchases of property, plant and equipment.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(12,115)</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(4,174)</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asset disposals . . . . . . .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269</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(Increase) decrease in other assets . . . .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800</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(3,948)</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(11,046)</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(8,107)</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ind w:right="3354"/>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Increase in short-term debt . . . . . . . .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55,854</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25,361</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Increase in sale of receivables . . . . . .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5,927</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6,590</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Repayments of long-term debt.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(19,886)</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sale of common stock. . . . .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5,134</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3,587</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Purchases of common stock .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(1,281)</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(914)</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Dividends on common stock . . . . . . . . . . . . . . . . . . . .</w:t>
            </w:r>
          </w:p>
        </w:tc>
        <w:tc>
          <w:tcPr>
            <w:tcW w:w="460" w:type="dxa"/>
            <w:vAlign w:val="bottom"/>
          </w:tcPr>
          <w:p>
            <w:pPr>
              <w:spacing w:after="0"/>
              <w:rPr>
                <w:sz w:val="17"/>
                <w:szCs w:val="17"/>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(3,038)</w:t>
            </w:r>
          </w:p>
        </w:tc>
        <w:tc>
          <w:tcPr>
            <w:tcW w:w="26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(2,970)</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financing activities.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42,710</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16,654</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Foreign currency translation adjustment. . . . . . . . . . . . . . . .</w:t>
            </w:r>
          </w:p>
        </w:tc>
        <w:tc>
          <w:tcPr>
            <w:tcW w:w="460" w:type="dxa"/>
            <w:vAlign w:val="bottom"/>
          </w:tcPr>
          <w:p>
            <w:pPr>
              <w:spacing w:after="0"/>
              <w:rPr>
                <w:sz w:val="24"/>
                <w:szCs w:val="24"/>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390</w:t>
            </w:r>
          </w:p>
        </w:tc>
        <w:tc>
          <w:tcPr>
            <w:tcW w:w="260" w:type="dxa"/>
            <w:vAlign w:val="bottom"/>
          </w:tcPr>
          <w:p>
            <w:pPr>
              <w:spacing w:after="0"/>
              <w:rPr>
                <w:sz w:val="24"/>
                <w:szCs w:val="24"/>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Net decrease in cash and cash equivalents. . . . . . . . . . . . . . .</w:t>
            </w:r>
          </w:p>
        </w:tc>
        <w:tc>
          <w:tcPr>
            <w:tcW w:w="460" w:type="dxa"/>
            <w:vAlign w:val="bottom"/>
          </w:tcPr>
          <w:p>
            <w:pPr>
              <w:spacing w:after="0"/>
              <w:rPr>
                <w:sz w:val="24"/>
                <w:szCs w:val="24"/>
                <w:color w:val="auto"/>
              </w:rPr>
            </w:pPr>
          </w:p>
        </w:tc>
        <w:tc>
          <w:tcPr>
            <w:tcW w:w="17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(27,033)</w:t>
            </w:r>
          </w:p>
        </w:tc>
        <w:tc>
          <w:tcPr>
            <w:tcW w:w="260" w:type="dxa"/>
            <w:vAlign w:val="bottom"/>
          </w:tcPr>
          <w:p>
            <w:pPr>
              <w:spacing w:after="0"/>
              <w:rPr>
                <w:sz w:val="24"/>
                <w:szCs w:val="24"/>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(52,652)</w:t>
            </w:r>
          </w:p>
        </w:tc>
      </w:tr>
      <w:tr>
        <w:trPr>
          <w:trHeight w:val="198"/>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beginning of period . . . . . . . . . . .</w:t>
            </w:r>
          </w:p>
        </w:tc>
        <w:tc>
          <w:tcPr>
            <w:tcW w:w="460" w:type="dxa"/>
            <w:vAlign w:val="bottom"/>
          </w:tcPr>
          <w:p>
            <w:pPr>
              <w:spacing w:after="0"/>
              <w:rPr>
                <w:sz w:val="17"/>
                <w:szCs w:val="17"/>
                <w:color w:val="auto"/>
              </w:rPr>
            </w:pP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36,231</w:t>
            </w:r>
          </w:p>
        </w:tc>
        <w:tc>
          <w:tcPr>
            <w:tcW w:w="260" w:type="dxa"/>
            <w:vAlign w:val="bottom"/>
          </w:tcPr>
          <w:p>
            <w:pPr>
              <w:spacing w:after="0"/>
              <w:rPr>
                <w:sz w:val="17"/>
                <w:szCs w:val="17"/>
                <w:color w:val="auto"/>
              </w:rPr>
            </w:pP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61,793</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end of period . . . . . . . . . . . . . .</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9,198</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9,141</w:t>
            </w:r>
          </w:p>
        </w:tc>
      </w:tr>
      <w:tr>
        <w:trPr>
          <w:trHeight w:val="198"/>
        </w:trPr>
        <w:tc>
          <w:tcPr>
            <w:tcW w:w="7260" w:type="dxa"/>
            <w:vAlign w:val="bottom"/>
          </w:tcPr>
          <w:p>
            <w:pPr>
              <w:spacing w:after="0"/>
              <w:rPr>
                <w:sz w:val="17"/>
                <w:szCs w:val="17"/>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3"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340"/>
          </w:cols>
          <w:pgMar w:left="240" w:top="1105" w:right="319" w:bottom="1440" w:gutter="0" w:footer="0" w:header="0"/>
        </w:sectPr>
      </w:pPr>
    </w:p>
    <w:bookmarkStart w:id="5" w:name="page6"/>
    <w:bookmarkEnd w:id="5"/>
    <w:p>
      <w:pPr>
        <w:jc w:val="center"/>
        <w:ind w:right="1985"/>
        <w:spacing w:after="0" w:line="249" w:lineRule="auto"/>
        <w:rPr>
          <w:sz w:val="20"/>
          <w:szCs w:val="20"/>
          <w:color w:val="auto"/>
        </w:rPr>
      </w:pPr>
      <w:r>
        <w:rPr>
          <w:rFonts w:ascii="Courier New" w:cs="Courier New" w:eastAsia="Courier New" w:hAnsi="Courier New"/>
          <w:sz w:val="17"/>
          <w:szCs w:val="17"/>
          <w:color w:val="auto"/>
        </w:rPr>
        <w:t>THE TORO COMPANY AND SUBSIDIARIES NOTES TO CONDENSED CONSOLIDATED FINANCIAL STATEMENTS (UNAUDITED) FEBRUARY 3, 1995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4" w:hanging="514"/>
        <w:spacing w:after="0"/>
        <w:tabs>
          <w:tab w:leader="none" w:pos="5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w:t>
      </w:r>
    </w:p>
    <w:p>
      <w:pPr>
        <w:spacing w:after="0" w:line="5" w:lineRule="exact"/>
        <w:rPr>
          <w:rFonts w:ascii="Courier New" w:cs="Courier New" w:eastAsia="Courier New" w:hAnsi="Courier New"/>
          <w:sz w:val="17"/>
          <w:szCs w:val="17"/>
          <w:color w:val="auto"/>
        </w:rPr>
      </w:pPr>
    </w:p>
    <w:p>
      <w:pPr>
        <w:ind w:left="5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furnished reflects all adjustments which, in the opinion of management, are necessary for a fair presentation of the interim periods. The Toro Company's business is seasonal. Operating results for the three months and six months ended February 3, 1995 are not necessarily indicative of the results that may be expected for the year ending July 31, 1995.</w:t>
      </w:r>
    </w:p>
    <w:p>
      <w:pPr>
        <w:spacing w:after="0" w:line="200" w:lineRule="exact"/>
        <w:rPr>
          <w:rFonts w:ascii="Courier New" w:cs="Courier New" w:eastAsia="Courier New" w:hAnsi="Courier New"/>
          <w:sz w:val="17"/>
          <w:szCs w:val="17"/>
          <w:color w:val="auto"/>
        </w:rPr>
      </w:pPr>
    </w:p>
    <w:p>
      <w:pPr>
        <w:ind w:left="514"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These statements should be read in conjunction with the financial statements and footnotes included in the Company's Annual Report for the year ended July 31, 1994. The policies described in that report are used in preparing quarterly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4"/>
          </w:cols>
          <w:pgMar w:left="246" w:top="709" w:right="1440" w:bottom="1440" w:gutter="0" w:footer="0" w:header="0"/>
        </w:sectPr>
      </w:pPr>
    </w:p>
    <w:bookmarkStart w:id="6" w:name="page7"/>
    <w:bookmarkEnd w:id="6"/>
    <w:p>
      <w:pPr>
        <w:jc w:val="center"/>
        <w:ind w:right="185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Total assets for the Company as of February 3, 1995 were $509.6 million, an increase of $57.7 million, or 12.8%, from the $451.9 million reported at the end of the second quarter last year. The increase resulted primarily from increases in inventory and trade receivables. Inventory increased as a result of increased production of riding products to meet anticipated demand and a reduction in walk power mower shipments in response to excess retail inventory levels. In addition, a joint venture with a distributor and the acquisition of recycling equipment products that were added subsequent to the second quarter of 1994 resulted in new inventories on hand in the current year which were not on hand in the prior year. The increase in trade receivables reflected an increase in dealer receivables financed by the Company as well as an overall increase in sales volume.</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Total debt as of February 3, 1995 was $137.3 million, or $11.0 million less than the $148.3 million reported at the end of the second quarter last year. The ratio of total debt to total debt plus equity of 42.6% has improved from the</w:t>
      </w:r>
    </w:p>
    <w:p>
      <w:pPr>
        <w:spacing w:after="0" w:line="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50.2% reported as of January 28, 1994. The lower debt ratio resulted from the reduced debt levels combined with an increase in equity as a result of earnings in the past two years.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Company's business is seasonal. Historically, accounts receivable balances increase throughout the winter months as a result of extended payment terms made available to customers and decrease in the late spring when payments become due. Peak borrowing usually occurs in the third quarter. The seasonal working capital requirements of the business are financed primarily with short-term debt. Management believes that the combination of funds available through existing financing options, coupled with forecasted cash flows, will provide the capital resources necessary to meet the Company's working capital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sets forth sales by product line: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4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Three Months Ended</w:t>
            </w:r>
          </w:p>
        </w:tc>
        <w:tc>
          <w:tcPr>
            <w:tcW w:w="1380" w:type="dxa"/>
            <w:vAlign w:val="bottom"/>
          </w:tcPr>
          <w:p>
            <w:pPr>
              <w:spacing w:after="0"/>
              <w:rPr>
                <w:sz w:val="16"/>
                <w:szCs w:val="16"/>
                <w:color w:val="auto"/>
              </w:rPr>
            </w:pPr>
          </w:p>
        </w:tc>
      </w:tr>
      <w:tr>
        <w:trPr>
          <w:trHeight w:val="198"/>
        </w:trPr>
        <w:tc>
          <w:tcPr>
            <w:tcW w:w="3920" w:type="dxa"/>
            <w:vAlign w:val="bottom"/>
          </w:tcPr>
          <w:p>
            <w:pPr>
              <w:spacing w:after="0"/>
              <w:rPr>
                <w:sz w:val="17"/>
                <w:szCs w:val="17"/>
                <w:color w:val="auto"/>
              </w:rPr>
            </w:pPr>
          </w:p>
        </w:tc>
        <w:tc>
          <w:tcPr>
            <w:tcW w:w="596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w:t>
            </w:r>
          </w:p>
        </w:tc>
      </w:tr>
      <w:tr>
        <w:trPr>
          <w:trHeight w:val="198"/>
        </w:trPr>
        <w:tc>
          <w:tcPr>
            <w:tcW w:w="3920" w:type="dxa"/>
            <w:vAlign w:val="bottom"/>
          </w:tcPr>
          <w:p>
            <w:pPr>
              <w:jc w:val="right"/>
              <w:ind w:right="1554"/>
              <w:spacing w:after="0"/>
              <w:rPr>
                <w:sz w:val="20"/>
                <w:szCs w:val="20"/>
                <w:color w:val="auto"/>
              </w:rPr>
            </w:pPr>
            <w:r>
              <w:rPr>
                <w:rFonts w:ascii="Courier New" w:cs="Courier New" w:eastAsia="Courier New" w:hAnsi="Courier New"/>
                <w:sz w:val="17"/>
                <w:szCs w:val="17"/>
                <w:color w:val="auto"/>
              </w:rPr>
              <w:t>(Dollars in thousands)</w:t>
            </w:r>
          </w:p>
        </w:tc>
        <w:tc>
          <w:tcPr>
            <w:tcW w:w="15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February 3,</w:t>
            </w:r>
          </w:p>
        </w:tc>
        <w:tc>
          <w:tcPr>
            <w:tcW w:w="16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1995</w:t>
            </w:r>
          </w:p>
        </w:tc>
        <w:tc>
          <w:tcPr>
            <w:tcW w:w="420" w:type="dxa"/>
            <w:vAlign w:val="bottom"/>
          </w:tcPr>
          <w:p>
            <w:pPr>
              <w:spacing w:after="0"/>
              <w:rPr>
                <w:sz w:val="17"/>
                <w:szCs w:val="17"/>
                <w:color w:val="auto"/>
              </w:rPr>
            </w:pPr>
          </w:p>
        </w:tc>
        <w:tc>
          <w:tcPr>
            <w:tcW w:w="12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1994</w:t>
            </w:r>
          </w:p>
        </w:tc>
        <w:tc>
          <w:tcPr>
            <w:tcW w:w="2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 Change</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Change</w:t>
            </w:r>
          </w:p>
        </w:tc>
      </w:tr>
      <w:tr>
        <w:trPr>
          <w:trHeight w:val="198"/>
        </w:trPr>
        <w:tc>
          <w:tcPr>
            <w:tcW w:w="39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Consumer products. . . . . . . . .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111,979</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97,250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14,729</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15.1%</w:t>
            </w: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Commercial products. . . . . . . . .</w:t>
            </w:r>
          </w:p>
        </w:tc>
        <w:tc>
          <w:tcPr>
            <w:tcW w:w="5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73,842</w:t>
            </w:r>
          </w:p>
        </w:tc>
        <w:tc>
          <w:tcPr>
            <w:tcW w:w="4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66,472</w:t>
            </w:r>
          </w:p>
        </w:tc>
        <w:tc>
          <w:tcPr>
            <w:tcW w:w="22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7,370</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11.1</w:t>
            </w: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Irrigation products. . . . . . . . .</w:t>
            </w:r>
          </w:p>
        </w:tc>
        <w:tc>
          <w:tcPr>
            <w:tcW w:w="5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28,129</w:t>
            </w:r>
          </w:p>
        </w:tc>
        <w:tc>
          <w:tcPr>
            <w:tcW w:w="4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25,691</w:t>
            </w:r>
          </w:p>
        </w:tc>
        <w:tc>
          <w:tcPr>
            <w:tcW w:w="22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2,438</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9.5</w:t>
            </w: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 *. . . . . . . . . . . .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213,950</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189,413</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24,537</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13.0%</w:t>
            </w: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396"/>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Includes International sales of: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34,782</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30,529</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4,253</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13.9%</w:t>
            </w:r>
          </w:p>
        </w:tc>
      </w:tr>
      <w:tr>
        <w:trPr>
          <w:trHeight w:val="594"/>
        </w:trPr>
        <w:tc>
          <w:tcPr>
            <w:tcW w:w="3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Six Months Ended</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920" w:type="dxa"/>
            <w:vAlign w:val="bottom"/>
          </w:tcPr>
          <w:p>
            <w:pPr>
              <w:spacing w:after="0"/>
              <w:rPr>
                <w:sz w:val="17"/>
                <w:szCs w:val="17"/>
                <w:color w:val="auto"/>
              </w:rPr>
            </w:pPr>
          </w:p>
        </w:tc>
        <w:tc>
          <w:tcPr>
            <w:tcW w:w="596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w:t>
            </w:r>
          </w:p>
        </w:tc>
      </w:tr>
      <w:tr>
        <w:trPr>
          <w:trHeight w:val="198"/>
        </w:trPr>
        <w:tc>
          <w:tcPr>
            <w:tcW w:w="3920" w:type="dxa"/>
            <w:vAlign w:val="bottom"/>
          </w:tcPr>
          <w:p>
            <w:pPr>
              <w:jc w:val="right"/>
              <w:ind w:right="1554"/>
              <w:spacing w:after="0"/>
              <w:rPr>
                <w:sz w:val="20"/>
                <w:szCs w:val="20"/>
                <w:color w:val="auto"/>
              </w:rPr>
            </w:pPr>
            <w:r>
              <w:rPr>
                <w:rFonts w:ascii="Courier New" w:cs="Courier New" w:eastAsia="Courier New" w:hAnsi="Courier New"/>
                <w:sz w:val="17"/>
                <w:szCs w:val="17"/>
                <w:color w:val="auto"/>
              </w:rPr>
              <w:t>(Dollars in thousands)</w:t>
            </w:r>
          </w:p>
        </w:tc>
        <w:tc>
          <w:tcPr>
            <w:tcW w:w="15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February 3,</w:t>
            </w:r>
          </w:p>
        </w:tc>
        <w:tc>
          <w:tcPr>
            <w:tcW w:w="16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1995</w:t>
            </w:r>
          </w:p>
        </w:tc>
        <w:tc>
          <w:tcPr>
            <w:tcW w:w="420" w:type="dxa"/>
            <w:vAlign w:val="bottom"/>
          </w:tcPr>
          <w:p>
            <w:pPr>
              <w:spacing w:after="0"/>
              <w:rPr>
                <w:sz w:val="17"/>
                <w:szCs w:val="17"/>
                <w:color w:val="auto"/>
              </w:rPr>
            </w:pPr>
          </w:p>
        </w:tc>
        <w:tc>
          <w:tcPr>
            <w:tcW w:w="12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1994</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 Change</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Change</w:t>
            </w: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Consumer products. . . . . . . . .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238,735</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172,290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66,445</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38.6%</w:t>
            </w: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Commercial products. . . . . . . . .</w:t>
            </w:r>
          </w:p>
        </w:tc>
        <w:tc>
          <w:tcPr>
            <w:tcW w:w="5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122,498</w:t>
            </w:r>
          </w:p>
        </w:tc>
        <w:tc>
          <w:tcPr>
            <w:tcW w:w="4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107,375</w:t>
            </w:r>
          </w:p>
        </w:tc>
        <w:tc>
          <w:tcPr>
            <w:tcW w:w="2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15,123</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14.1</w:t>
            </w: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Irrigation products. . . . . . . . .</w:t>
            </w:r>
          </w:p>
        </w:tc>
        <w:tc>
          <w:tcPr>
            <w:tcW w:w="5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58,421</w:t>
            </w:r>
          </w:p>
        </w:tc>
        <w:tc>
          <w:tcPr>
            <w:tcW w:w="420" w:type="dxa"/>
            <w:vAlign w:val="bottom"/>
          </w:tcPr>
          <w:p>
            <w:pPr>
              <w:spacing w:after="0"/>
              <w:rPr>
                <w:sz w:val="17"/>
                <w:szCs w:val="17"/>
                <w:color w:val="auto"/>
              </w:rPr>
            </w:pP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45,509</w:t>
            </w:r>
          </w:p>
        </w:tc>
        <w:tc>
          <w:tcPr>
            <w:tcW w:w="2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12,912</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28.4</w:t>
            </w: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8"/>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 *. . . . . . . . . . . .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419,654</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325,174</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94,480</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29.1%</w:t>
            </w: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8"/>
        </w:trPr>
        <w:tc>
          <w:tcPr>
            <w:tcW w:w="3920" w:type="dxa"/>
            <w:vAlign w:val="bottom"/>
          </w:tcPr>
          <w:p>
            <w:pPr>
              <w:spacing w:after="0"/>
              <w:rPr>
                <w:sz w:val="17"/>
                <w:szCs w:val="17"/>
                <w:color w:val="auto"/>
              </w:rPr>
            </w:pP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396"/>
        </w:trPr>
        <w:tc>
          <w:tcPr>
            <w:tcW w:w="3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Includes International sales of: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58,522</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43,627</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14,895</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34.1%</w:t>
            </w:r>
          </w:p>
        </w:tc>
      </w:tr>
      <w:tr>
        <w:trPr>
          <w:trHeight w:val="792"/>
        </w:trPr>
        <w:tc>
          <w:tcPr>
            <w:tcW w:w="3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709" w:right="1440" w:bottom="523" w:gutter="0" w:footer="0" w:header="0"/>
        </w:sectPr>
      </w:pPr>
    </w:p>
    <w:bookmarkStart w:id="7" w:name="page8"/>
    <w:bookmarkEnd w:id="7"/>
    <w:p>
      <w:pPr>
        <w:ind w:right="1979"/>
        <w:spacing w:after="0" w:line="246" w:lineRule="auto"/>
        <w:rPr>
          <w:sz w:val="20"/>
          <w:szCs w:val="20"/>
          <w:color w:val="auto"/>
        </w:rPr>
      </w:pPr>
      <w:r>
        <w:rPr>
          <w:rFonts w:ascii="Courier New" w:cs="Courier New" w:eastAsia="Courier New" w:hAnsi="Courier New"/>
          <w:sz w:val="17"/>
          <w:szCs w:val="17"/>
          <w:color w:val="auto"/>
        </w:rPr>
        <w:t>Changes in net sales for the second quarter and year to date were attributed to the following factors. Consumer product sales reflected exceptional sales of snow removal equipment as well as increased demand and improved availability of riding products. Walk power mower sales declined as a result of reduced shipments in response to excess retail inventory . The increase in commercial product sales reflected continued strength in the golf and tax-supported markets as well as the addition of recycling equipment products in 1995. Irrigation product sales reflected continued growth in the golf market as well as the positive impact of a distribution change implemented by the Company in the prior year. International product sales increased because of rebounding economies in Europe and the Pacific Rim which resulted in increased golf course irrigation equipment sales as well as increased sales of riding products. In addition, the change to dealer direct distribution in Canada resulted in increased sales of walk power mowers.</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Gross profit of $76.1 million was $9.5 million (14.3%) higher than the $66.6 million reported for the second quarter of 1994. As a percent of sales, gross profit increased to 35.6% for the second quarter of 1995 compared to 35.2% for the second quarter last year. Year to date gross profit was $152.1 million, $36.5 million (31.6%) higher than the $115.6 million reported last year. The dollar increase was attributed to increased sales volume and a favorable product mix which was offset partially by an increase in the cost of certain raw materials such as aluminum ingot and raw steel.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(S G &amp; A) expenses increased $7.2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12.7%, to $64.0 million from the $56.8 million for the second quarter last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year.</w:t>
        <w:tab/>
        <w:t>Year to date S G &amp; A of $126.3 million increased $17.5 million from the</w:t>
      </w:r>
    </w:p>
    <w:p>
      <w:pPr>
        <w:spacing w:after="0" w:line="5"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7"/>
          <w:szCs w:val="17"/>
          <w:color w:val="auto"/>
        </w:rPr>
        <w:t>$108.8 million reported a year ago.</w:t>
        <w:tab/>
        <w:t>As a percent of sales, year to date S G &amp; A</w:t>
      </w:r>
    </w:p>
    <w:p>
      <w:pPr>
        <w:spacing w:after="0" w:line="5"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7"/>
          <w:szCs w:val="17"/>
          <w:color w:val="auto"/>
        </w:rPr>
        <w:t>decreased to 30.1% compared to 33.5% for the prior year.</w:t>
        <w:tab/>
        <w:t>The dollar increases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occurred principally as a result of increased marketing expenditures,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 and increased administrative expense for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enhancement and support, information system advancements, various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incentive programs as well as the addition of a joint venture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distributor.</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Interest expense of $2.6 million for the quarter was $0.6 million, or 18.8%, less than the $3.2 million the same period last year. Year to date interest expense decreased $1.4 million to $5.1 million from the $6.5 million reported a year ago. These decreases were principally because of the reduction in long-term debt.</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Other income, net increased $1.0 million to $1.9 million from $0.9 million from the second quarter last year. The increase resulted primarily from increased finance revenues from the Company's wholly-owned finance subsidiary which implemented a new dealer financing business initiative during the year. This was offset slightly by foreign currency exchange losses. Year to date other income, net of $4.4 million was $0.4 million higher than the $4.0 million reported a year ago. 1994 other income, net included a one-time lawsuit settlement of $1.85 million related to the purchase of Lawn-Boy. Excluding the effect of the $1.85 million lawsuit settlement, 1995 other income, net would have increased $2.3 million because of increased finance revenue, foreign currency exchange gains and gains resulting from joint venture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8" w:name="page9"/>
    <w:bookmarkEnd w:id="8"/>
    <w:p>
      <w:pPr>
        <w:ind w:left="2780"/>
        <w:spacing w:after="0"/>
        <w:tabs>
          <w:tab w:leader="none" w:pos="380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Item 4</w:t>
        <w:tab/>
        <w:t>Results of Votes of Security Holders</w:t>
      </w:r>
    </w:p>
    <w:p>
      <w:pPr>
        <w:spacing w:after="0" w:line="203" w:lineRule="exact"/>
        <w:rPr>
          <w:sz w:val="20"/>
          <w:szCs w:val="20"/>
          <w:color w:val="auto"/>
        </w:rPr>
      </w:pPr>
    </w:p>
    <w:p>
      <w:pPr>
        <w:ind w:left="320" w:right="2079"/>
        <w:spacing w:after="0" w:line="246" w:lineRule="auto"/>
        <w:rPr>
          <w:sz w:val="20"/>
          <w:szCs w:val="20"/>
          <w:color w:val="auto"/>
        </w:rPr>
      </w:pPr>
      <w:r>
        <w:rPr>
          <w:rFonts w:ascii="Courier New" w:cs="Courier New" w:eastAsia="Courier New" w:hAnsi="Courier New"/>
          <w:sz w:val="17"/>
          <w:szCs w:val="17"/>
          <w:color w:val="auto"/>
        </w:rPr>
        <w:t>The Annual Meeting of Stockholders was held on December 15, 1994 involving election of directors, adoption of the CEO Succession Incentive Plan and the appointment of auditors.</w:t>
      </w:r>
    </w:p>
    <w:p>
      <w:pPr>
        <w:spacing w:after="0" w:line="200" w:lineRule="exact"/>
        <w:rPr>
          <w:sz w:val="20"/>
          <w:szCs w:val="20"/>
          <w:color w:val="auto"/>
        </w:rPr>
      </w:pPr>
    </w:p>
    <w:p>
      <w:pPr>
        <w:ind w:left="320" w:right="2179"/>
        <w:spacing w:after="0" w:line="246" w:lineRule="auto"/>
        <w:rPr>
          <w:sz w:val="20"/>
          <w:szCs w:val="20"/>
          <w:color w:val="auto"/>
        </w:rPr>
      </w:pPr>
      <w:r>
        <w:rPr>
          <w:rFonts w:ascii="Courier New" w:cs="Courier New" w:eastAsia="Courier New" w:hAnsi="Courier New"/>
          <w:sz w:val="17"/>
          <w:szCs w:val="17"/>
          <w:color w:val="auto"/>
        </w:rPr>
        <w:t>The results of the stockholder votes were as follows: on the election of directors, 10,318,065 were voted for election and some of the proxies were cast against the two directors, but not more than 3.7% of the shares represented in person or by proxy at the meeting; on the CEO Succession Incentive Plan 7,440,358 shares were voted for, 3,001,434 shares were voted against and 186,542 shares abstained; and on the appointment of the independent auditors 10,463,399 shares were voted for, 75,240 shares were voted against and 89,695 shares abstained.</w:t>
      </w:r>
    </w:p>
    <w:p>
      <w:pPr>
        <w:spacing w:after="0" w:line="20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820" w:hanging="506"/>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11  Computation of Earnings per Common Share</w:t>
      </w:r>
    </w:p>
    <w:p>
      <w:pPr>
        <w:spacing w:after="0" w:line="203" w:lineRule="exact"/>
        <w:rPr>
          <w:rFonts w:ascii="Courier New" w:cs="Courier New" w:eastAsia="Courier New" w:hAnsi="Courier New"/>
          <w:sz w:val="17"/>
          <w:szCs w:val="17"/>
          <w:color w:val="auto"/>
        </w:rPr>
      </w:pPr>
    </w:p>
    <w:p>
      <w:pPr>
        <w:ind w:left="820" w:hanging="506"/>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rFonts w:ascii="Courier New" w:cs="Courier New" w:eastAsia="Courier New" w:hAnsi="Courier New"/>
          <w:sz w:val="17"/>
          <w:szCs w:val="17"/>
          <w:color w:val="auto"/>
        </w:rPr>
      </w:pPr>
    </w:p>
    <w:p>
      <w:pPr>
        <w:ind w:left="820" w:right="20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Form 8-K reports during the second quarter of 1995.</w:t>
      </w:r>
    </w:p>
    <w:p>
      <w:pPr>
        <w:spacing w:after="0" w:line="39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jc w:val="both"/>
        <w:ind w:left="320" w:right="24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(Registrant)</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 /s/ Gerald T. Knight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Gerald T. Knight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Vice President, Finance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Chief Financial Officer</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March 17,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9" w:name="page10"/>
    <w:bookmarkEnd w:id="9"/>
    <w:p>
      <w:pPr>
        <w:ind w:left="7220"/>
        <w:spacing w:after="0"/>
        <w:rPr>
          <w:sz w:val="20"/>
          <w:szCs w:val="20"/>
          <w:color w:val="auto"/>
        </w:rPr>
      </w:pPr>
      <w:r>
        <w:rPr>
          <w:rFonts w:ascii="Courier New" w:cs="Courier New" w:eastAsia="Courier New" w:hAnsi="Courier New"/>
          <w:sz w:val="17"/>
          <w:szCs w:val="17"/>
          <w:color w:val="auto"/>
        </w:rPr>
        <w:t>Exhibit 11</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COMPUTATION OF EARNINGS PER COMMON SHARE (UNAUDITED)</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(DOLLARS IN THOUSANDS, EXCEPT PER-SHARE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6"/>
                <w:szCs w:val="16"/>
                <w:color w:val="auto"/>
              </w:rPr>
            </w:pPr>
          </w:p>
        </w:tc>
        <w:tc>
          <w:tcPr>
            <w:tcW w:w="268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08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5"/>
              </w:rPr>
              <w:t>-----------------------------</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0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February 3,</w:t>
            </w:r>
          </w:p>
        </w:tc>
        <w:tc>
          <w:tcPr>
            <w:tcW w:w="15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January 28,</w:t>
            </w:r>
          </w:p>
        </w:tc>
        <w:tc>
          <w:tcPr>
            <w:tcW w:w="15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February 3,</w:t>
            </w:r>
          </w:p>
        </w:tc>
        <w:tc>
          <w:tcPr>
            <w:tcW w:w="15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January 28,</w:t>
            </w:r>
          </w:p>
        </w:tc>
      </w:tr>
      <w:tr>
        <w:trPr>
          <w:trHeight w:val="198"/>
        </w:trPr>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1995</w:t>
            </w:r>
          </w:p>
        </w:tc>
        <w:tc>
          <w:tcPr>
            <w:tcW w:w="420" w:type="dxa"/>
            <w:vAlign w:val="bottom"/>
          </w:tcPr>
          <w:p>
            <w:pPr>
              <w:spacing w:after="0"/>
              <w:rPr>
                <w:sz w:val="17"/>
                <w:szCs w:val="17"/>
                <w:color w:val="auto"/>
              </w:rPr>
            </w:pPr>
          </w:p>
        </w:tc>
        <w:tc>
          <w:tcPr>
            <w:tcW w:w="112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1994</w:t>
            </w:r>
          </w:p>
        </w:tc>
        <w:tc>
          <w:tcPr>
            <w:tcW w:w="42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1994</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Net earnings . . . . . . . . . . . .</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6,799</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4,477</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15,101</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2,582</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080" w:type="dxa"/>
            <w:vAlign w:val="bottom"/>
          </w:tcPr>
          <w:p>
            <w:pPr>
              <w:ind w:left="520"/>
              <w:spacing w:after="0"/>
              <w:rPr>
                <w:sz w:val="20"/>
                <w:szCs w:val="20"/>
                <w:color w:val="auto"/>
              </w:rPr>
            </w:pPr>
            <w:r>
              <w:rPr>
                <w:rFonts w:ascii="Courier New" w:cs="Courier New" w:eastAsia="Courier New" w:hAnsi="Courier New"/>
                <w:sz w:val="17"/>
                <w:szCs w:val="17"/>
                <w:color w:val="auto"/>
              </w:rPr>
              <w:t>Shares of common stock and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620"/>
              <w:spacing w:after="0"/>
              <w:rPr>
                <w:sz w:val="20"/>
                <w:szCs w:val="20"/>
                <w:color w:val="auto"/>
              </w:rPr>
            </w:pPr>
            <w:r>
              <w:rPr>
                <w:rFonts w:ascii="Courier New" w:cs="Courier New" w:eastAsia="Courier New" w:hAnsi="Courier New"/>
                <w:sz w:val="17"/>
                <w:szCs w:val="17"/>
                <w:color w:val="auto"/>
              </w:rPr>
              <w:t>common stock equivalents: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720"/>
              <w:spacing w:after="0"/>
              <w:rPr>
                <w:sz w:val="20"/>
                <w:szCs w:val="20"/>
                <w:color w:val="auto"/>
              </w:rPr>
            </w:pPr>
            <w:r>
              <w:rPr>
                <w:rFonts w:ascii="Courier New" w:cs="Courier New" w:eastAsia="Courier New" w:hAnsi="Courier New"/>
                <w:sz w:val="17"/>
                <w:szCs w:val="17"/>
                <w:color w:val="auto"/>
              </w:rPr>
              <w:t>Weighted average</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number of common</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shares outstanding . . . . .</w:t>
            </w: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12,748,891</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12,414,115</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12,670,796</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12,368,710</w:t>
            </w:r>
          </w:p>
        </w:tc>
      </w:tr>
      <w:tr>
        <w:trPr>
          <w:trHeight w:val="198"/>
        </w:trPr>
        <w:tc>
          <w:tcPr>
            <w:tcW w:w="4080" w:type="dxa"/>
            <w:vAlign w:val="bottom"/>
          </w:tcPr>
          <w:p>
            <w:pPr>
              <w:ind w:left="720"/>
              <w:spacing w:after="0"/>
              <w:rPr>
                <w:sz w:val="20"/>
                <w:szCs w:val="20"/>
                <w:color w:val="auto"/>
              </w:rPr>
            </w:pPr>
            <w:r>
              <w:rPr>
                <w:rFonts w:ascii="Courier New" w:cs="Courier New" w:eastAsia="Courier New" w:hAnsi="Courier New"/>
                <w:sz w:val="17"/>
                <w:szCs w:val="17"/>
                <w:color w:val="auto"/>
              </w:rPr>
              <w:t>Dilutive effect of outstanding</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stock options (1). . . . . .</w:t>
            </w:r>
          </w:p>
        </w:tc>
        <w:tc>
          <w:tcPr>
            <w:tcW w:w="3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505,812</w:t>
            </w:r>
          </w:p>
        </w:tc>
        <w:tc>
          <w:tcPr>
            <w:tcW w:w="4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551,840</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481,057</w:t>
            </w:r>
          </w:p>
        </w:tc>
        <w:tc>
          <w:tcPr>
            <w:tcW w:w="4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539,633</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13,254,703</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12,965,955</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13,151,853</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12,908,343</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ind w:left="720"/>
              <w:spacing w:after="0"/>
              <w:rPr>
                <w:sz w:val="20"/>
                <w:szCs w:val="20"/>
                <w:color w:val="auto"/>
              </w:rPr>
            </w:pPr>
            <w:r>
              <w:rPr>
                <w:rFonts w:ascii="Courier New" w:cs="Courier New" w:eastAsia="Courier New" w:hAnsi="Courier New"/>
                <w:sz w:val="17"/>
                <w:szCs w:val="17"/>
                <w:color w:val="auto"/>
              </w:rPr>
              <w:t>Net earnings per share of</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common stock and common</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stock equivalent . . . . . .</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0.51</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0.35</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1.15</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0.20</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080" w:type="dxa"/>
            <w:vAlign w:val="bottom"/>
          </w:tcPr>
          <w:p>
            <w:pPr>
              <w:ind w:left="620"/>
              <w:spacing w:after="0"/>
              <w:rPr>
                <w:sz w:val="20"/>
                <w:szCs w:val="20"/>
                <w:color w:val="auto"/>
              </w:rPr>
            </w:pPr>
            <w:r>
              <w:rPr>
                <w:rFonts w:ascii="Courier New" w:cs="Courier New" w:eastAsia="Courier New" w:hAnsi="Courier New"/>
                <w:sz w:val="17"/>
                <w:szCs w:val="17"/>
                <w:color w:val="auto"/>
              </w:rPr>
              <w:t>Shares of common stock and common</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620"/>
              <w:spacing w:after="0"/>
              <w:rPr>
                <w:sz w:val="20"/>
                <w:szCs w:val="20"/>
                <w:color w:val="auto"/>
              </w:rPr>
            </w:pPr>
            <w:r>
              <w:rPr>
                <w:rFonts w:ascii="Courier New" w:cs="Courier New" w:eastAsia="Courier New" w:hAnsi="Courier New"/>
                <w:sz w:val="17"/>
                <w:szCs w:val="17"/>
                <w:color w:val="auto"/>
              </w:rPr>
              <w:t>stock equivalents: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Weighted average number</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ind w:left="940"/>
              <w:spacing w:after="0"/>
              <w:rPr>
                <w:sz w:val="20"/>
                <w:szCs w:val="20"/>
                <w:color w:val="auto"/>
              </w:rPr>
            </w:pPr>
            <w:r>
              <w:rPr>
                <w:rFonts w:ascii="Courier New" w:cs="Courier New" w:eastAsia="Courier New" w:hAnsi="Courier New"/>
                <w:sz w:val="17"/>
                <w:szCs w:val="17"/>
                <w:color w:val="auto"/>
              </w:rPr>
              <w:t>of common shares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outstanding . . . . . . . .</w:t>
            </w: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12,748,891</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12,414,115</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12,670,796</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12,368,710</w:t>
            </w:r>
          </w:p>
        </w:tc>
      </w:tr>
      <w:tr>
        <w:trPr>
          <w:trHeight w:val="198"/>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Dilutive effect of outstanding</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stock options (2) . . . . .</w:t>
            </w:r>
          </w:p>
        </w:tc>
        <w:tc>
          <w:tcPr>
            <w:tcW w:w="3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519,207</w:t>
            </w:r>
          </w:p>
        </w:tc>
        <w:tc>
          <w:tcPr>
            <w:tcW w:w="4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565,762</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542,683</w:t>
            </w:r>
          </w:p>
        </w:tc>
        <w:tc>
          <w:tcPr>
            <w:tcW w:w="4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585,798</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13,268,098</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12,979,877</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13,213,479</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12,954,508</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ind w:left="820"/>
              <w:spacing w:after="0"/>
              <w:rPr>
                <w:sz w:val="20"/>
                <w:szCs w:val="20"/>
                <w:color w:val="auto"/>
              </w:rPr>
            </w:pPr>
            <w:r>
              <w:rPr>
                <w:rFonts w:ascii="Courier New" w:cs="Courier New" w:eastAsia="Courier New" w:hAnsi="Courier New"/>
                <w:sz w:val="17"/>
                <w:szCs w:val="17"/>
                <w:color w:val="auto"/>
              </w:rPr>
              <w:t>Net earnings per share of</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080" w:type="dxa"/>
            <w:vAlign w:val="bottom"/>
          </w:tcPr>
          <w:p>
            <w:pPr>
              <w:ind w:left="1040"/>
              <w:spacing w:after="0"/>
              <w:rPr>
                <w:sz w:val="20"/>
                <w:szCs w:val="20"/>
                <w:color w:val="auto"/>
              </w:rPr>
            </w:pPr>
            <w:r>
              <w:rPr>
                <w:rFonts w:ascii="Courier New" w:cs="Courier New" w:eastAsia="Courier New" w:hAnsi="Courier New"/>
                <w:sz w:val="17"/>
                <w:szCs w:val="17"/>
                <w:color w:val="auto"/>
              </w:rPr>
              <w:t>common stock and common</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0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stock equivalent . . . . .</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0.51</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0.35</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1.14</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0.20</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17"/>
                <w:szCs w:val="17"/>
                <w:color w:val="auto"/>
              </w:rPr>
            </w:pPr>
          </w:p>
        </w:tc>
        <w:tc>
          <w:tcPr>
            <w:tcW w:w="13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left="320" w:right="2079" w:hanging="314"/>
        <w:spacing w:after="0" w:line="246" w:lineRule="auto"/>
        <w:tabs>
          <w:tab w:leader="none" w:pos="3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stock options and options exercised in the current period are converted to common stock equivalents by the treasury stock method using the average market price of the company's stock during each period.</w:t>
      </w:r>
    </w:p>
    <w:p>
      <w:pPr>
        <w:spacing w:after="0" w:line="199" w:lineRule="exact"/>
        <w:rPr>
          <w:rFonts w:ascii="Courier New" w:cs="Courier New" w:eastAsia="Courier New" w:hAnsi="Courier New"/>
          <w:sz w:val="17"/>
          <w:szCs w:val="17"/>
          <w:color w:val="auto"/>
        </w:rPr>
      </w:pPr>
    </w:p>
    <w:p>
      <w:pPr>
        <w:ind w:left="320" w:right="2079" w:hanging="314"/>
        <w:spacing w:after="0" w:line="246" w:lineRule="auto"/>
        <w:tabs>
          <w:tab w:leader="none" w:pos="3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38"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both"/>
        <w:ind w:left="40" w:right="2679"/>
        <w:spacing w:after="0" w:line="246" w:lineRule="auto"/>
        <w:rPr>
          <w:sz w:val="20"/>
          <w:szCs w:val="20"/>
          <w:color w:val="auto"/>
        </w:rPr>
      </w:pPr>
      <w:r>
        <w:rPr>
          <w:rFonts w:ascii="Courier New" w:cs="Courier New" w:eastAsia="Courier New" w:hAnsi="Courier New"/>
          <w:sz w:val="17"/>
          <w:szCs w:val="17"/>
          <w:color w:val="auto"/>
        </w:rPr>
        <w:t>This schedule contains year-to-date information extracted from the 10-Q, second quarter filing, Condensed Consolidated Statement of Operations and Retained Earnings, Condensed Consolidated Balance Sheet and Exhibit 11.</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6-MOS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JUL-31-1994</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AUG-01-1994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FEB-03-1995</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9,198</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221,924</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165,053</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427,391</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196,816</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133,752</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509,605</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254,013</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81,439</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12,771</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172,187</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509,605</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419,654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419,654</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267,521</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126,295</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(4,405)</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5,075</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25,168</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10,067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15,101</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15,101</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1.15</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1.14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net receivables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included in quarterly financial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Does not include additional paid-in-capital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net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2019-12-13T13:58:25Z</dcterms:created>
  <dcterms:modified xsi:type="dcterms:W3CDTF">2019-12-13T13:58:25Z</dcterms:modified>
</cp:coreProperties>
</file>