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629285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534670</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23, 2017</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354" w:right="359" w:bottom="1440" w:gutter="0" w:footer="0" w:header="0"/>
        </w:sectPr>
      </w:pPr>
    </w:p>
    <w:p>
      <w:pPr>
        <w:spacing w:after="0" w:line="36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58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90" w:lineRule="exact"/>
        <w:rPr>
          <w:sz w:val="24"/>
          <w:szCs w:val="24"/>
          <w:color w:val="auto"/>
        </w:rPr>
      </w:pPr>
    </w:p>
    <w:p>
      <w:pPr>
        <w:sectPr>
          <w:pgSz w:w="11900" w:h="16838" w:orient="portrait"/>
          <w:cols w:equalWidth="0" w:num="3">
            <w:col w:w="4700" w:space="720"/>
            <w:col w:w="3080" w:space="720"/>
            <w:col w:w="2080"/>
          </w:cols>
          <w:pgMar w:left="240" w:top="1354" w:right="35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780" w:space="720"/>
            <w:col w:w="3120"/>
          </w:cols>
          <w:pgMar w:left="240" w:top="1354" w:right="359" w:bottom="1440" w:gutter="0" w:footer="0" w:header="0"/>
          <w:type w:val="continuous"/>
        </w:sectPr>
      </w:pPr>
    </w:p>
    <w:p>
      <w:pPr>
        <w:spacing w:after="0" w:line="233" w:lineRule="exact"/>
        <w:rPr>
          <w:sz w:val="24"/>
          <w:szCs w:val="24"/>
          <w:color w:val="auto"/>
        </w:rPr>
      </w:pPr>
    </w:p>
    <w:p>
      <w:pPr>
        <w:ind w:left="1700"/>
        <w:spacing w:after="0"/>
        <w:rPr>
          <w:sz w:val="20"/>
          <w:szCs w:val="20"/>
          <w:color w:val="auto"/>
        </w:rPr>
      </w:pPr>
      <w:r>
        <w:rPr>
          <w:rFonts w:ascii="Arial" w:cs="Arial" w:eastAsia="Arial" w:hAnsi="Arial"/>
          <w:sz w:val="15"/>
          <w:szCs w:val="15"/>
          <w:b w:val="1"/>
          <w:bCs w:val="1"/>
          <w:color w:val="auto"/>
        </w:rPr>
        <w:t>8111 Lyndale Avenue South</w:t>
      </w:r>
    </w:p>
    <w:p>
      <w:pPr>
        <w:sectPr>
          <w:pgSz w:w="11900" w:h="16838" w:orient="portrait"/>
          <w:cols w:equalWidth="0" w:num="1">
            <w:col w:w="11300"/>
          </w:cols>
          <w:pgMar w:left="240" w:top="1354" w:right="359" w:bottom="1440" w:gutter="0" w:footer="0" w:header="0"/>
          <w:type w:val="continuous"/>
        </w:sectPr>
      </w:pPr>
    </w:p>
    <w:p>
      <w:pPr>
        <w:spacing w:after="0" w:line="98"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Bloomington, Minnesota</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55420</w:t>
      </w:r>
    </w:p>
    <w:p>
      <w:pPr>
        <w:spacing w:after="0" w:line="90" w:lineRule="exact"/>
        <w:rPr>
          <w:sz w:val="24"/>
          <w:szCs w:val="24"/>
          <w:color w:val="auto"/>
        </w:rPr>
      </w:pPr>
    </w:p>
    <w:p>
      <w:pPr>
        <w:sectPr>
          <w:pgSz w:w="11900" w:h="16838" w:orient="portrait"/>
          <w:cols w:equalWidth="0" w:num="2">
            <w:col w:w="7740" w:space="720"/>
            <w:col w:w="2840"/>
          </w:cols>
          <w:pgMar w:left="240" w:top="1354" w:right="3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020"/>
          </w:cols>
          <w:pgMar w:left="240" w:top="1354" w:right="359" w:bottom="1440" w:gutter="0" w:footer="0" w:header="0"/>
          <w:type w:val="continuous"/>
        </w:sectPr>
      </w:pPr>
    </w:p>
    <w:p>
      <w:pPr>
        <w:spacing w:after="0" w:line="7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212090</wp:posOffset>
            </wp:positionV>
            <wp:extent cx="72123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126365</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00"/>
          </w:cols>
          <w:pgMar w:left="240" w:top="135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23, 2017, The Toro Company announced its earnings for the three months ended February 3, 2017.</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0" w:lineRule="exact"/>
        <w:rPr>
          <w:sz w:val="20"/>
          <w:szCs w:val="20"/>
          <w:color w:val="auto"/>
        </w:rPr>
      </w:pPr>
    </w:p>
    <w:p>
      <w:pPr>
        <w:ind w:left="1340" w:hanging="522"/>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580" w:type="dxa"/>
            <w:vAlign w:val="bottom"/>
          </w:tcPr>
          <w:p>
            <w:pPr>
              <w:jc w:val="right"/>
              <w:ind w:right="4356"/>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1"/>
                <w:szCs w:val="21"/>
                <w:color w:val="auto"/>
              </w:rPr>
            </w:pPr>
          </w:p>
        </w:tc>
        <w:tc>
          <w:tcPr>
            <w:tcW w:w="9580" w:type="dxa"/>
            <w:vAlign w:val="bottom"/>
            <w:tcBorders>
              <w:top w:val="single" w:sz="8" w:color="auto"/>
            </w:tcBorders>
          </w:tcPr>
          <w:p>
            <w:pPr>
              <w:jc w:val="right"/>
              <w:ind w:right="5176"/>
              <w:spacing w:after="0"/>
              <w:rPr>
                <w:sz w:val="20"/>
                <w:szCs w:val="20"/>
                <w:color w:val="auto"/>
              </w:rPr>
            </w:pPr>
            <w:r>
              <w:rPr>
                <w:rFonts w:ascii="Arial" w:cs="Arial" w:eastAsia="Arial" w:hAnsi="Arial"/>
                <w:sz w:val="18"/>
                <w:szCs w:val="18"/>
                <w:color w:val="auto"/>
                <w:w w:val="89"/>
              </w:rPr>
              <w:t>Press release dated February 23, 2017 (furnished herewith).</w:t>
            </w:r>
          </w:p>
        </w:tc>
      </w:tr>
      <w:tr>
        <w:trPr>
          <w:trHeight w:val="702"/>
        </w:trPr>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580" w:type="dxa"/>
            <w:vAlign w:val="bottom"/>
          </w:tcPr>
          <w:p>
            <w:pPr>
              <w:jc w:val="right"/>
              <w:ind w:right="5576"/>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THE TORO COMPANY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February 23,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Vice President, Treasurer and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0" w:type="dxa"/>
            <w:vAlign w:val="bottom"/>
          </w:tcPr>
          <w:p>
            <w:pPr>
              <w:jc w:val="center"/>
              <w:ind w:right="2314"/>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NUMBER</w:t>
            </w:r>
          </w:p>
        </w:tc>
        <w:tc>
          <w:tcPr>
            <w:tcW w:w="9000" w:type="dxa"/>
            <w:vAlign w:val="bottom"/>
          </w:tcPr>
          <w:p>
            <w:pPr>
              <w:ind w:left="400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2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1"/>
                <w:szCs w:val="21"/>
                <w:color w:val="auto"/>
              </w:rPr>
            </w:pPr>
          </w:p>
        </w:tc>
        <w:tc>
          <w:tcPr>
            <w:tcW w:w="9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dated February 23, 2017 (furnished herewith).</w:t>
            </w:r>
          </w:p>
        </w:tc>
      </w:tr>
      <w:tr>
        <w:trPr>
          <w:trHeight w:val="702"/>
        </w:trPr>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0" w:type="dxa"/>
            <w:vAlign w:val="bottom"/>
          </w:tcPr>
          <w:p>
            <w:pPr>
              <w:jc w:val="right"/>
              <w:ind w:right="5574"/>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5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995045"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Reports Record First Quarter Results</w:t>
      </w:r>
    </w:p>
    <w:p>
      <w:pPr>
        <w:spacing w:after="0" w:line="20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First quarter sales increase 6.1 percent to a record $515.8 million</w:t>
      </w:r>
    </w:p>
    <w:p>
      <w:pPr>
        <w:ind w:left="340" w:hanging="332"/>
        <w:spacing w:after="0"/>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earnings for the first quarter up 14.6 percent to a record $0.41 per share</w:t>
      </w:r>
    </w:p>
    <w:p>
      <w:pPr>
        <w:ind w:left="340" w:hanging="332"/>
        <w:spacing w:after="0"/>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Positive results driven by solid performance across the professional businesses</w:t>
      </w:r>
    </w:p>
    <w:p>
      <w:pPr>
        <w:spacing w:after="0" w:line="18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BLOOMINGTON, Minn. (February 23, 2017) - The Toro Company (NYSE: TTC) today reported net earnings of $45.0 million, or $0.41 per share, on a net sales increase of 6.1 percent to $515.8 million for its first quarter ended February 3, 2017. In the comparable fiscal 2016 period, the company delivered net earnings of $39.3 million, or $0.35 per share, on net sales of $486.4 million.</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company is off to a solid start for the year with record results for the first quarter,” said Richard M. Olson, Toro’s president and chief executive officer. “Growth in the professional segment was a key driver with new product offerings in multiple areas. The landscape contractor businesses experienced strong demand for the new lines of professional zero-turn mowers. Also contributing to the momentum were strong sales in our golf, BOSS® snow and ice management and specialty construction businesses.”</w:t>
      </w:r>
    </w:p>
    <w:p>
      <w:pPr>
        <w:spacing w:after="0" w:line="19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continue to focus on delivering new products with customer-valued innovation. The new TITAN® HD and Exmark® Radius® mowers have been well-received by landscape professionals and acreage owners. Demand remains strong for the new BOSS® EXT extendable plows and the lighter HTX plows for half-ton trucks as well as V-Box spreaders. In our micro-irrigation business, we are pleased by the success of our Aqua-Traxx® tape products with flow control. Finally, at the recent Golf Industry and Sports Turf Manager Shows, excitement continues for the GTX utility vehicle line that combines tremendous versatility with uncompromising ride quality.”</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“Another important element in our strong results for the quarter was the team’s focus on productivity and management of inventory and expenses, all of which helped us make good progress on our Destination Prime initiative. As the year progresses we will maintain an emphasis on these efforts. As always, we will remain committed to delivering innovative solutions to the industries we serve, while being mindful of the impacts that unfavorable weather or market conditions could present. We are well positioned to maintain flexibility in our operations while successfully serving our customers and generating profitable growth.”</w:t>
      </w: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continues to expect revenue growth for fiscal 2017 to be about 3 to 4 percent, and now expects net earnings per share to be about $2.25 to $2.30 for the year. For the second quarter, the company expects net earnings to be about $1.00 per share.</w:t>
      </w:r>
    </w:p>
    <w:p>
      <w:pPr>
        <w:sectPr>
          <w:pgSz w:w="11900" w:h="16838" w:orient="portrait"/>
          <w:cols w:equalWidth="0" w:num="1">
            <w:col w:w="11420"/>
          </w:cols>
          <w:pgMar w:left="240" w:top="801" w:right="2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color w:val="auto"/>
        </w:rPr>
        <w:t>2 - The Toro Company Reports Record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4" w:lineRule="exact"/>
        <w:rPr>
          <w:sz w:val="20"/>
          <w:szCs w:val="20"/>
          <w:color w:val="auto"/>
        </w:rPr>
      </w:pPr>
    </w:p>
    <w:p>
      <w:pPr>
        <w:jc w:val="both"/>
        <w:ind w:left="340" w:hanging="332"/>
        <w:spacing w:after="0" w:line="241"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net sales for the first quarter were $371.8 million, up 9.7 percent from $338.8 million last year. Strong performance across our professional businesses drove the positive results for the quarter. New product introductions such as the Toro-branded TITAN® HD and the Exmark-branded Radius® zero-turn riding mowers have been well received by customers, which generated positive momentum for the quarter. Similarly, our BOSS® snow and ice management business also saw the benefits of new products paired with favorable snowfall across much of the Midwest.</w:t>
      </w:r>
    </w:p>
    <w:p>
      <w:pPr>
        <w:spacing w:after="0" w:line="209" w:lineRule="exact"/>
        <w:rPr>
          <w:rFonts w:ascii="Arial" w:cs="Arial" w:eastAsia="Arial" w:hAnsi="Arial"/>
          <w:sz w:val="20"/>
          <w:szCs w:val="20"/>
          <w:color w:val="auto"/>
        </w:rPr>
      </w:pPr>
    </w:p>
    <w:p>
      <w:pPr>
        <w:ind w:left="340" w:hanging="332"/>
        <w:spacing w:after="0" w:line="24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Professional segment earnings for the first quarter were $68.2 million, up 10.7 percent from $61.6 million in the same period last year.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24" w:lineRule="exact"/>
        <w:rPr>
          <w:sz w:val="20"/>
          <w:szCs w:val="20"/>
          <w:color w:val="auto"/>
        </w:rPr>
      </w:pPr>
    </w:p>
    <w:p>
      <w:pPr>
        <w:jc w:val="both"/>
        <w:ind w:left="340" w:hanging="332"/>
        <w:spacing w:after="0" w:line="24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20"/>
          <w:szCs w:val="20"/>
          <w:color w:val="auto"/>
        </w:rPr>
        <w:t>Residential segment net sales for the first quarter were $140.4 million, down 2.7 percent from $144.3 million last year. Retail demand for our line of snowthrowers, including the new SnowMaster®, was positive in North America. Sales of walk power mowers were also favorable in southern climates. As expected, the results were impacted by a shift in demand for zero turn riding mowers experienced in the comparable period last year. This prior shift was not repeated in the current quarter due to improved product availability and a return to more normalized shipment timing.</w:t>
      </w:r>
    </w:p>
    <w:p>
      <w:pPr>
        <w:spacing w:after="0" w:line="209" w:lineRule="exact"/>
        <w:rPr>
          <w:rFonts w:ascii="Arial" w:cs="Arial" w:eastAsia="Arial" w:hAnsi="Arial"/>
          <w:sz w:val="18"/>
          <w:szCs w:val="18"/>
          <w:color w:val="auto"/>
        </w:rPr>
      </w:pPr>
    </w:p>
    <w:p>
      <w:pPr>
        <w:ind w:left="340" w:hanging="332"/>
        <w:spacing w:after="0" w:line="24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20"/>
          <w:szCs w:val="20"/>
          <w:color w:val="auto"/>
        </w:rPr>
        <w:t>Residential segment earnings for the first quarter were $16.6 million, down slightly from $16.7 million in the comparable period last year.</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Gross margin as a percent of sales for the first quarter was 37.5 percent, a decrease of 10 basis points compared to last year. Unfavorable currency exchange rates and increased commodity costs largely contributed to the decline, partially offset by productivity improvements.</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Selling, general and administrative (SG&amp;A) expense as a percent of sales for the first quarter was 25.8 percent, a decrease of 70 basis points from the same period last year. The decrease was primarily due to the leveraging of expenses over higher sales volume.</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First quarter operating earnings as a percent of sales were 11.7 percent, an improvement of 60 basis points compared to 11.1 percent in the same period last year.</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effective tax rate for the first quarter was 24.5 percent, compared to 26.9 percent last year. This rate reflects a discrete tax benefit of approximately $4.9 million related to share based compensation due to early adoption of a new accounting standard. The company now expects its full year effective tax rate to be about 28.5 percent.</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Accounts receivable at the end of the first quarter were $183.9 million, down 3.4 percent from last year. Net inventories were $402.1 million, down 4.7 percent from last year. Trade payables were $232.4 million, up 10.0 percent from the comparable period last year.</w:t>
      </w:r>
    </w:p>
    <w:p>
      <w:pPr>
        <w:sectPr>
          <w:pgSz w:w="11900" w:h="16838" w:orient="portrait"/>
          <w:cols w:equalWidth="0" w:num="1">
            <w:col w:w="11420"/>
          </w:cols>
          <w:pgMar w:left="240" w:top="976" w:right="23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color w:val="auto"/>
        </w:rPr>
        <w:t>3 - The Toro Company Reports Record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snow and ground engaging equipment and irrigation and outdoor lighting solutions. With sales of $2.4 billion in fiscal 2016,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t>
      </w:r>
      <w:r>
        <w:rPr>
          <w:rFonts w:ascii="Arial" w:cs="Arial" w:eastAsia="Arial" w:hAnsi="Arial"/>
          <w:sz w:val="20"/>
          <w:szCs w:val="20"/>
          <w:u w:val="single" w:color="auto"/>
          <w:color w:val="auto"/>
        </w:rPr>
        <w:t>www.thetorocompany.com.</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23, 2017 at 10:00 a.m. CST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i w:val="1"/>
          <w:iCs w:val="1"/>
          <w:color w:val="auto"/>
        </w:rPr>
        <w:t xml:space="preserve">The Toro Company will conduct its earnings call and webcast for investors beginning at 10:00 a.m. CST on February 23, 2017. The webcast will be available at </w:t>
      </w:r>
      <w:r>
        <w:rPr>
          <w:rFonts w:ascii="Arial" w:cs="Arial" w:eastAsia="Arial" w:hAnsi="Arial"/>
          <w:sz w:val="20"/>
          <w:szCs w:val="20"/>
          <w:i w:val="1"/>
          <w:iCs w:val="1"/>
          <w:u w:val="single" w:color="auto"/>
          <w:color w:val="auto"/>
        </w:rPr>
        <w:t>www.streetevents.com</w:t>
      </w:r>
      <w:r>
        <w:rPr>
          <w:rFonts w:ascii="Arial" w:cs="Arial" w:eastAsia="Arial" w:hAnsi="Arial"/>
          <w:sz w:val="20"/>
          <w:szCs w:val="20"/>
          <w:i w:val="1"/>
          <w:iCs w:val="1"/>
          <w:color w:val="auto"/>
        </w:rPr>
        <w:t xml:space="preserve"> or at </w:t>
      </w:r>
      <w:r>
        <w:rPr>
          <w:rFonts w:ascii="Arial" w:cs="Arial" w:eastAsia="Arial" w:hAnsi="Arial"/>
          <w:sz w:val="20"/>
          <w:szCs w:val="20"/>
          <w:i w:val="1"/>
          <w:iCs w:val="1"/>
          <w:u w:val="single" w:color="auto"/>
          <w:color w:val="auto"/>
        </w:rPr>
        <w:t>www.thetorocompany.com/invest</w:t>
      </w:r>
      <w:r>
        <w:rPr>
          <w:rFonts w:ascii="Arial" w:cs="Arial" w:eastAsia="Arial" w:hAnsi="Arial"/>
          <w:sz w:val="20"/>
          <w:szCs w:val="20"/>
          <w:i w:val="1"/>
          <w:iCs w:val="1"/>
          <w:color w:val="auto"/>
        </w:rPr>
        <w:t>. Webcast participants will need to complete a brief registration form and should allocate extra time before the webcast begins to register and, if necessary, download and install audio software.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relations, operations and markets, including political, economic and/or social instability and conflict, tax and trade policies in the U.S. and other countries in which we manufacture or sell our products, and implications of the United Kingdom’s process for exiting the European Union; foreign currency exchange rate fluctuations; our relationships with our distribution channel partners, including the financial viability of our distributors and dealers; risks associated with acquisitions; management of our alliances or joint ventures, including Red Iron Acceptance, LLC; the costs and effects of enactment of, changes in and compliance with laws, regulations and standards, including those relating to consumer product safety, conflict mineral disclosure,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420"/>
          </w:cols>
          <w:pgMar w:left="240" w:top="976" w:right="23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color w:val="auto"/>
        </w:rPr>
        <w:t>4 - The Toro Company Reports Record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Earnings (Unaudited)</w:t>
      </w: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162" w:lineRule="exact"/>
        <w:rPr>
          <w:sz w:val="20"/>
          <w:szCs w:val="20"/>
          <w:color w:val="auto"/>
        </w:rPr>
      </w:pPr>
    </w:p>
    <w:p>
      <w:pPr>
        <w:ind w:left="93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February 3,</w:t>
            </w:r>
          </w:p>
        </w:tc>
        <w:tc>
          <w:tcPr>
            <w:tcW w:w="22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January 29,</w:t>
            </w:r>
          </w:p>
        </w:tc>
      </w:tr>
      <w:tr>
        <w:trPr>
          <w:trHeight w:val="210"/>
        </w:trPr>
        <w:tc>
          <w:tcPr>
            <w:tcW w:w="6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r>
      <w:tr>
        <w:trPr>
          <w:trHeight w:val="33"/>
        </w:trPr>
        <w:tc>
          <w:tcPr>
            <w:tcW w:w="6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515,839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486,398</w:t>
            </w:r>
          </w:p>
        </w:tc>
      </w:tr>
      <w:tr>
        <w:trPr>
          <w:trHeight w:val="237"/>
        </w:trPr>
        <w:tc>
          <w:tcPr>
            <w:tcW w:w="690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198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193,480</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182,654</w:t>
            </w:r>
          </w:p>
        </w:tc>
      </w:tr>
      <w:tr>
        <w:trPr>
          <w:trHeight w:val="33"/>
        </w:trPr>
        <w:tc>
          <w:tcPr>
            <w:tcW w:w="6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 percent</w:t>
            </w:r>
          </w:p>
        </w:tc>
        <w:tc>
          <w:tcPr>
            <w:tcW w:w="1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37"/>
        </w:trPr>
        <w:tc>
          <w:tcPr>
            <w:tcW w:w="690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w:t>
            </w:r>
          </w:p>
        </w:tc>
        <w:tc>
          <w:tcPr>
            <w:tcW w:w="198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132,910</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128,815</w:t>
            </w:r>
          </w:p>
        </w:tc>
      </w:tr>
      <w:tr>
        <w:trPr>
          <w:trHeight w:val="33"/>
        </w:trPr>
        <w:tc>
          <w:tcPr>
            <w:tcW w:w="6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earnings</w:t>
            </w:r>
          </w:p>
        </w:tc>
        <w:tc>
          <w:tcPr>
            <w:tcW w:w="1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60,570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53,839</w:t>
            </w:r>
          </w:p>
        </w:tc>
      </w:tr>
      <w:tr>
        <w:trPr>
          <w:trHeight w:val="237"/>
        </w:trPr>
        <w:tc>
          <w:tcPr>
            <w:tcW w:w="69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9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(4,883)</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(4,654)</w:t>
            </w:r>
          </w:p>
        </w:tc>
      </w:tr>
      <w:tr>
        <w:trPr>
          <w:trHeight w:val="33"/>
        </w:trPr>
        <w:tc>
          <w:tcPr>
            <w:tcW w:w="6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9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3,866</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4,512</w:t>
            </w:r>
          </w:p>
        </w:tc>
      </w:tr>
      <w:tr>
        <w:trPr>
          <w:trHeight w:val="231"/>
        </w:trPr>
        <w:tc>
          <w:tcPr>
            <w:tcW w:w="690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Earnings before income taxes</w:t>
            </w:r>
          </w:p>
        </w:tc>
        <w:tc>
          <w:tcPr>
            <w:tcW w:w="19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59,553</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53,697</w:t>
            </w:r>
          </w:p>
        </w:tc>
      </w:tr>
      <w:tr>
        <w:trPr>
          <w:trHeight w:val="33"/>
        </w:trPr>
        <w:tc>
          <w:tcPr>
            <w:tcW w:w="6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r>
              <w:rPr>
                <w:rFonts w:ascii="Arial" w:cs="Arial" w:eastAsia="Arial" w:hAnsi="Arial"/>
                <w:sz w:val="21"/>
                <w:szCs w:val="21"/>
                <w:color w:val="auto"/>
                <w:vertAlign w:val="superscript"/>
              </w:rPr>
              <w:t>(1)</w:t>
            </w:r>
          </w:p>
        </w:tc>
        <w:tc>
          <w:tcPr>
            <w:tcW w:w="19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14,563</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14,436</w:t>
            </w:r>
          </w:p>
        </w:tc>
      </w:tr>
      <w:tr>
        <w:trPr>
          <w:trHeight w:val="231"/>
        </w:trPr>
        <w:tc>
          <w:tcPr>
            <w:tcW w:w="690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44,990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39,261</w:t>
            </w:r>
          </w:p>
        </w:tc>
      </w:tr>
      <w:tr>
        <w:trPr>
          <w:trHeight w:val="73"/>
        </w:trPr>
        <w:tc>
          <w:tcPr>
            <w:tcW w:w="690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78"/>
        </w:trPr>
        <w:tc>
          <w:tcPr>
            <w:tcW w:w="690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31"/>
        </w:trPr>
        <w:tc>
          <w:tcPr>
            <w:tcW w:w="6900" w:type="dxa"/>
            <w:vAlign w:val="bottom"/>
          </w:tcPr>
          <w:p>
            <w:pPr>
              <w:ind w:left="40"/>
              <w:spacing w:after="0"/>
              <w:rPr>
                <w:sz w:val="20"/>
                <w:szCs w:val="20"/>
                <w:color w:val="auto"/>
              </w:rPr>
            </w:pPr>
            <w:r>
              <w:rPr>
                <w:rFonts w:ascii="Arial" w:cs="Arial" w:eastAsia="Arial" w:hAnsi="Arial"/>
                <w:sz w:val="16"/>
                <w:szCs w:val="16"/>
                <w:color w:val="auto"/>
              </w:rPr>
              <w:t>Basic net earnings per share of common stock</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0.41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0.36</w:t>
            </w:r>
          </w:p>
        </w:tc>
      </w:tr>
      <w:tr>
        <w:trPr>
          <w:trHeight w:val="33"/>
        </w:trPr>
        <w:tc>
          <w:tcPr>
            <w:tcW w:w="6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90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31"/>
        </w:trPr>
        <w:tc>
          <w:tcPr>
            <w:tcW w:w="6900" w:type="dxa"/>
            <w:vAlign w:val="bottom"/>
          </w:tcPr>
          <w:p>
            <w:pPr>
              <w:ind w:left="40"/>
              <w:spacing w:after="0"/>
              <w:rPr>
                <w:sz w:val="20"/>
                <w:szCs w:val="20"/>
                <w:color w:val="auto"/>
              </w:rPr>
            </w:pPr>
            <w:r>
              <w:rPr>
                <w:rFonts w:ascii="Arial" w:cs="Arial" w:eastAsia="Arial" w:hAnsi="Arial"/>
                <w:sz w:val="16"/>
                <w:szCs w:val="16"/>
                <w:color w:val="auto"/>
              </w:rPr>
              <w:t>Diluted net earnings per share of common stock</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0.41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0.35</w:t>
            </w:r>
          </w:p>
        </w:tc>
      </w:tr>
      <w:tr>
        <w:trPr>
          <w:trHeight w:val="33"/>
        </w:trPr>
        <w:tc>
          <w:tcPr>
            <w:tcW w:w="6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9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6900" w:type="dxa"/>
            <w:vAlign w:val="bottom"/>
          </w:tcPr>
          <w:p>
            <w:pPr>
              <w:ind w:left="40"/>
              <w:spacing w:after="0"/>
              <w:rPr>
                <w:sz w:val="20"/>
                <w:szCs w:val="20"/>
                <w:color w:val="auto"/>
              </w:rPr>
            </w:pPr>
            <w:r>
              <w:rPr>
                <w:rFonts w:ascii="Arial" w:cs="Arial" w:eastAsia="Arial" w:hAnsi="Arial"/>
                <w:sz w:val="16"/>
                <w:szCs w:val="16"/>
                <w:color w:val="auto"/>
              </w:rPr>
              <w:t>Weighted-average number of shares of common stock outstanding — Basic</w:t>
            </w:r>
          </w:p>
        </w:tc>
        <w:tc>
          <w:tcPr>
            <w:tcW w:w="198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108,627</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110,029</w:t>
            </w:r>
          </w:p>
        </w:tc>
      </w:tr>
      <w:tr>
        <w:trPr>
          <w:trHeight w:val="33"/>
        </w:trPr>
        <w:tc>
          <w:tcPr>
            <w:tcW w:w="6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69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6900" w:type="dxa"/>
            <w:vAlign w:val="bottom"/>
          </w:tcPr>
          <w:p>
            <w:pPr>
              <w:ind w:left="40"/>
              <w:spacing w:after="0"/>
              <w:rPr>
                <w:sz w:val="20"/>
                <w:szCs w:val="20"/>
                <w:color w:val="auto"/>
              </w:rPr>
            </w:pPr>
            <w:r>
              <w:rPr>
                <w:rFonts w:ascii="Arial" w:cs="Arial" w:eastAsia="Arial" w:hAnsi="Arial"/>
                <w:sz w:val="16"/>
                <w:szCs w:val="16"/>
                <w:color w:val="auto"/>
              </w:rPr>
              <w:t>Weighted-average number of shares of common stock outstanding — Diluted</w:t>
            </w:r>
          </w:p>
        </w:tc>
        <w:tc>
          <w:tcPr>
            <w:tcW w:w="198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110,774</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112,326</w:t>
            </w:r>
          </w:p>
        </w:tc>
      </w:tr>
      <w:tr>
        <w:trPr>
          <w:trHeight w:val="33"/>
        </w:trPr>
        <w:tc>
          <w:tcPr>
            <w:tcW w:w="6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September 16, 2016.</w:t>
      </w:r>
    </w:p>
    <w:p>
      <w:pPr>
        <w:spacing w:after="0" w:line="163" w:lineRule="exact"/>
        <w:rPr>
          <w:sz w:val="20"/>
          <w:szCs w:val="20"/>
          <w:color w:val="auto"/>
        </w:rPr>
      </w:pPr>
    </w:p>
    <w:p>
      <w:pPr>
        <w:ind w:right="20" w:firstLine="8"/>
        <w:spacing w:after="0" w:line="273" w:lineRule="auto"/>
        <w:tabs>
          <w:tab w:leader="none" w:pos="127" w:val="left"/>
        </w:tabs>
        <w:numPr>
          <w:ilvl w:val="0"/>
          <w:numId w:val="8"/>
        </w:numPr>
        <w:rPr>
          <w:rFonts w:ascii="Arial" w:cs="Arial" w:eastAsia="Arial" w:hAnsi="Arial"/>
          <w:sz w:val="9"/>
          <w:szCs w:val="9"/>
          <w:color w:val="auto"/>
        </w:rPr>
      </w:pPr>
      <w:r>
        <w:rPr>
          <w:rFonts w:ascii="Arial" w:cs="Arial" w:eastAsia="Arial" w:hAnsi="Arial"/>
          <w:sz w:val="14"/>
          <w:szCs w:val="14"/>
          <w:color w:val="auto"/>
        </w:rPr>
        <w:t xml:space="preserve">Provision for income taxes for the three months ended February 3, 2017 reflects discrete tax benefits of $4,868 related to the adoption of Accounting Standards Update (“ASU”) No. 2016-09, </w:t>
      </w:r>
      <w:r>
        <w:rPr>
          <w:rFonts w:ascii="Arial" w:cs="Arial" w:eastAsia="Arial" w:hAnsi="Arial"/>
          <w:sz w:val="14"/>
          <w:szCs w:val="14"/>
          <w:i w:val="1"/>
          <w:iCs w:val="1"/>
          <w:color w:val="auto"/>
        </w:rPr>
        <w:t>Stock-based Compensation: Improvements to Employee Share-based Payment Accounting</w:t>
      </w:r>
      <w:r>
        <w:rPr>
          <w:rFonts w:ascii="Arial" w:cs="Arial" w:eastAsia="Arial" w:hAnsi="Arial"/>
          <w:sz w:val="14"/>
          <w:szCs w:val="14"/>
          <w:color w:val="auto"/>
        </w:rPr>
        <w:t>.</w:t>
      </w:r>
    </w:p>
    <w:p>
      <w:pPr>
        <w:spacing w:after="0" w:line="183" w:lineRule="exact"/>
        <w:rPr>
          <w:sz w:val="20"/>
          <w:szCs w:val="20"/>
          <w:color w:val="auto"/>
        </w:rPr>
      </w:pPr>
    </w:p>
    <w:p>
      <w:pPr>
        <w:ind w:left="4580"/>
        <w:spacing w:after="0"/>
        <w:rPr>
          <w:sz w:val="20"/>
          <w:szCs w:val="20"/>
          <w:color w:val="auto"/>
        </w:rPr>
      </w:pPr>
      <w:r>
        <w:rPr>
          <w:rFonts w:ascii="Arial" w:cs="Arial" w:eastAsia="Arial" w:hAnsi="Arial"/>
          <w:sz w:val="20"/>
          <w:szCs w:val="20"/>
          <w:b w:val="1"/>
          <w:bCs w:val="1"/>
          <w:color w:val="auto"/>
        </w:rPr>
        <w:t>Segment Data (Unaudited)</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(Dollars in thousands)</w:t>
      </w:r>
    </w:p>
    <w:p>
      <w:pPr>
        <w:spacing w:after="0" w:line="162" w:lineRule="exact"/>
        <w:rPr>
          <w:sz w:val="20"/>
          <w:szCs w:val="20"/>
          <w:color w:val="auto"/>
        </w:rPr>
      </w:pPr>
    </w:p>
    <w:p>
      <w:pPr>
        <w:ind w:left="94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February 3,</w:t>
            </w:r>
          </w:p>
        </w:tc>
        <w:tc>
          <w:tcPr>
            <w:tcW w:w="220" w:type="dxa"/>
            <w:vAlign w:val="bottom"/>
          </w:tcPr>
          <w:p>
            <w:pPr>
              <w:spacing w:after="0"/>
              <w:rPr>
                <w:sz w:val="17"/>
                <w:szCs w:val="17"/>
                <w:color w:val="auto"/>
              </w:rPr>
            </w:pPr>
          </w:p>
        </w:tc>
        <w:tc>
          <w:tcPr>
            <w:tcW w:w="110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January 29,</w:t>
            </w:r>
          </w:p>
        </w:tc>
      </w:tr>
      <w:tr>
        <w:trPr>
          <w:trHeight w:val="210"/>
        </w:trPr>
        <w:tc>
          <w:tcPr>
            <w:tcW w:w="6040" w:type="dxa"/>
            <w:vAlign w:val="bottom"/>
          </w:tcPr>
          <w:p>
            <w:pPr>
              <w:ind w:left="40"/>
              <w:spacing w:after="0"/>
              <w:rPr>
                <w:sz w:val="20"/>
                <w:szCs w:val="20"/>
                <w:color w:val="auto"/>
              </w:rPr>
            </w:pPr>
            <w:r>
              <w:rPr>
                <w:rFonts w:ascii="Arial" w:cs="Arial" w:eastAsia="Arial" w:hAnsi="Arial"/>
                <w:sz w:val="16"/>
                <w:szCs w:val="16"/>
                <w:b w:val="1"/>
                <w:bCs w:val="1"/>
                <w:color w:val="auto"/>
              </w:rPr>
              <w:t>Segment Net Sales</w:t>
            </w:r>
          </w:p>
        </w:tc>
        <w:tc>
          <w:tcPr>
            <w:tcW w:w="2920" w:type="dxa"/>
            <w:vAlign w:val="bottom"/>
          </w:tcPr>
          <w:p>
            <w:pPr>
              <w:spacing w:after="0"/>
              <w:rPr>
                <w:sz w:val="18"/>
                <w:szCs w:val="18"/>
                <w:color w:val="auto"/>
              </w:rPr>
            </w:pPr>
          </w:p>
        </w:tc>
        <w:tc>
          <w:tcPr>
            <w:tcW w:w="114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60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ind w:left="40"/>
              <w:spacing w:after="0"/>
              <w:rPr>
                <w:sz w:val="20"/>
                <w:szCs w:val="20"/>
                <w:color w:val="auto"/>
              </w:rPr>
            </w:pPr>
            <w:r>
              <w:rPr>
                <w:rFonts w:ascii="Arial" w:cs="Arial" w:eastAsia="Arial" w:hAnsi="Arial"/>
                <w:sz w:val="16"/>
                <w:szCs w:val="16"/>
                <w:color w:val="auto"/>
              </w:rPr>
              <w:t>Professional</w:t>
            </w:r>
          </w:p>
        </w:tc>
        <w:tc>
          <w:tcPr>
            <w:tcW w:w="29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371,809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338,836</w:t>
            </w:r>
          </w:p>
        </w:tc>
      </w:tr>
      <w:tr>
        <w:trPr>
          <w:trHeight w:val="33"/>
        </w:trPr>
        <w:tc>
          <w:tcPr>
            <w:tcW w:w="60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29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140,390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144,284</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Other</w:t>
            </w:r>
          </w:p>
        </w:tc>
        <w:tc>
          <w:tcPr>
            <w:tcW w:w="292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3,640</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3,278</w:t>
            </w:r>
          </w:p>
        </w:tc>
      </w:tr>
      <w:tr>
        <w:trPr>
          <w:trHeight w:val="33"/>
        </w:trPr>
        <w:tc>
          <w:tcPr>
            <w:tcW w:w="60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515,839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486,398</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*Includes international sales of:</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131,242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127,246</w:t>
            </w:r>
          </w:p>
        </w:tc>
      </w:tr>
      <w:tr>
        <w:trPr>
          <w:trHeight w:val="366"/>
        </w:trPr>
        <w:tc>
          <w:tcPr>
            <w:tcW w:w="604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0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60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February 3,</w:t>
            </w:r>
          </w:p>
        </w:tc>
        <w:tc>
          <w:tcPr>
            <w:tcW w:w="220" w:type="dxa"/>
            <w:vAlign w:val="bottom"/>
          </w:tcPr>
          <w:p>
            <w:pPr>
              <w:spacing w:after="0"/>
              <w:rPr>
                <w:sz w:val="18"/>
                <w:szCs w:val="18"/>
                <w:color w:val="auto"/>
              </w:rPr>
            </w:pPr>
          </w:p>
        </w:tc>
        <w:tc>
          <w:tcPr>
            <w:tcW w:w="110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January 29,</w:t>
            </w:r>
          </w:p>
        </w:tc>
      </w:tr>
      <w:tr>
        <w:trPr>
          <w:trHeight w:val="210"/>
        </w:trPr>
        <w:tc>
          <w:tcPr>
            <w:tcW w:w="6040" w:type="dxa"/>
            <w:vAlign w:val="bottom"/>
          </w:tcPr>
          <w:p>
            <w:pPr>
              <w:ind w:left="40"/>
              <w:spacing w:after="0"/>
              <w:rPr>
                <w:sz w:val="20"/>
                <w:szCs w:val="20"/>
                <w:color w:val="auto"/>
              </w:rPr>
            </w:pPr>
            <w:r>
              <w:rPr>
                <w:rFonts w:ascii="Arial" w:cs="Arial" w:eastAsia="Arial" w:hAnsi="Arial"/>
                <w:sz w:val="16"/>
                <w:szCs w:val="16"/>
                <w:b w:val="1"/>
                <w:bCs w:val="1"/>
                <w:color w:val="auto"/>
              </w:rPr>
              <w:t>Segment Earnings (Loss) Before Income Taxes</w:t>
            </w:r>
          </w:p>
        </w:tc>
        <w:tc>
          <w:tcPr>
            <w:tcW w:w="2920" w:type="dxa"/>
            <w:vAlign w:val="bottom"/>
          </w:tcPr>
          <w:p>
            <w:pPr>
              <w:spacing w:after="0"/>
              <w:rPr>
                <w:sz w:val="18"/>
                <w:szCs w:val="18"/>
                <w:color w:val="auto"/>
              </w:rPr>
            </w:pPr>
          </w:p>
        </w:tc>
        <w:tc>
          <w:tcPr>
            <w:tcW w:w="114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60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ind w:left="40"/>
              <w:spacing w:after="0"/>
              <w:rPr>
                <w:sz w:val="20"/>
                <w:szCs w:val="20"/>
                <w:color w:val="auto"/>
              </w:rPr>
            </w:pPr>
            <w:r>
              <w:rPr>
                <w:rFonts w:ascii="Arial" w:cs="Arial" w:eastAsia="Arial" w:hAnsi="Arial"/>
                <w:sz w:val="16"/>
                <w:szCs w:val="16"/>
                <w:color w:val="auto"/>
              </w:rPr>
              <w:t>Professional</w:t>
            </w:r>
          </w:p>
        </w:tc>
        <w:tc>
          <w:tcPr>
            <w:tcW w:w="29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68,166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61,592</w:t>
            </w:r>
          </w:p>
        </w:tc>
      </w:tr>
      <w:tr>
        <w:trPr>
          <w:trHeight w:val="33"/>
        </w:trPr>
        <w:tc>
          <w:tcPr>
            <w:tcW w:w="60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29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16,558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16,739</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Other</w:t>
            </w:r>
          </w:p>
        </w:tc>
        <w:tc>
          <w:tcPr>
            <w:tcW w:w="29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(25,171)</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(24,634)</w:t>
            </w:r>
          </w:p>
        </w:tc>
      </w:tr>
      <w:tr>
        <w:trPr>
          <w:trHeight w:val="33"/>
        </w:trPr>
        <w:tc>
          <w:tcPr>
            <w:tcW w:w="60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59,553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53,697</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976" w:right="2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color w:val="auto"/>
        </w:rPr>
        <w:t>5 - The Toro Company Reports Record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w w:val="99"/>
              </w:rPr>
              <w:t>February 3,</w:t>
            </w:r>
          </w:p>
        </w:tc>
        <w:tc>
          <w:tcPr>
            <w:tcW w:w="240" w:type="dxa"/>
            <w:vAlign w:val="bottom"/>
          </w:tcPr>
          <w:p>
            <w:pPr>
              <w:spacing w:after="0"/>
              <w:rPr>
                <w:sz w:val="17"/>
                <w:szCs w:val="17"/>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January 29,</w:t>
            </w:r>
          </w:p>
        </w:tc>
      </w:tr>
      <w:tr>
        <w:trPr>
          <w:trHeight w:val="210"/>
        </w:trPr>
        <w:tc>
          <w:tcPr>
            <w:tcW w:w="6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18"/>
                <w:szCs w:val="18"/>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61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6100" w:type="dxa"/>
            <w:vAlign w:val="bottom"/>
          </w:tcPr>
          <w:p>
            <w:pPr>
              <w:ind w:left="40"/>
              <w:spacing w:after="0"/>
              <w:rPr>
                <w:sz w:val="20"/>
                <w:szCs w:val="20"/>
                <w:color w:val="auto"/>
              </w:rPr>
            </w:pPr>
            <w:r>
              <w:rPr>
                <w:rFonts w:ascii="Arial" w:cs="Arial" w:eastAsia="Arial" w:hAnsi="Arial"/>
                <w:sz w:val="16"/>
                <w:szCs w:val="16"/>
                <w:color w:val="auto"/>
              </w:rPr>
              <w:t>ASSETS</w:t>
            </w:r>
          </w:p>
        </w:tc>
        <w:tc>
          <w:tcPr>
            <w:tcW w:w="2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6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158,893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118,140</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Receivables, net</w:t>
            </w:r>
          </w:p>
        </w:tc>
        <w:tc>
          <w:tcPr>
            <w:tcW w:w="28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183,850</w:t>
            </w: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190,297</w:t>
            </w:r>
          </w:p>
        </w:tc>
      </w:tr>
      <w:tr>
        <w:trPr>
          <w:trHeight w:val="33"/>
        </w:trPr>
        <w:tc>
          <w:tcPr>
            <w:tcW w:w="6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net</w:t>
            </w:r>
          </w:p>
        </w:tc>
        <w:tc>
          <w:tcPr>
            <w:tcW w:w="28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402,103</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422,036</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8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36,470</w:t>
            </w: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36,983</w:t>
            </w:r>
          </w:p>
        </w:tc>
      </w:tr>
      <w:tr>
        <w:trPr>
          <w:trHeight w:val="33"/>
        </w:trPr>
        <w:tc>
          <w:tcPr>
            <w:tcW w:w="61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28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781,316</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767,456</w:t>
            </w:r>
          </w:p>
        </w:tc>
      </w:tr>
      <w:tr>
        <w:trPr>
          <w:trHeight w:val="264"/>
        </w:trPr>
        <w:tc>
          <w:tcPr>
            <w:tcW w:w="6100" w:type="dxa"/>
            <w:vAlign w:val="bottom"/>
            <w:tcBorders>
              <w:top w:val="single" w:sz="8" w:color="auto"/>
            </w:tcBorders>
          </w:tcPr>
          <w:p>
            <w:pPr>
              <w:spacing w:after="0"/>
              <w:rPr>
                <w:sz w:val="22"/>
                <w:szCs w:val="22"/>
                <w:color w:val="auto"/>
              </w:rPr>
            </w:pPr>
          </w:p>
        </w:tc>
        <w:tc>
          <w:tcPr>
            <w:tcW w:w="28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8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226,917</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221,523</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Long-term deferred income taxes</w:t>
            </w:r>
          </w:p>
        </w:tc>
        <w:tc>
          <w:tcPr>
            <w:tcW w:w="28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56,864</w:t>
            </w: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66,000</w:t>
            </w:r>
          </w:p>
        </w:tc>
      </w:tr>
      <w:tr>
        <w:trPr>
          <w:trHeight w:val="33"/>
        </w:trPr>
        <w:tc>
          <w:tcPr>
            <w:tcW w:w="6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and other assets, net</w:t>
            </w:r>
          </w:p>
        </w:tc>
        <w:tc>
          <w:tcPr>
            <w:tcW w:w="28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337,816</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335,697</w:t>
            </w:r>
          </w:p>
        </w:tc>
      </w:tr>
      <w:tr>
        <w:trPr>
          <w:trHeight w:val="231"/>
        </w:trPr>
        <w:tc>
          <w:tcPr>
            <w:tcW w:w="610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Total assets</w:t>
            </w:r>
          </w:p>
        </w:tc>
        <w:tc>
          <w:tcPr>
            <w:tcW w:w="2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1,402,913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1,390,676</w:t>
            </w:r>
          </w:p>
        </w:tc>
      </w:tr>
      <w:tr>
        <w:trPr>
          <w:trHeight w:val="73"/>
        </w:trPr>
        <w:tc>
          <w:tcPr>
            <w:tcW w:w="610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51"/>
        </w:trPr>
        <w:tc>
          <w:tcPr>
            <w:tcW w:w="610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LIABILITIES AND STOCKHOLDERS’ EQUITY</w:t>
            </w:r>
          </w:p>
        </w:tc>
        <w:tc>
          <w:tcPr>
            <w:tcW w:w="2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6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portion of long-term debt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23,398</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Short-term debt</w:t>
            </w:r>
          </w:p>
        </w:tc>
        <w:tc>
          <w:tcPr>
            <w:tcW w:w="28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52,912</w:t>
            </w:r>
          </w:p>
        </w:tc>
      </w:tr>
      <w:tr>
        <w:trPr>
          <w:trHeight w:val="33"/>
        </w:trPr>
        <w:tc>
          <w:tcPr>
            <w:tcW w:w="6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28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232,440</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211,216</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Accrued liabilities</w:t>
            </w:r>
          </w:p>
        </w:tc>
        <w:tc>
          <w:tcPr>
            <w:tcW w:w="28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263,724</w:t>
            </w: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262,888</w:t>
            </w:r>
          </w:p>
        </w:tc>
      </w:tr>
      <w:tr>
        <w:trPr>
          <w:trHeight w:val="33"/>
        </w:trPr>
        <w:tc>
          <w:tcPr>
            <w:tcW w:w="61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8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519,124</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550,414</w:t>
            </w:r>
          </w:p>
        </w:tc>
      </w:tr>
      <w:tr>
        <w:trPr>
          <w:trHeight w:val="264"/>
        </w:trPr>
        <w:tc>
          <w:tcPr>
            <w:tcW w:w="6100" w:type="dxa"/>
            <w:vAlign w:val="bottom"/>
            <w:tcBorders>
              <w:top w:val="single" w:sz="8" w:color="auto"/>
            </w:tcBorders>
          </w:tcPr>
          <w:p>
            <w:pPr>
              <w:spacing w:after="0"/>
              <w:rPr>
                <w:sz w:val="22"/>
                <w:szCs w:val="22"/>
                <w:color w:val="auto"/>
              </w:rPr>
            </w:pPr>
          </w:p>
        </w:tc>
        <w:tc>
          <w:tcPr>
            <w:tcW w:w="28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less current portion</w:t>
            </w:r>
          </w:p>
        </w:tc>
        <w:tc>
          <w:tcPr>
            <w:tcW w:w="28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315,314</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337,969</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8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25,172</w:t>
            </w: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11,246</w:t>
            </w:r>
          </w:p>
        </w:tc>
      </w:tr>
      <w:tr>
        <w:trPr>
          <w:trHeight w:val="33"/>
        </w:trPr>
        <w:tc>
          <w:tcPr>
            <w:tcW w:w="6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8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30,267</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31,118</w:t>
            </w: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stockholders’ equity</w:t>
            </w:r>
          </w:p>
        </w:tc>
        <w:tc>
          <w:tcPr>
            <w:tcW w:w="28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513,036</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459,929</w:t>
            </w:r>
          </w:p>
        </w:tc>
      </w:tr>
      <w:tr>
        <w:trPr>
          <w:trHeight w:val="33"/>
        </w:trPr>
        <w:tc>
          <w:tcPr>
            <w:tcW w:w="61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1,402,913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1,390,676</w:t>
            </w: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976" w:right="23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color w:val="auto"/>
        </w:rPr>
        <w:t>6 - The Toro Company Reports Record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62" w:lineRule="exact"/>
        <w:rPr>
          <w:sz w:val="20"/>
          <w:szCs w:val="20"/>
          <w:color w:val="auto"/>
        </w:rPr>
      </w:pPr>
    </w:p>
    <w:p>
      <w:pPr>
        <w:ind w:left="94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February 3,</w:t>
            </w:r>
          </w:p>
        </w:tc>
        <w:tc>
          <w:tcPr>
            <w:tcW w:w="220" w:type="dxa"/>
            <w:vAlign w:val="bottom"/>
          </w:tcPr>
          <w:p>
            <w:pPr>
              <w:spacing w:after="0"/>
              <w:rPr>
                <w:sz w:val="17"/>
                <w:szCs w:val="17"/>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January 29,</w:t>
            </w:r>
          </w:p>
        </w:tc>
      </w:tr>
      <w:tr>
        <w:trPr>
          <w:trHeight w:val="210"/>
        </w:trPr>
        <w:tc>
          <w:tcPr>
            <w:tcW w:w="7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7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730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1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44,990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39,261</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income from finance affiliate</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(1,878)</w:t>
            </w:r>
          </w:p>
        </w:tc>
      </w:tr>
      <w:tr>
        <w:trPr>
          <w:trHeight w:val="237"/>
        </w:trPr>
        <w:tc>
          <w:tcPr>
            <w:tcW w:w="7300" w:type="dxa"/>
            <w:vAlign w:val="bottom"/>
          </w:tcPr>
          <w:p>
            <w:pPr>
              <w:ind w:left="180"/>
              <w:spacing w:after="0"/>
              <w:rPr>
                <w:sz w:val="20"/>
                <w:szCs w:val="20"/>
                <w:color w:val="auto"/>
              </w:rPr>
            </w:pPr>
            <w:r>
              <w:rPr>
                <w:rFonts w:ascii="Arial" w:cs="Arial" w:eastAsia="Arial" w:hAnsi="Arial"/>
                <w:sz w:val="16"/>
                <w:szCs w:val="16"/>
                <w:color w:val="auto"/>
              </w:rPr>
              <w:t>Provision for depreciation and amortization</w:t>
            </w:r>
          </w:p>
        </w:tc>
        <w:tc>
          <w:tcPr>
            <w:tcW w:w="166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16,516</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15,741</w:t>
            </w:r>
          </w:p>
        </w:tc>
      </w:tr>
      <w:tr>
        <w:trPr>
          <w:trHeight w:val="33"/>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3,618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2,477</w:t>
            </w:r>
          </w:p>
        </w:tc>
      </w:tr>
      <w:tr>
        <w:trPr>
          <w:trHeight w:val="237"/>
        </w:trPr>
        <w:tc>
          <w:tcPr>
            <w:tcW w:w="7300" w:type="dxa"/>
            <w:vAlign w:val="bottom"/>
          </w:tcPr>
          <w:p>
            <w:pPr>
              <w:ind w:left="180"/>
              <w:spacing w:after="0"/>
              <w:rPr>
                <w:sz w:val="20"/>
                <w:szCs w:val="20"/>
                <w:color w:val="auto"/>
              </w:rPr>
            </w:pPr>
            <w:r>
              <w:rPr>
                <w:rFonts w:ascii="Arial" w:cs="Arial" w:eastAsia="Arial" w:hAnsi="Arial"/>
                <w:sz w:val="16"/>
                <w:szCs w:val="16"/>
                <w:color w:val="auto"/>
              </w:rPr>
              <w:t>Decrease in deferred income taxes</w:t>
            </w:r>
          </w:p>
        </w:tc>
        <w:tc>
          <w:tcPr>
            <w:tcW w:w="166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393</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 net of effect of acquisitions:</w:t>
            </w:r>
          </w:p>
        </w:tc>
        <w:tc>
          <w:tcPr>
            <w:tcW w:w="1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Receivables, net</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(19,380)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(12,614)</w:t>
            </w:r>
          </w:p>
        </w:tc>
      </w:tr>
      <w:tr>
        <w:trPr>
          <w:trHeight w:val="237"/>
        </w:trPr>
        <w:tc>
          <w:tcPr>
            <w:tcW w:w="730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1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(90,560)</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(92,918)</w:t>
            </w:r>
          </w:p>
        </w:tc>
      </w:tr>
      <w:tr>
        <w:trPr>
          <w:trHeight w:val="33"/>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assets</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(4,655)</w:t>
            </w:r>
          </w:p>
        </w:tc>
      </w:tr>
      <w:tr>
        <w:trPr>
          <w:trHeight w:val="237"/>
        </w:trPr>
        <w:tc>
          <w:tcPr>
            <w:tcW w:w="7300" w:type="dxa"/>
            <w:vAlign w:val="bottom"/>
          </w:tcPr>
          <w:p>
            <w:pPr>
              <w:ind w:left="180"/>
              <w:spacing w:after="0"/>
              <w:rPr>
                <w:sz w:val="20"/>
                <w:szCs w:val="20"/>
                <w:color w:val="auto"/>
              </w:rPr>
            </w:pPr>
            <w:r>
              <w:rPr>
                <w:rFonts w:ascii="Arial" w:cs="Arial" w:eastAsia="Arial" w:hAnsi="Arial"/>
                <w:sz w:val="16"/>
                <w:szCs w:val="16"/>
                <w:color w:val="auto"/>
              </w:rPr>
              <w:t>Accounts payable, accrued liabilities, deferred revenue, and other long-term liabilities</w:t>
            </w:r>
          </w:p>
        </w:tc>
        <w:tc>
          <w:tcPr>
            <w:tcW w:w="166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66,128</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59,581</w:t>
            </w:r>
          </w:p>
        </w:tc>
      </w:tr>
      <w:tr>
        <w:trPr>
          <w:trHeight w:val="33"/>
        </w:trPr>
        <w:tc>
          <w:tcPr>
            <w:tcW w:w="7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operating activities</w:t>
            </w:r>
          </w:p>
        </w:tc>
        <w:tc>
          <w:tcPr>
            <w:tcW w:w="16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15,392</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4,531</w:t>
            </w:r>
          </w:p>
        </w:tc>
      </w:tr>
      <w:tr>
        <w:trPr>
          <w:trHeight w:val="264"/>
        </w:trPr>
        <w:tc>
          <w:tcPr>
            <w:tcW w:w="730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730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1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(11,620)</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(10,680)</w:t>
            </w:r>
          </w:p>
        </w:tc>
      </w:tr>
      <w:tr>
        <w:trPr>
          <w:trHeight w:val="33"/>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asset disposals</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37"/>
        </w:trPr>
        <w:tc>
          <w:tcPr>
            <w:tcW w:w="7300" w:type="dxa"/>
            <w:vAlign w:val="bottom"/>
          </w:tcPr>
          <w:p>
            <w:pPr>
              <w:ind w:left="180"/>
              <w:spacing w:after="0"/>
              <w:rPr>
                <w:sz w:val="20"/>
                <w:szCs w:val="20"/>
                <w:color w:val="auto"/>
              </w:rPr>
            </w:pPr>
            <w:r>
              <w:rPr>
                <w:rFonts w:ascii="Arial" w:cs="Arial" w:eastAsia="Arial" w:hAnsi="Arial"/>
                <w:sz w:val="16"/>
                <w:szCs w:val="16"/>
                <w:color w:val="auto"/>
              </w:rPr>
              <w:t>Distributions from finance affiliate, net</w:t>
            </w:r>
          </w:p>
        </w:tc>
        <w:tc>
          <w:tcPr>
            <w:tcW w:w="1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765</w:t>
            </w:r>
          </w:p>
        </w:tc>
      </w:tr>
      <w:tr>
        <w:trPr>
          <w:trHeight w:val="33"/>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a business</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r>
      <w:tr>
        <w:trPr>
          <w:trHeight w:val="237"/>
        </w:trPr>
        <w:tc>
          <w:tcPr>
            <w:tcW w:w="7300" w:type="dxa"/>
            <w:vAlign w:val="bottom"/>
          </w:tcPr>
          <w:p>
            <w:pPr>
              <w:ind w:left="180"/>
              <w:spacing w:after="0"/>
              <w:rPr>
                <w:sz w:val="20"/>
                <w:szCs w:val="20"/>
                <w:color w:val="auto"/>
              </w:rPr>
            </w:pPr>
            <w:r>
              <w:rPr>
                <w:rFonts w:ascii="Arial" w:cs="Arial" w:eastAsia="Arial" w:hAnsi="Arial"/>
                <w:sz w:val="16"/>
                <w:szCs w:val="16"/>
                <w:color w:val="auto"/>
              </w:rPr>
              <w:t>Acquisition, net of cash acquired</w:t>
            </w:r>
          </w:p>
        </w:tc>
        <w:tc>
          <w:tcPr>
            <w:tcW w:w="1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(23,882)</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(used in) investing activities</w:t>
            </w:r>
          </w:p>
        </w:tc>
        <w:tc>
          <w:tcPr>
            <w:tcW w:w="16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(35,600)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(8,355)</w:t>
            </w:r>
          </w:p>
        </w:tc>
      </w:tr>
      <w:tr>
        <w:trPr>
          <w:trHeight w:val="264"/>
        </w:trPr>
        <w:tc>
          <w:tcPr>
            <w:tcW w:w="730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7300" w:type="dxa"/>
            <w:vAlign w:val="bottom"/>
          </w:tcPr>
          <w:p>
            <w:pPr>
              <w:ind w:left="180"/>
              <w:spacing w:after="0"/>
              <w:rPr>
                <w:sz w:val="20"/>
                <w:szCs w:val="20"/>
                <w:color w:val="auto"/>
              </w:rPr>
            </w:pPr>
            <w:r>
              <w:rPr>
                <w:rFonts w:ascii="Arial" w:cs="Arial" w:eastAsia="Arial" w:hAnsi="Arial"/>
                <w:sz w:val="16"/>
                <w:szCs w:val="16"/>
                <w:color w:val="auto"/>
              </w:rPr>
              <w:t>Increase in short-term debt</w:t>
            </w:r>
          </w:p>
        </w:tc>
        <w:tc>
          <w:tcPr>
            <w:tcW w:w="166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51,789</w:t>
            </w:r>
          </w:p>
        </w:tc>
      </w:tr>
      <w:tr>
        <w:trPr>
          <w:trHeight w:val="33"/>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long-term debt</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(13,371)</w:t>
            </w:r>
          </w:p>
        </w:tc>
      </w:tr>
      <w:tr>
        <w:trPr>
          <w:trHeight w:val="237"/>
        </w:trPr>
        <w:tc>
          <w:tcPr>
            <w:tcW w:w="730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66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3,128</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2,495</w:t>
            </w:r>
          </w:p>
        </w:tc>
      </w:tr>
      <w:tr>
        <w:trPr>
          <w:trHeight w:val="33"/>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Toro common stock</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(67,718)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(27,485)</w:t>
            </w:r>
          </w:p>
        </w:tc>
      </w:tr>
      <w:tr>
        <w:trPr>
          <w:trHeight w:val="237"/>
        </w:trPr>
        <w:tc>
          <w:tcPr>
            <w:tcW w:w="7300" w:type="dxa"/>
            <w:vAlign w:val="bottom"/>
          </w:tcPr>
          <w:p>
            <w:pPr>
              <w:ind w:left="180"/>
              <w:spacing w:after="0"/>
              <w:rPr>
                <w:sz w:val="20"/>
                <w:szCs w:val="20"/>
                <w:color w:val="auto"/>
              </w:rPr>
            </w:pPr>
            <w:r>
              <w:rPr>
                <w:rFonts w:ascii="Arial" w:cs="Arial" w:eastAsia="Arial" w:hAnsi="Arial"/>
                <w:sz w:val="16"/>
                <w:szCs w:val="16"/>
                <w:color w:val="auto"/>
              </w:rPr>
              <w:t>Dividends paid on Toro common stock</w:t>
            </w:r>
          </w:p>
        </w:tc>
        <w:tc>
          <w:tcPr>
            <w:tcW w:w="1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(18,994)</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(16,496)</w:t>
            </w:r>
          </w:p>
        </w:tc>
      </w:tr>
      <w:tr>
        <w:trPr>
          <w:trHeight w:val="33"/>
        </w:trPr>
        <w:tc>
          <w:tcPr>
            <w:tcW w:w="7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(used in) financing activities</w:t>
            </w:r>
          </w:p>
        </w:tc>
        <w:tc>
          <w:tcPr>
            <w:tcW w:w="16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(96,286)</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(3,068)</w:t>
            </w:r>
          </w:p>
        </w:tc>
      </w:tr>
      <w:tr>
        <w:trPr>
          <w:trHeight w:val="264"/>
        </w:trPr>
        <w:tc>
          <w:tcPr>
            <w:tcW w:w="730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w:t>
            </w:r>
          </w:p>
        </w:tc>
      </w:tr>
      <w:tr>
        <w:trPr>
          <w:trHeight w:val="270"/>
        </w:trPr>
        <w:tc>
          <w:tcPr>
            <w:tcW w:w="73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69"/>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6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(114,662)</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(8,135)</w:t>
            </w:r>
          </w:p>
        </w:tc>
      </w:tr>
      <w:tr>
        <w:trPr>
          <w:trHeight w:val="231"/>
        </w:trPr>
        <w:tc>
          <w:tcPr>
            <w:tcW w:w="73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Cash and cash equivalents as of the beginning of the fiscal period</w:t>
            </w:r>
          </w:p>
        </w:tc>
        <w:tc>
          <w:tcPr>
            <w:tcW w:w="1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273,555</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126,275</w:t>
            </w:r>
          </w:p>
        </w:tc>
      </w:tr>
      <w:tr>
        <w:trPr>
          <w:trHeight w:val="33"/>
        </w:trPr>
        <w:tc>
          <w:tcPr>
            <w:tcW w:w="7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as of the end of the fiscal period</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158,893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118,140</w:t>
            </w:r>
          </w:p>
        </w:tc>
      </w:tr>
      <w:tr>
        <w:trPr>
          <w:trHeight w:val="20"/>
        </w:trPr>
        <w:tc>
          <w:tcPr>
            <w:tcW w:w="7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80"/>
        <w:spacing w:after="0" w:line="320" w:lineRule="auto"/>
        <w:rPr>
          <w:sz w:val="20"/>
          <w:szCs w:val="20"/>
          <w:color w:val="auto"/>
        </w:rPr>
      </w:pPr>
      <w:r>
        <w:rPr>
          <w:rFonts w:ascii="Arial" w:cs="Arial" w:eastAsia="Arial" w:hAnsi="Arial"/>
          <w:sz w:val="12"/>
          <w:szCs w:val="12"/>
          <w:color w:val="auto"/>
        </w:rPr>
        <w:t>The adoption of ASU No. 2016-09, Stock-based Compensation: Improvements to Employee Share-based Payment Accounting, requires that excess tax benefits related to share-based compensation be reported as operating activities within the Consolidated Statements of Cash Flows. Previously, these benefits have been recorded in financing activities within the Consolidated Statements of Cash Flows. The change resulted in a $4,868 and $3,362 increase in cash flows from operating activities for the three months ended February 3, 2017 and January 29, 2016, respectively.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420"/>
      </w:cols>
      <w:pgMar w:left="240" w:top="9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952"/>
    </w:lvl>
  </w:abstractNum>
  <w:abstractNum w:abstractNumId="3">
    <w:nsid w:val="507ED7AB"/>
    <w:multiLevelType w:val="hybridMultilevel"/>
    <w:lvl w:ilvl="0">
      <w:lvlJc w:val="left"/>
      <w:lvlText w:val="(%1)"/>
      <w:numFmt w:val="decimal"/>
      <w:start w:val="952"/>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2019-12-05T11:35:50Z</dcterms:created>
  <dcterms:modified xsi:type="dcterms:W3CDTF">2019-12-05T11:35:50Z</dcterms:modified>
</cp:coreProperties>
</file>