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28" w:lineRule="exact"/>
        <w:rPr>
          <w:sz w:val="24"/>
          <w:szCs w:val="24"/>
          <w:color w:val="auto"/>
        </w:rPr>
      </w:pPr>
    </w:p>
    <w:p>
      <w:pPr>
        <w:ind w:left="4040" w:right="2280" w:hanging="1782"/>
        <w:spacing w:after="0" w:line="281" w:lineRule="auto"/>
        <w:tabs>
          <w:tab w:leader="none" w:pos="25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October 31, 2019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ind w:left="2660" w:hanging="338"/>
        <w:spacing w:after="0" w:line="186" w:lineRule="auto"/>
        <w:tabs>
          <w:tab w:leader="none" w:pos="2660" w:val="left"/>
        </w:tabs>
        <w:numPr>
          <w:ilvl w:val="0"/>
          <w:numId w:val="2"/>
        </w:numPr>
        <w:rPr>
          <w:rFonts w:ascii="MS PGothic" w:cs="MS PGothic" w:eastAsia="MS PGothic" w:hAnsi="MS PGothic"/>
          <w:sz w:val="9"/>
          <w:szCs w:val="9"/>
          <w:color w:val="auto"/>
        </w:rPr>
      </w:pPr>
      <w:r>
        <w:rPr>
          <w:rFonts w:ascii="Times New Roman" w:cs="Times New Roman" w:eastAsia="Times New Roman" w:hAnsi="Times New Roman"/>
          <w:sz w:val="9"/>
          <w:szCs w:val="9"/>
          <w:b w:val="1"/>
          <w:bCs w:val="1"/>
          <w:color w:val="auto"/>
        </w:rPr>
        <w:t>Transition Report Pursuant to Section 13 or 15(d) of the Securities Exchange Act of 1934</w:t>
      </w:r>
    </w:p>
    <w:p>
      <w:pPr>
        <w:spacing w:after="0" w:line="199" w:lineRule="exact"/>
        <w:rPr>
          <w:sz w:val="24"/>
          <w:szCs w:val="24"/>
          <w:color w:val="auto"/>
        </w:rPr>
      </w:pPr>
    </w:p>
    <w:p>
      <w:pPr>
        <w:jc w:val="center"/>
        <w:ind w:right="2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1-8649</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40"/>
          </w:cols>
          <w:pgMar w:left="240" w:top="516" w:right="219" w:bottom="1440" w:gutter="0" w:footer="0" w:header="0"/>
        </w:sectPr>
      </w:pPr>
    </w:p>
    <w:p>
      <w:pPr>
        <w:spacing w:after="0" w:line="14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63" w:lineRule="exact"/>
        <w:rPr>
          <w:sz w:val="24"/>
          <w:szCs w:val="24"/>
          <w:color w:val="auto"/>
        </w:rPr>
      </w:pPr>
    </w:p>
    <w:p>
      <w:pPr>
        <w:sectPr>
          <w:pgSz w:w="11900" w:h="16838" w:orient="portrait"/>
          <w:cols w:equalWidth="0" w:num="2">
            <w:col w:w="8780" w:space="720"/>
            <w:col w:w="1940"/>
          </w:cols>
          <w:pgMar w:left="240" w:top="516" w:right="21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 w:lineRule="exact"/>
        <w:rPr>
          <w:sz w:val="24"/>
          <w:szCs w:val="24"/>
          <w:color w:val="auto"/>
        </w:rPr>
      </w:pPr>
    </w:p>
    <w:p>
      <w:pPr>
        <w:sectPr>
          <w:pgSz w:w="11900" w:h="16838" w:orient="portrait"/>
          <w:cols w:equalWidth="0" w:num="2">
            <w:col w:w="8180" w:space="720"/>
            <w:col w:w="2540"/>
          </w:cols>
          <w:pgMar w:left="240" w:top="516" w:right="2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Organization)</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72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18"/>
                <w:szCs w:val="18"/>
                <w:color w:val="auto"/>
              </w:rPr>
            </w:pPr>
          </w:p>
        </w:tc>
        <w:tc>
          <w:tcPr>
            <w:tcW w:w="5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264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2640" w:type="dxa"/>
            <w:vAlign w:val="bottom"/>
            <w:vMerge w:val="continue"/>
          </w:tcPr>
          <w:p>
            <w:pPr>
              <w:spacing w:after="0"/>
              <w:rPr>
                <w:sz w:val="22"/>
                <w:szCs w:val="22"/>
                <w:color w:val="auto"/>
              </w:rPr>
            </w:pP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company</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5" w:lineRule="exact"/>
        <w:rPr>
          <w:sz w:val="24"/>
          <w:szCs w:val="24"/>
          <w:color w:val="auto"/>
        </w:rPr>
      </w:pPr>
    </w:p>
    <w:p>
      <w:pPr>
        <w:jc w:val="both"/>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based on the closing price of the common stock on May 3, 2019, the last business day of the registrant's most recently completed second fiscal quarter, as reported by the New York Stock Exchange, was approximately $8.0 billion.</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December 13, 2019 was 106,833,222.</w:t>
      </w:r>
    </w:p>
    <w:p>
      <w:pPr>
        <w:spacing w:after="0" w:line="221" w:lineRule="exact"/>
        <w:rPr>
          <w:sz w:val="24"/>
          <w:szCs w:val="24"/>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Portions of the registrant's definitive Proxy Statement for the 2020 Annual Meeting of Shareholders expected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March 17,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58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8"/>
              </w:rPr>
              <w:t>THE TORO COMPANY</w:t>
            </w:r>
          </w:p>
        </w:tc>
      </w:tr>
      <w:tr>
        <w:trPr>
          <w:trHeight w:val="216"/>
        </w:trPr>
        <w:tc>
          <w:tcPr>
            <w:tcW w:w="2840" w:type="dxa"/>
            <w:vAlign w:val="bottom"/>
          </w:tcPr>
          <w:p>
            <w:pPr>
              <w:spacing w:after="0"/>
              <w:rPr>
                <w:sz w:val="18"/>
                <w:szCs w:val="18"/>
                <w:color w:val="auto"/>
              </w:rPr>
            </w:pPr>
          </w:p>
        </w:tc>
        <w:tc>
          <w:tcPr>
            <w:tcW w:w="858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238"/>
        </w:trPr>
        <w:tc>
          <w:tcPr>
            <w:tcW w:w="2840" w:type="dxa"/>
            <w:vAlign w:val="bottom"/>
          </w:tcPr>
          <w:p>
            <w:pPr>
              <w:spacing w:after="0"/>
              <w:rPr>
                <w:sz w:val="20"/>
                <w:szCs w:val="20"/>
                <w:color w:val="auto"/>
              </w:rPr>
            </w:pPr>
          </w:p>
        </w:tc>
        <w:tc>
          <w:tcPr>
            <w:tcW w:w="858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594"/>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580" w:type="dxa"/>
            <w:vAlign w:val="bottom"/>
          </w:tcPr>
          <w:p>
            <w:pPr>
              <w:ind w:left="714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2840" w:type="dxa"/>
            <w:vAlign w:val="bottom"/>
            <w:tcBorders>
              <w:bottom w:val="single" w:sz="8" w:color="auto"/>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bl>
    <w:p>
      <w:pPr>
        <w:spacing w:after="0" w:line="320" w:lineRule="exact"/>
        <w:rPr>
          <w:sz w:val="20"/>
          <w:szCs w:val="20"/>
          <w:color w:val="auto"/>
        </w:rPr>
      </w:pPr>
    </w:p>
    <w:p>
      <w:pPr>
        <w:ind w:left="40"/>
        <w:spacing w:after="0"/>
        <w:rPr>
          <w:rFonts w:ascii="Times New Roman" w:cs="Times New Roman" w:eastAsia="Times New Roman" w:hAnsi="Times New Roman"/>
          <w:sz w:val="22"/>
          <w:szCs w:val="22"/>
          <w:b w:val="1"/>
          <w:bCs w:val="1"/>
          <w:u w:val="single" w:color="auto"/>
          <w:color w:val="0000EE"/>
        </w:rPr>
      </w:pPr>
      <w:hyperlink w:anchor="page3">
        <w:r>
          <w:rPr>
            <w:rFonts w:ascii="Times New Roman" w:cs="Times New Roman" w:eastAsia="Times New Roman" w:hAnsi="Times New Roman"/>
            <w:sz w:val="22"/>
            <w:szCs w:val="22"/>
            <w:b w:val="1"/>
            <w:bCs w:val="1"/>
            <w:u w:val="single" w:color="auto"/>
            <w:color w:val="0000EE"/>
          </w:rPr>
          <w:t>PART I</w:t>
        </w:r>
      </w:hyperlink>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ITEM 1.</w:t>
              </w:r>
            </w:hyperlink>
          </w:p>
        </w:tc>
        <w:tc>
          <w:tcPr>
            <w:tcW w:w="600" w:type="dxa"/>
            <w:vAlign w:val="bottom"/>
            <w:gridSpan w:val="6"/>
          </w:tcPr>
          <w:p>
            <w:pPr>
              <w:spacing w:after="0"/>
              <w:rPr>
                <w:sz w:val="17"/>
                <w:szCs w:val="17"/>
                <w:color w:val="auto"/>
              </w:rPr>
            </w:pP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9280" w:type="dxa"/>
            <w:vAlign w:val="bottom"/>
            <w:gridSpan w:val="2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8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ITEM 1A.</w:t>
              </w:r>
            </w:hyperlink>
          </w:p>
        </w:tc>
        <w:tc>
          <w:tcPr>
            <w:tcW w:w="440" w:type="dxa"/>
            <w:vAlign w:val="bottom"/>
            <w:gridSpan w:val="3"/>
          </w:tcPr>
          <w:p>
            <w:pPr>
              <w:spacing w:after="0"/>
              <w:rPr>
                <w:sz w:val="21"/>
                <w:szCs w:val="21"/>
                <w:color w:val="auto"/>
              </w:rPr>
            </w:pPr>
          </w:p>
        </w:tc>
        <w:tc>
          <w:tcPr>
            <w:tcW w:w="9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9020" w:type="dxa"/>
            <w:vAlign w:val="bottom"/>
            <w:gridSpan w:val="2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13</w:t>
              </w:r>
            </w:hyperlink>
          </w:p>
        </w:tc>
      </w:tr>
      <w:tr>
        <w:trPr>
          <w:trHeight w:val="250"/>
        </w:trPr>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89"/>
              </w:rPr>
            </w:pPr>
            <w:hyperlink w:anchor="page25">
              <w:r>
                <w:rPr>
                  <w:rFonts w:ascii="Times New Roman" w:cs="Times New Roman" w:eastAsia="Times New Roman" w:hAnsi="Times New Roman"/>
                  <w:sz w:val="18"/>
                  <w:szCs w:val="18"/>
                  <w:b w:val="1"/>
                  <w:bCs w:val="1"/>
                  <w:color w:val="0000EE"/>
                  <w:w w:val="89"/>
                </w:rPr>
                <w:t>ITEM 1B.</w:t>
              </w:r>
            </w:hyperlink>
          </w:p>
        </w:tc>
        <w:tc>
          <w:tcPr>
            <w:tcW w:w="520" w:type="dxa"/>
            <w:vAlign w:val="bottom"/>
            <w:gridSpan w:val="5"/>
          </w:tcPr>
          <w:p>
            <w:pPr>
              <w:spacing w:after="0"/>
              <w:rPr>
                <w:sz w:val="21"/>
                <w:szCs w:val="21"/>
                <w:color w:val="auto"/>
              </w:rPr>
            </w:pPr>
          </w:p>
        </w:tc>
        <w:tc>
          <w:tcPr>
            <w:tcW w:w="2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Unresolved Staff Comments</w:t>
              </w:r>
            </w:hyperlink>
          </w:p>
        </w:tc>
        <w:tc>
          <w:tcPr>
            <w:tcW w:w="788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26">
              <w:r>
                <w:rPr>
                  <w:rFonts w:ascii="Times New Roman" w:cs="Times New Roman" w:eastAsia="Times New Roman" w:hAnsi="Times New Roman"/>
                  <w:sz w:val="18"/>
                  <w:szCs w:val="18"/>
                  <w:b w:val="1"/>
                  <w:bCs w:val="1"/>
                  <w:color w:val="0000EE"/>
                  <w:w w:val="96"/>
                </w:rPr>
                <w:t>ITEM 2.</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Properties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3.</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27">
              <w:r>
                <w:rPr>
                  <w:rFonts w:ascii="Times New Roman" w:cs="Times New Roman" w:eastAsia="Times New Roman" w:hAnsi="Times New Roman"/>
                  <w:sz w:val="18"/>
                  <w:szCs w:val="18"/>
                  <w:b w:val="1"/>
                  <w:bCs w:val="1"/>
                  <w:color w:val="0000EE"/>
                  <w:w w:val="96"/>
                </w:rPr>
                <w:t>ITEM 4.</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Information About Our Executive Officers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277"/>
        </w:trPr>
        <w:tc>
          <w:tcPr>
            <w:tcW w:w="800" w:type="dxa"/>
            <w:vAlign w:val="bottom"/>
            <w:tcBorders>
              <w:bottom w:val="single" w:sz="8" w:color="0000EE"/>
            </w:tcBorders>
            <w:gridSpan w:val="3"/>
          </w:tcPr>
          <w:p>
            <w:pPr>
              <w:spacing w:after="0"/>
              <w:rPr>
                <w:rFonts w:ascii="Times New Roman" w:cs="Times New Roman" w:eastAsia="Times New Roman" w:hAnsi="Times New Roman"/>
                <w:sz w:val="22"/>
                <w:szCs w:val="22"/>
                <w:b w:val="1"/>
                <w:bCs w:val="1"/>
                <w:color w:val="0000EE"/>
                <w:w w:val="94"/>
              </w:rPr>
            </w:pPr>
            <w:hyperlink w:anchor="page29">
              <w:r>
                <w:rPr>
                  <w:rFonts w:ascii="Times New Roman" w:cs="Times New Roman" w:eastAsia="Times New Roman" w:hAnsi="Times New Roman"/>
                  <w:sz w:val="22"/>
                  <w:szCs w:val="22"/>
                  <w:b w:val="1"/>
                  <w:bCs w:val="1"/>
                  <w:color w:val="0000EE"/>
                  <w:w w:val="94"/>
                </w:rPr>
                <w:t>PART II</w:t>
              </w:r>
            </w:hyperlink>
          </w:p>
        </w:tc>
        <w:tc>
          <w:tcPr>
            <w:tcW w:w="460" w:type="dxa"/>
            <w:vAlign w:val="bottom"/>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29">
              <w:r>
                <w:rPr>
                  <w:rFonts w:ascii="Times New Roman" w:cs="Times New Roman" w:eastAsia="Times New Roman" w:hAnsi="Times New Roman"/>
                  <w:sz w:val="18"/>
                  <w:szCs w:val="18"/>
                  <w:b w:val="1"/>
                  <w:bCs w:val="1"/>
                  <w:color w:val="0000EE"/>
                  <w:w w:val="96"/>
                </w:rPr>
                <w:t>ITEM 5.</w:t>
              </w:r>
            </w:hyperlink>
          </w:p>
        </w:tc>
        <w:tc>
          <w:tcPr>
            <w:tcW w:w="600" w:type="dxa"/>
            <w:vAlign w:val="bottom"/>
            <w:gridSpan w:val="6"/>
          </w:tcPr>
          <w:p>
            <w:pPr>
              <w:spacing w:after="0"/>
              <w:rPr>
                <w:sz w:val="21"/>
                <w:szCs w:val="21"/>
                <w:color w:val="auto"/>
              </w:rPr>
            </w:pPr>
          </w:p>
        </w:tc>
        <w:tc>
          <w:tcPr>
            <w:tcW w:w="81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8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29</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The Toro Company Common Stock Comparative Performance Graph</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30</w:t>
              </w:r>
            </w:hyperlink>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31">
              <w:r>
                <w:rPr>
                  <w:rFonts w:ascii="Times New Roman" w:cs="Times New Roman" w:eastAsia="Times New Roman" w:hAnsi="Times New Roman"/>
                  <w:sz w:val="18"/>
                  <w:szCs w:val="18"/>
                  <w:b w:val="1"/>
                  <w:bCs w:val="1"/>
                  <w:color w:val="0000EE"/>
                  <w:w w:val="96"/>
                </w:rPr>
                <w:t>ITEM 6.</w:t>
              </w:r>
            </w:hyperlink>
          </w:p>
        </w:tc>
        <w:tc>
          <w:tcPr>
            <w:tcW w:w="600" w:type="dxa"/>
            <w:vAlign w:val="bottom"/>
            <w:gridSpan w:val="6"/>
          </w:tcPr>
          <w:p>
            <w:pPr>
              <w:spacing w:after="0"/>
              <w:rPr>
                <w:sz w:val="21"/>
                <w:szCs w:val="21"/>
                <w:color w:val="auto"/>
              </w:rPr>
            </w:pPr>
          </w:p>
        </w:tc>
        <w:tc>
          <w:tcPr>
            <w:tcW w:w="500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Selected Financial Data</w:t>
              </w:r>
            </w:hyperlink>
          </w:p>
        </w:tc>
        <w:tc>
          <w:tcPr>
            <w:tcW w:w="4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31</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2">
              <w:r>
                <w:rPr>
                  <w:rFonts w:ascii="Times New Roman" w:cs="Times New Roman" w:eastAsia="Times New Roman" w:hAnsi="Times New Roman"/>
                  <w:sz w:val="18"/>
                  <w:szCs w:val="18"/>
                  <w:b w:val="1"/>
                  <w:bCs w:val="1"/>
                  <w:color w:val="0000EE"/>
                  <w:w w:val="96"/>
                </w:rPr>
                <w:t>ITEM 7.</w:t>
              </w:r>
            </w:hyperlink>
          </w:p>
        </w:tc>
        <w:tc>
          <w:tcPr>
            <w:tcW w:w="600" w:type="dxa"/>
            <w:vAlign w:val="bottom"/>
            <w:gridSpan w:val="6"/>
          </w:tcPr>
          <w:p>
            <w:pPr>
              <w:spacing w:after="0"/>
              <w:rPr>
                <w:sz w:val="21"/>
                <w:szCs w:val="21"/>
                <w:color w:val="auto"/>
              </w:rPr>
            </w:pPr>
          </w:p>
        </w:tc>
        <w:tc>
          <w:tcPr>
            <w:tcW w:w="64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80" w:type="dxa"/>
            <w:vAlign w:val="bottom"/>
            <w:gridSpan w:val="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32</w:t>
              </w:r>
            </w:hyperlink>
          </w:p>
        </w:tc>
      </w:tr>
      <w:tr>
        <w:trPr>
          <w:trHeight w:val="250"/>
        </w:trPr>
        <w:tc>
          <w:tcPr>
            <w:tcW w:w="8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50">
              <w:r>
                <w:rPr>
                  <w:rFonts w:ascii="Times New Roman" w:cs="Times New Roman" w:eastAsia="Times New Roman" w:hAnsi="Times New Roman"/>
                  <w:sz w:val="18"/>
                  <w:szCs w:val="18"/>
                  <w:b w:val="1"/>
                  <w:bCs w:val="1"/>
                  <w:color w:val="0000EE"/>
                </w:rPr>
                <w:t>ITEM 7A.</w:t>
              </w:r>
            </w:hyperlink>
          </w:p>
        </w:tc>
        <w:tc>
          <w:tcPr>
            <w:tcW w:w="440" w:type="dxa"/>
            <w:vAlign w:val="bottom"/>
            <w:gridSpan w:val="3"/>
          </w:tcPr>
          <w:p>
            <w:pPr>
              <w:spacing w:after="0"/>
              <w:rPr>
                <w:sz w:val="21"/>
                <w:szCs w:val="21"/>
                <w:color w:val="auto"/>
              </w:rPr>
            </w:pPr>
          </w:p>
        </w:tc>
        <w:tc>
          <w:tcPr>
            <w:tcW w:w="43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Quantitative and Qualitative Disclosures about Market Risk</w:t>
              </w:r>
            </w:hyperlink>
          </w:p>
        </w:tc>
        <w:tc>
          <w:tcPr>
            <w:tcW w:w="562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50</w:t>
              </w:r>
            </w:hyperlink>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52">
              <w:r>
                <w:rPr>
                  <w:rFonts w:ascii="Times New Roman" w:cs="Times New Roman" w:eastAsia="Times New Roman" w:hAnsi="Times New Roman"/>
                  <w:sz w:val="18"/>
                  <w:szCs w:val="18"/>
                  <w:b w:val="1"/>
                  <w:bCs w:val="1"/>
                  <w:color w:val="0000EE"/>
                  <w:w w:val="96"/>
                </w:rPr>
                <w:t>ITEM 8.</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Financial Statements and Supplementary Data</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Management's Report on Internal Control over Financial Reporting</w:t>
              </w:r>
            </w:hyperlink>
          </w:p>
        </w:tc>
        <w:tc>
          <w:tcPr>
            <w:tcW w:w="494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52</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Report of Independent Registered Public Accounting Firm</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53</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Earnings</w:t>
              </w:r>
            </w:hyperlink>
          </w:p>
        </w:tc>
        <w:tc>
          <w:tcPr>
            <w:tcW w:w="1480" w:type="dxa"/>
            <w:vAlign w:val="bottom"/>
            <w:tcBorders>
              <w:top w:val="single" w:sz="8" w:color="0000EE"/>
            </w:tcBorders>
            <w:gridSpan w:val="10"/>
          </w:tcPr>
          <w:p>
            <w:pPr>
              <w:spacing w:after="0"/>
              <w:rPr>
                <w:sz w:val="21"/>
                <w:szCs w:val="21"/>
                <w:color w:val="auto"/>
              </w:rPr>
            </w:pPr>
          </w:p>
        </w:tc>
        <w:tc>
          <w:tcPr>
            <w:tcW w:w="5580" w:type="dxa"/>
            <w:vAlign w:val="bottom"/>
            <w:gridSpan w:val="8"/>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55</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Comprehensive Income</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55</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Consolidated Balance Sheets</w:t>
              </w:r>
            </w:hyperlink>
          </w:p>
        </w:tc>
        <w:tc>
          <w:tcPr>
            <w:tcW w:w="1640" w:type="dxa"/>
            <w:vAlign w:val="bottom"/>
            <w:tcBorders>
              <w:top w:val="single" w:sz="8" w:color="0000EE"/>
            </w:tcBorders>
            <w:gridSpan w:val="8"/>
          </w:tcPr>
          <w:p>
            <w:pPr>
              <w:spacing w:after="0"/>
              <w:rPr>
                <w:sz w:val="21"/>
                <w:szCs w:val="21"/>
                <w:color w:val="auto"/>
              </w:rPr>
            </w:pPr>
          </w:p>
        </w:tc>
        <w:tc>
          <w:tcPr>
            <w:tcW w:w="606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56</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Cash Flows</w:t>
              </w:r>
            </w:hyperlink>
          </w:p>
        </w:tc>
        <w:tc>
          <w:tcPr>
            <w:tcW w:w="692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7">
              <w:r>
                <w:rPr>
                  <w:rFonts w:ascii="Times New Roman" w:cs="Times New Roman" w:eastAsia="Times New Roman" w:hAnsi="Times New Roman"/>
                  <w:sz w:val="18"/>
                  <w:szCs w:val="18"/>
                  <w:color w:val="0000EE"/>
                  <w:w w:val="88"/>
                </w:rPr>
                <w:t>57</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Stockholders' Equity</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58</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Notes to Consolidated Financial Statements</w:t>
              </w:r>
            </w:hyperlink>
          </w:p>
        </w:tc>
        <w:tc>
          <w:tcPr>
            <w:tcW w:w="320" w:type="dxa"/>
            <w:vAlign w:val="bottom"/>
            <w:tcBorders>
              <w:top w:val="single" w:sz="8" w:color="0000EE"/>
            </w:tcBorders>
            <w:gridSpan w:val="2"/>
          </w:tcPr>
          <w:p>
            <w:pPr>
              <w:spacing w:after="0"/>
              <w:rPr>
                <w:sz w:val="21"/>
                <w:szCs w:val="21"/>
                <w:color w:val="auto"/>
              </w:rPr>
            </w:pPr>
          </w:p>
        </w:tc>
        <w:tc>
          <w:tcPr>
            <w:tcW w:w="6280" w:type="dxa"/>
            <w:vAlign w:val="bottom"/>
            <w:gridSpan w:val="1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59</w:t>
              </w:r>
            </w:hyperlink>
          </w:p>
        </w:tc>
      </w:tr>
      <w:tr>
        <w:trPr>
          <w:trHeight w:val="250"/>
        </w:trPr>
        <w:tc>
          <w:tcPr>
            <w:tcW w:w="660" w:type="dxa"/>
            <w:vAlign w:val="bottom"/>
          </w:tcPr>
          <w:p>
            <w:pPr>
              <w:spacing w:after="0"/>
              <w:rPr>
                <w:rFonts w:ascii="Times New Roman" w:cs="Times New Roman" w:eastAsia="Times New Roman" w:hAnsi="Times New Roman"/>
                <w:sz w:val="18"/>
                <w:szCs w:val="18"/>
                <w:b w:val="1"/>
                <w:bCs w:val="1"/>
                <w:color w:val="0000EE"/>
                <w:w w:val="96"/>
              </w:rPr>
            </w:pPr>
            <w:hyperlink w:anchor="page89">
              <w:r>
                <w:rPr>
                  <w:rFonts w:ascii="Times New Roman" w:cs="Times New Roman" w:eastAsia="Times New Roman" w:hAnsi="Times New Roman"/>
                  <w:sz w:val="18"/>
                  <w:szCs w:val="18"/>
                  <w:b w:val="1"/>
                  <w:bCs w:val="1"/>
                  <w:color w:val="0000EE"/>
                  <w:w w:val="96"/>
                </w:rPr>
                <w:t>ITEM 9.</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89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gridSpan w:val="4"/>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ITEM 9A.</w:t>
              </w:r>
            </w:hyperlink>
          </w:p>
        </w:tc>
        <w:tc>
          <w:tcPr>
            <w:tcW w:w="440" w:type="dxa"/>
            <w:vAlign w:val="bottom"/>
            <w:gridSpan w:val="3"/>
          </w:tcPr>
          <w:p>
            <w:pPr>
              <w:spacing w:after="0"/>
              <w:rPr>
                <w:sz w:val="21"/>
                <w:szCs w:val="21"/>
                <w:color w:val="auto"/>
              </w:rPr>
            </w:pPr>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89</w:t>
              </w:r>
            </w:hyperlink>
          </w:p>
        </w:tc>
      </w:tr>
      <w:tr>
        <w:trPr>
          <w:trHeight w:val="250"/>
        </w:trPr>
        <w:tc>
          <w:tcPr>
            <w:tcW w:w="740" w:type="dxa"/>
            <w:vAlign w:val="bottom"/>
            <w:tcBorders>
              <w:top w:val="single" w:sz="8" w:color="0000EE"/>
            </w:tcBorders>
            <w:gridSpan w:val="2"/>
          </w:tcPr>
          <w:p>
            <w:pPr>
              <w:spacing w:after="0"/>
              <w:rPr>
                <w:rFonts w:ascii="Times New Roman" w:cs="Times New Roman" w:eastAsia="Times New Roman" w:hAnsi="Times New Roman"/>
                <w:sz w:val="18"/>
                <w:szCs w:val="18"/>
                <w:b w:val="1"/>
                <w:bCs w:val="1"/>
                <w:color w:val="0000EE"/>
                <w:w w:val="89"/>
              </w:rPr>
            </w:pPr>
            <w:hyperlink w:anchor="page90">
              <w:r>
                <w:rPr>
                  <w:rFonts w:ascii="Times New Roman" w:cs="Times New Roman" w:eastAsia="Times New Roman" w:hAnsi="Times New Roman"/>
                  <w:sz w:val="18"/>
                  <w:szCs w:val="18"/>
                  <w:b w:val="1"/>
                  <w:bCs w:val="1"/>
                  <w:color w:val="0000EE"/>
                  <w:w w:val="89"/>
                </w:rPr>
                <w:t>ITEM 9B.</w:t>
              </w:r>
            </w:hyperlink>
          </w:p>
        </w:tc>
        <w:tc>
          <w:tcPr>
            <w:tcW w:w="80" w:type="dxa"/>
            <w:vAlign w:val="bottom"/>
            <w:tcBorders>
              <w:top w:val="single" w:sz="8" w:color="0000EE"/>
            </w:tcBorders>
            <w:gridSpan w:val="2"/>
          </w:tcPr>
          <w:p>
            <w:pPr>
              <w:spacing w:after="0"/>
              <w:rPr>
                <w:sz w:val="21"/>
                <w:szCs w:val="21"/>
                <w:color w:val="auto"/>
              </w:rPr>
            </w:pPr>
          </w:p>
        </w:tc>
        <w:tc>
          <w:tcPr>
            <w:tcW w:w="440" w:type="dxa"/>
            <w:vAlign w:val="bottom"/>
            <w:gridSpan w:val="3"/>
          </w:tcPr>
          <w:p>
            <w:pPr>
              <w:spacing w:after="0"/>
              <w:rPr>
                <w:sz w:val="21"/>
                <w:szCs w:val="21"/>
                <w:color w:val="auto"/>
              </w:rPr>
            </w:pPr>
          </w:p>
        </w:tc>
        <w:tc>
          <w:tcPr>
            <w:tcW w:w="17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Other Information</w:t>
              </w:r>
            </w:hyperlink>
          </w:p>
        </w:tc>
        <w:tc>
          <w:tcPr>
            <w:tcW w:w="8220" w:type="dxa"/>
            <w:vAlign w:val="bottom"/>
            <w:gridSpan w:val="2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90</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80" w:type="dxa"/>
            <w:vAlign w:val="bottom"/>
            <w:tcBorders>
              <w:bottom w:val="single" w:sz="8" w:color="0000EE"/>
            </w:tcBorders>
            <w:gridSpan w:val="6"/>
          </w:tcPr>
          <w:p>
            <w:pPr>
              <w:spacing w:after="0"/>
              <w:rPr>
                <w:rFonts w:ascii="Times New Roman" w:cs="Times New Roman" w:eastAsia="Times New Roman" w:hAnsi="Times New Roman"/>
                <w:sz w:val="22"/>
                <w:szCs w:val="22"/>
                <w:b w:val="1"/>
                <w:bCs w:val="1"/>
                <w:color w:val="0000EE"/>
                <w:w w:val="94"/>
              </w:rPr>
            </w:pPr>
            <w:hyperlink w:anchor="page91">
              <w:r>
                <w:rPr>
                  <w:rFonts w:ascii="Times New Roman" w:cs="Times New Roman" w:eastAsia="Times New Roman" w:hAnsi="Times New Roman"/>
                  <w:sz w:val="22"/>
                  <w:szCs w:val="22"/>
                  <w:b w:val="1"/>
                  <w:bCs w:val="1"/>
                  <w:color w:val="0000EE"/>
                  <w:w w:val="94"/>
                </w:rPr>
                <w:t>PART III</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ITEM 10.</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Directors, Executive Officers and Corporate Governance</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91</w:t>
              </w:r>
            </w:hyperlink>
          </w:p>
        </w:tc>
      </w:tr>
      <w:tr>
        <w:trPr>
          <w:trHeight w:val="250"/>
        </w:trPr>
        <w:tc>
          <w:tcPr>
            <w:tcW w:w="7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3"/>
              </w:rPr>
            </w:pPr>
            <w:hyperlink w:anchor="page91">
              <w:r>
                <w:rPr>
                  <w:rFonts w:ascii="Times New Roman" w:cs="Times New Roman" w:eastAsia="Times New Roman" w:hAnsi="Times New Roman"/>
                  <w:sz w:val="18"/>
                  <w:szCs w:val="18"/>
                  <w:b w:val="1"/>
                  <w:bCs w:val="1"/>
                  <w:color w:val="0000EE"/>
                  <w:w w:val="93"/>
                </w:rPr>
                <w:t>ITEM 11.</w:t>
              </w:r>
            </w:hyperlink>
          </w:p>
        </w:tc>
        <w:tc>
          <w:tcPr>
            <w:tcW w:w="520" w:type="dxa"/>
            <w:vAlign w:val="bottom"/>
            <w:gridSpan w:val="5"/>
          </w:tcPr>
          <w:p>
            <w:pPr>
              <w:spacing w:after="0"/>
              <w:rPr>
                <w:sz w:val="21"/>
                <w:szCs w:val="21"/>
                <w:color w:val="auto"/>
              </w:rPr>
            </w:pPr>
          </w:p>
        </w:tc>
        <w:tc>
          <w:tcPr>
            <w:tcW w:w="18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11"/>
          </w:tcPr>
          <w:p>
            <w:pPr>
              <w:spacing w:after="0"/>
              <w:rPr>
                <w:sz w:val="21"/>
                <w:szCs w:val="21"/>
                <w:color w:val="auto"/>
              </w:rPr>
            </w:pPr>
          </w:p>
        </w:tc>
        <w:tc>
          <w:tcPr>
            <w:tcW w:w="5840" w:type="dxa"/>
            <w:vAlign w:val="bottom"/>
            <w:gridSpan w:val="10"/>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91</w:t>
              </w:r>
            </w:hyperlink>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ITEM 12.</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91</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ITEM 13.</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Certain Relationships and Related Transactions, and Director Independence</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91</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ITEM 14.</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Principal Accounting Fees and Services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1">
              <w:r>
                <w:rPr>
                  <w:rFonts w:ascii="Times New Roman" w:cs="Times New Roman" w:eastAsia="Times New Roman" w:hAnsi="Times New Roman"/>
                  <w:sz w:val="18"/>
                  <w:szCs w:val="18"/>
                  <w:color w:val="0000EE"/>
                  <w:w w:val="88"/>
                </w:rPr>
                <w:t>91</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60" w:type="dxa"/>
            <w:vAlign w:val="bottom"/>
            <w:tcBorders>
              <w:bottom w:val="single" w:sz="8" w:color="0000EE"/>
            </w:tcBorders>
            <w:gridSpan w:val="5"/>
          </w:tcPr>
          <w:p>
            <w:pPr>
              <w:spacing w:after="0"/>
              <w:rPr>
                <w:rFonts w:ascii="Times New Roman" w:cs="Times New Roman" w:eastAsia="Times New Roman" w:hAnsi="Times New Roman"/>
                <w:sz w:val="22"/>
                <w:szCs w:val="22"/>
                <w:b w:val="1"/>
                <w:bCs w:val="1"/>
                <w:color w:val="0000EE"/>
                <w:w w:val="93"/>
              </w:rPr>
            </w:pPr>
            <w:hyperlink w:anchor="page92">
              <w:r>
                <w:rPr>
                  <w:rFonts w:ascii="Times New Roman" w:cs="Times New Roman" w:eastAsia="Times New Roman" w:hAnsi="Times New Roman"/>
                  <w:sz w:val="22"/>
                  <w:szCs w:val="22"/>
                  <w:b w:val="1"/>
                  <w:bCs w:val="1"/>
                  <w:color w:val="0000EE"/>
                  <w:w w:val="93"/>
                </w:rPr>
                <w:t>PART IV</w:t>
              </w:r>
            </w:hyperlink>
          </w:p>
        </w:tc>
        <w:tc>
          <w:tcPr>
            <w:tcW w:w="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2">
              <w:r>
                <w:rPr>
                  <w:rFonts w:ascii="Times New Roman" w:cs="Times New Roman" w:eastAsia="Times New Roman" w:hAnsi="Times New Roman"/>
                  <w:sz w:val="18"/>
                  <w:szCs w:val="18"/>
                  <w:b w:val="1"/>
                  <w:bCs w:val="1"/>
                  <w:color w:val="0000EE"/>
                </w:rPr>
                <w:t>ITEM 15.</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 Financial Statement Schedules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2">
              <w:r>
                <w:rPr>
                  <w:rFonts w:ascii="Times New Roman" w:cs="Times New Roman" w:eastAsia="Times New Roman" w:hAnsi="Times New Roman"/>
                  <w:sz w:val="18"/>
                  <w:szCs w:val="18"/>
                  <w:color w:val="0000EE"/>
                  <w:w w:val="88"/>
                </w:rPr>
                <w:t>92</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Times New Roman" w:cs="Times New Roman" w:eastAsia="Times New Roman" w:hAnsi="Times New Roman"/>
                <w:sz w:val="18"/>
                <w:szCs w:val="18"/>
                <w:b w:val="1"/>
                <w:bCs w:val="1"/>
                <w:color w:val="0000EE"/>
              </w:rPr>
            </w:pPr>
            <w:hyperlink w:anchor="page95">
              <w:r>
                <w:rPr>
                  <w:rFonts w:ascii="Times New Roman" w:cs="Times New Roman" w:eastAsia="Times New Roman" w:hAnsi="Times New Roman"/>
                  <w:sz w:val="18"/>
                  <w:szCs w:val="18"/>
                  <w:b w:val="1"/>
                  <w:bCs w:val="1"/>
                  <w:color w:val="0000EE"/>
                </w:rPr>
                <w:t>ITEM 16.</w:t>
              </w:r>
            </w:hyperlink>
          </w:p>
        </w:tc>
        <w:tc>
          <w:tcPr>
            <w:tcW w:w="9920" w:type="dxa"/>
            <w:vAlign w:val="bottom"/>
            <w:gridSpan w:val="30"/>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Form 10-K Summary</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95">
              <w:r>
                <w:rPr>
                  <w:rFonts w:ascii="Times New Roman" w:cs="Times New Roman" w:eastAsia="Times New Roman" w:hAnsi="Times New Roman"/>
                  <w:sz w:val="18"/>
                  <w:szCs w:val="18"/>
                  <w:color w:val="0000EE"/>
                  <w:w w:val="88"/>
                </w:rPr>
                <w:t>95</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Schedule II – Valuation and Qualifying Accounts</w:t>
              </w:r>
            </w:hyperlink>
          </w:p>
        </w:tc>
        <w:tc>
          <w:tcPr>
            <w:tcW w:w="638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6">
              <w:r>
                <w:rPr>
                  <w:rFonts w:ascii="Times New Roman" w:cs="Times New Roman" w:eastAsia="Times New Roman" w:hAnsi="Times New Roman"/>
                  <w:sz w:val="18"/>
                  <w:szCs w:val="18"/>
                  <w:color w:val="0000EE"/>
                  <w:w w:val="88"/>
                </w:rPr>
                <w:t>96</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97">
              <w:r>
                <w:rPr>
                  <w:rFonts w:ascii="Times New Roman" w:cs="Times New Roman" w:eastAsia="Times New Roman" w:hAnsi="Times New Roman"/>
                  <w:sz w:val="18"/>
                  <w:szCs w:val="18"/>
                  <w:color w:val="0000EE"/>
                  <w:w w:val="97"/>
                </w:rPr>
                <w:t>Signatures</w:t>
              </w:r>
            </w:hyperlink>
          </w:p>
        </w:tc>
        <w:tc>
          <w:tcPr>
            <w:tcW w:w="9160" w:type="dxa"/>
            <w:vAlign w:val="bottom"/>
            <w:gridSpan w:val="2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97">
              <w:r>
                <w:rPr>
                  <w:rFonts w:ascii="Times New Roman" w:cs="Times New Roman" w:eastAsia="Times New Roman" w:hAnsi="Times New Roman"/>
                  <w:sz w:val="18"/>
                  <w:szCs w:val="18"/>
                  <w:color w:val="0000EE"/>
                  <w:w w:val="88"/>
                </w:rPr>
                <w:t>97</w:t>
              </w:r>
            </w:hyperlink>
          </w:p>
        </w:tc>
      </w:tr>
      <w:tr>
        <w:trPr>
          <w:trHeight w:val="480"/>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23"/>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Toro Company was incorporated in Minnesota in 1935 as a successor to a business founded in 1914 and reincorporated in Delaware in 1983. Unless the context indicates otherwise, the terms "company," "Toro," "we," "our," or "us" refer to The Toro Company and its consolidated subsidiaries. Our executive offices are located at 8111 Lyndale Avenue South, Bloomington, Minnesota, 55420-1196, and our telephone number is (952)-888-8801. Our website for corporate and investor information is www.thetorocompany.com, which also contains links to our branded product sites. The information contained on our websites or connected to our websites is not incorporated by reference into this Annual Report on Form 10-K (this "report") and should not be considered part of this report.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design, manufacture, and market professional turf maintenance equipment and services, turf irrigation systems, landscaping equipment and lighting products, snow and ice management products, agricultural irrigation systems ("ag-irrigation"), rental, specialty and underground construction equipment, and residential yard and snow thrower products. We produced our first mower for golf course use in 1919 when we mounted five reel mowers on a Toro tractor, and we introduced our first lawn mower for residential use in 1938. We have continued to enhance our product lines over the more than 100 years we have been in business. We classify our operations into two reportable business segments: Professional and Residential. Our remaining activities are presented as "Other" due to their insignificance. These Other activities consist of earnings (loss) from our wholly-owned domestic distribution companies, corporate activities, and the elimination of intersegment revenues and expenses. Net sales of our reportable segments and Other activities accounted for the following percentages of our consolidated net sales for fiscal 2019: Professional, 77.8 percent; Residential, 21.1 percent; and Other, 1.1 percent.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advertised and sold worldwide through a network of distributors, dealers, mass retailers, hardware retailers, home centers, as well as online (direct to end-users) under the primary trademarks of Toro®, eXmark®, BOSS®, Ditch Witch®, American Augers®, Subsite®, HammerHead®, Trencor®, Radius®, Irritrol®, Unique Lighting Systems®, Rain Master®, Pope®, PERROT®, Hayter®, and Lawn-Boy®, most of which are registered in the United States ("U.S.") and/or in the primary countries outside the U.S. where we market our products branded under such trademarks. This report also contains trademarks, trade names, and service marks that are owned by other persons or entities, such as The Home Depot, Inc. ("The Home Depot").</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and enhance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existing products and develop new products. Through these efforts, we seek to be responsive to trends that may affect our target markets now and in the future. A significant portion of our net sales has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complementing our existing brands and product portfolio.</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purpose is to help our customers enrich the beauty, productivity, and sustainability of the land. Our vision is to be the most trusted leader in solutions for the outdoor environment. Every day. Everywhere. Our mission is to deliver superior innovation and to deliver superior customer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The Charles Machine Works, Inc.</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April 1, 2019 ("closing date"), pursuant to the Agreement and Plan of Merger dated February 14, 2019 ("merger agreement"), we completed our acquisition of The Charles Machine Works, Inc.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The transaction was structured as a merger, pursuant to which a wholly-owned subsidiary of Toro merged with and into CMW, with CMW continuing as the surviving entity and a wholly-owned subsidiary of Toro. As a result of the merger, all of the outstanding equity securities of CMW were canceled and now only represent the right to receive the applicable consideration as described in the merger agreement. At the closing date, we paid preliminary merger consideration of $679.3 million that was subject to customary adjustments based on, among other things, the amount of actual cash, debt, and working capital in the business of CMW at the closing date. During the fourth quarter of fiscal 2019, we finalized such customary adjustments that resulted in an additional $5.7 million of merger consideration being paid and an aggregate merger consideration of $685.0 million ("purchase price"). We funded the purchase price for the acquisition by using a combination of cash proceeds from the issuance of borrowings under our unsecured senior term loan credit agreement and borrowings from our unsecured senior revolving credit facility. For additional information regarding the acquisition and the financing agreements utilized to fund the aggregate merger consideration,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867"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by Market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be a leader in adapting advanced technologies to products and services that provide innovative solutions for turf care maintenance, landscapes, agricultural fields, rental, specialty and underground construction, snow and ice management, and residential demands. The following is a summary of our products, by market, for our Professional segment and our products for our Residential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Segment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professional turf; landscape and lighting; rental, specialty and underground construction; snow and ice management; and agricultural products and market them worldwide through a network of distributors and dealers, as well as directly to government customers, rental companies, and large retailers. These channel partners then sell or rent our products primarily to professional users engaged in maintaining turf, such as golf courses, sports fields, municipal properties, as well as residential and commercial landscapes; installing, repairing, and replacing underground pipe and utilities; managing snow and ice needs; irrigating turf and agricultural fields; and creating, renovating, and illuminating landscapes.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Golf Market</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Products for the golf market include large reel and rotary riding products for fairway, rough, and trim cutting; riding and walking mowers for putting greens and specialty areas; greens rollers; turf sprayer equipment; utility vehicles; aeration equipment; and bunker maintenance equipment. In late fiscal 2019, we introduced the Toro-branded Greensmaster® Fixed-Head Series walk-behind greens mower, which is designed to provide a consistent quality of cut, reduce operator error, and improve operator comfort and performance through the use of new innovative operator controls, including a telescoping loop handle that can be adjusted to fit the operator. Additionally, in late fiscal 2019, we introduced the Toro-branded Greensmaster eTriFlex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hybrid riding greens mower. These EnergySmart® models of our legacy TriFlex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series of greens mowers carry no hydraulic fluid and are designed to be operationally quiet through the use of all-electric components for traction, steering, lift, and cutting. Additionally, the eTriFlex™ 3360 (Engine/Generator model) is designed to provide fuel savings over comparable Triplex mowers, and the 3370 (All-Battery model) eliminates the need for a liquid fuel source altogether.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manufacture and market underground irrigation systems for the golf market, including sprinkler heads, controllers, turf sensors, and electric, battery-operated, and hydraulic valves. Our golf irrigation product portfolio is centered around the most critical elements of a golf course irrigation system. From our Lynx® central control software platform, to a dual offering of field control system technology including Lynx Smart Module two-wire and satellite, to the innovative INFINITY® sprinkler, Toro-branded golf irrigation products are designed to help customers reduce the cost of operational inputs while delivering exceptional playing conditions. In fiscal 2019, building on the success of INFINITY Smart Access® top-accessibility, we introduced the INFINITY Razor®, an accessory that is designed to save considerable time and labor by allowing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superintendents to incrementally raise sprinkler height levels without the need to excavate and re-level heads. The Razor, like many Toro innovations, was a direct result of Toro's "Voice of the Customer" program. Toro's customers, like golf course superintendents, have come to rely on Toro for productivity solutions designed to improve their turf management process. Our customers around the world also enjoy 24/7 service and support from our award-winning Toro National Support Network.</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Landscape Contractor Market</w:t>
      </w:r>
    </w:p>
    <w:p>
      <w:pPr>
        <w:spacing w:after="0" w:line="22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market products to landscape contractors under the Toro and eXmark brands. Products for the landscape contractor market include zero-turn radius riding mowers, heavy-duty walk behind mowers, mid-size walk behind mowers, stand-on mowers, as well as lawn solution, turf renovation, and tree care equipment. We offer some products with electronic fuel injection engine options, which are designed to provide improved fuel efficiency and lower emissions. In fiscal 2019, Toro introduced a new special edition model in our Titan® HD 2000 Series of commercial zero-turn riding mowers, which features the new MyRIDE® suspended operator platform designed to allow for three inches of suspension travel to isolate bumps and vibrations for the operator, as well as 24-inch drive tires with black cast aluminum wheels and a factory installed LED light kit. In fiscal 2019, eXmark introduced Staris®, a redesigned stand-on mower platform designed to improve productivity, cut quality, and serviceability for landscape contractors by aligning frame size with deck width and lowering the center of gravity of the machine to allow for improved handling and control in operation.</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Sports Fields and Grounds Market</w:t>
      </w:r>
    </w:p>
    <w:p>
      <w:pPr>
        <w:spacing w:after="0" w:line="22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Equipment products for the sports fields and grounds market include riding rotary and reel mowers and attachments, aerators, infield grooming equipment, multipurpose vehicles and debris management products, which include versatile debris vacuums, blowers, and sweepers. In addition to equipment products, we also manufacture and market irrigation systems under the Toro and PERROT brands for the sports fields and grounds market, including sprinkler heads, controllers, turf sensors, and electric, battery-operated, and hydraulic valves. These products are sold through distributors and dealers, who then sell to owners and/or managers of sports fields, governmental properties, and residential and commercial landscapes, as well as directly to government customers. Our Outcross® 9060 is a multi-purpose, turf-friendly vehicle that is designed to perform the work of a tractor and super-duty vehicle with multiple attachment options, including the Groundsmaster® 1200 pull-behind rotary, which is designed to deliver the same combination of productivity, durability, and superior cut as our other Groundsmaster equipment, with features such as a 12-foot width of cut and independently articulating decks.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5600" w:space="60"/>
            <w:col w:w="576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Underground Construction Market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acquisition of CMW added a breadth of new products to our underground construction product portfolio. For additional information regarding our acquisition of CMW,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CMW is known as "The Underground Authority" with a family of brands sold primarily under the trade names of Ditch Witch, American Augers, Trencor, HammerHead, Subsite, and Radius. CMW designs, manufactures, and sells a range of professional products to serve the underground construction market. Ditch Witch has built a legacy in the underground construction market as a result of innovative product offerings, most notably, the patented All Terrain drilling system included on certain horizontal directional drills. The All Terrain drilling system is designed to deliver more power to the bit than other rock-drilling systems and thereby results in exceptional drilling productivity in the widest range of ground formations. American Augers and Trencor comprise one of the largest categories of horizontal directional drills and trenchers in the underground construction market and are designed to effectively handle the largest underground construction challenges. HammerHead is an innovative portfolio of trenchless solutions for the underground construction market, including rehabilitation, replacement, and installation equipment and consumables, designed to solve underground infrastructure challenges. Subsite manufactures and markets a comprehensive suite of Underground Awareness® products, featuring horizontal directional drilling support equipment, utility locators, utility inspection systems, and equipment machine controls designed to keep underground construction professionals safe and efficient. Radius offers a comprehensive line of drilling tools for underground construction professionals, including drive chucks and sub savers, drill pipe, starter rods and quick connects, bits and blades, rock tools, reamers, and swivels.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August 2019, we announced a new underground construction business strategy that included a plan to wind down our Toro-branded large horizontal directional drill and riding trencher product categories ("Toro underground wind down"). This action is aligned with our broader integration plan for the CMW businesses and is intended to allow us to maximize efficiencies and cost synergies post-acquisition and enable us to adapt to changing underground construction market conditions regarding our underground product portfolio. While the Toro underground wind down is still ongoing as of October 31, 2019, the transition is expected to be finalized by the end of fiscal 2020. For additional information regarding the Toro underground wind down, refer to Note 7, </w:t>
      </w:r>
      <w:r>
        <w:rPr>
          <w:rFonts w:ascii="Times New Roman" w:cs="Times New Roman" w:eastAsia="Times New Roman" w:hAnsi="Times New Roman"/>
          <w:sz w:val="18"/>
          <w:szCs w:val="18"/>
          <w:i w:val="1"/>
          <w:iCs w:val="1"/>
          <w:color w:val="auto"/>
        </w:rPr>
        <w:t>Management Actions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Rental and Specialty Construction Market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Products for the rental and specialty construction market include Toro and Ditch Witch-branded stand-on compact utility loaders/skid steers; walk-behind trenchers; stump grinders; and turf renovation products. We also have a line of Toro-branded rental products that feature concrete and mortar mixers, material handlers, compaction equipment, and other concrete equipment. Our rental and specialty construction products are mainly sold to rental companies and large retailers who subsequently rent the products to end-users, as well as through dealers, who then sell to end-users that in many cases are the same customers as those in our landscape contractor market. Toro-branded compact utility loaders are the cornerstone products for our Toro-branded rental and specialty construction business, which are designed to improve the efficiency in creation and renovation of landscapes. Our Dingo® TX 1000 compact utility loader provides market leading operating capacity in a lightweight, maneuverable design. We offer over 35 attachments for our compact utility loaders, including trenchers, augers, vibratory plows, and backhoes. In fiscal 2019, we introduced the revolutionary Dingo TXL 2000 Telescoping, which features telescoping arms that are designed to enable the machine to reach over obstacles, dig below grade, and generally extend the operator's working range.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acquisition of CMW added a robust portfolio of Ditch Witch-branded mini stand-on skid steer products that are marketed and sold to contractors, municipalities, and other governmental entities through a comprehensive dealer network. Such Ditch Witch-branded mini stand-on skid steer products provide innovative and versatile solutions designed to increase efficiency and performance, as well as reduce manual labor for landscape and construction tasks in which end-users are unable to utilize larger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and Ice Management Market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Products for the snow and ice management market are marketed mainly in North America under the BOSS brand and include snowplows, salt and sand spreaders, and related parts, as well as accessories for light and medium duty trucks, all-terrain vehicles, utility task vehicles, skid steers, and front-end loaders. These products are mainly sold through distributors and dealers, who then sell to end-users that in many cases are the same customers as those in our landscape contractor and sports fields and grounds markets, such as contractors, municipalities, and other governmental entities. Our BOSS-branded snow and ice management products are designed to provide innovative solutions to contractors, municipalities, and other governmental entities. One example of such innovation is our recently acquired and upgraded stand-on Snowrator®, which is designed to be a maneuverable, multi-tasking, and labor-saving snow removal and de-icing solution through its ability to make quick work of snow and ice covered sidewalks and other tight areas where large equipment is unable to reach and shoveling by hand was previously necessary.</w:t>
      </w:r>
    </w:p>
    <w:p>
      <w:pPr>
        <w:spacing w:after="0" w:line="20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Irrigation and Lighting Market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Turf irrigation products marketed under the Toro and Irritrol brands include rotors; sprinkler bodies and nozzles; plastic, brass, and hydraulic valves; drip tubing and subsurface irrigation; electric control devices; and wired and wireless rain, freeze, climate, and soil sensors. These products are installed by professional contractors and are designed for use in commercial and residential turf irrigation applications and can be installed into new systems or used to replace or retrofit existing systems. Most of the product lines are designed for professionally installed, underground automatic irrigation. Electric controllers activate valves and sprinklers in a typical irrigation system. Both the Toro and Irritrol brands have received the U.S. Environmental Protection Agency ("EPA") WaterSense award, as well as the EPA WaterSense certification for numerous irrigation controller families and models. In 2019, we continued to strengthen our SMRT Logic™ offering by adding the Rain Dial® to our line-up of compatible connected controllers. Professional contractors are now able to offer their customers various controller options between the Toro Evolution®, the Irritrol KD2 Series, and the Irritrol Rain Dial® Series to deliver irrigation and lighting control with the touch of a button using our SMRTScape App.</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 market lighting products under the Unique Lighting Systems brand name consisting of a line of high quality, professionally installed lighting fixtures and transformers for commercial and residential landscapes. Our lighting product line is offered through distributors and landscape contractors that also purchase our irrigation products. Our Light Logic™ remote control system provides operators with wireless scene control for landscape lighting and can upgrade existing systems with expanded control. The Light Logic™ Plus system is designed to deliver cloud-based control from any location using a web-enabled computer or device for outdoor landscape features such as lighting, irrigation, and pond or fountain pumps. In fiscal 2019, we expanded on our popular FLEX GOLD™ VIVID SERIES of LED lamps by adding color-changing options to go along with our white adjustable color temperature lamps that allow end-users to dial-in temperatures between 2700 – 6500K.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orchards and vineyards. In fiscal 2019, we began implementing a "closed loop system" designed to address environmental sustainability by providing our customers with a mechanism by which they can return the resin that is used in our products from the field so that it can be reused in our manufacturing processes, thus reducing the impact of plastic usage and waste.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Residential segment products to homeowners through a variety of distribution channels, including outdoor power equipment distributors and dealers, mass retailers, hardware retailers, home centers, as well as online (direct to end-users). We also license our trademark on certain home solutions products as a means of expanding our brand presence.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Walk Power Mower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 market numerous walk power mower models under our Toro and Lawn-Boy brand names, as well as the Hayter brand in the United Kingdom. Models differ as to cutting width, type of starter mechanism, method of grass clipping discharge, deck type, operational controls, and power sources, and are either self-propelled or operator-propelled push mowers. For the United Kingdom market, we offer a line of rear-roller walk power mowers, a design that provides a striped finish. In fiscal 2019, Toro launched a new line of products with the Flex-Force Power System® featuring 60V lithium-ion technology. This product line includes new Toro 22-inch Recycler® 60V walk power mowers. The mowers start with the push of a button, and the deck is made of steel instead of plastic for added durability. Other features include Toro's Personal Pace® self-propel system that is designed to automatically adjust to the user's walking speed, and SMARTSTOW®, which is designed to allow the mower to be stored upright, reducing the storage footprint by up to 70 percent. All of the products in the 60V Flex-Force Power System line feature Toro's lithium-ion smart batteries, which are designed to be interchangeable among products in the 60V Flex-Force Power System line and reduce emissions and noise.</w:t>
      </w:r>
    </w:p>
    <w:p>
      <w:pPr>
        <w:spacing w:after="0" w:line="192"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tabs>
          <w:tab w:leader="none" w:pos="5800" w:val="left"/>
        </w:tabs>
        <w:rPr>
          <w:sz w:val="20"/>
          <w:szCs w:val="20"/>
          <w:color w:val="auto"/>
        </w:rPr>
      </w:pPr>
      <w:r>
        <w:rPr>
          <w:rFonts w:ascii="Times New Roman" w:cs="Times New Roman" w:eastAsia="Times New Roman" w:hAnsi="Times New Roman"/>
          <w:sz w:val="18"/>
          <w:szCs w:val="18"/>
          <w:i w:val="1"/>
          <w:iCs w:val="1"/>
          <w:u w:val="single" w:color="auto"/>
          <w:color w:val="auto"/>
        </w:rPr>
        <w:t>Agricultural-Irrigation Market</w:t>
      </w:r>
      <w:r>
        <w:rPr>
          <w:sz w:val="20"/>
          <w:szCs w:val="20"/>
          <w:color w:val="auto"/>
        </w:rPr>
        <w:tab/>
      </w:r>
      <w:r>
        <w:rPr>
          <w:rFonts w:ascii="Times New Roman" w:cs="Times New Roman" w:eastAsia="Times New Roman" w:hAnsi="Times New Roman"/>
          <w:sz w:val="18"/>
          <w:szCs w:val="18"/>
          <w:i w:val="1"/>
          <w:iCs w:val="1"/>
          <w:u w:val="single" w:color="auto"/>
          <w:color w:val="auto"/>
        </w:rPr>
        <w:t>Riding Products</w:t>
      </w:r>
    </w:p>
    <w:p>
      <w:pPr>
        <w:sectPr>
          <w:pgSz w:w="11900" w:h="16838" w:orient="portrait"/>
          <w:cols w:equalWidth="0" w:num="1">
            <w:col w:w="11420"/>
          </w:cols>
          <w:pgMar w:left="240" w:top="121" w:right="239" w:bottom="1440" w:gutter="0" w:footer="0" w:header="0"/>
          <w:type w:val="continuous"/>
        </w:sectPr>
      </w:pP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Products for the agricultural-irrigation market include products that are designed around efficient means of water application, including Aqua-Traxx® PBX drip tape, Neptune® flat emitter dripline, Blue Stripe® polyethylene tubing, BlueLine® drip line, and NGE® emitters, all used in agricultural and landscape applications. Population growth combined with limited resources for land and water, as well as water use restrictions, have continued to drive the need for more efficient irrigation solutions for agriculture, including our Aqua-Traxx Flow Control drip tape that is designed to allow growers to achieve water uniformity while retaining flexibility to adjust system flow rates when needed. In addition to these core products, we offer a full complement of design software, control devices, and connection options to complete the system. These products are sold mainly through dealers and distributors who then sell to end-users for use primarily in vegetable fields, fruit and nut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 market riding products under the Toro brand name. Riding products consist of zero-turn radius riding mowers that are designed to save homeowners time by using superior maneuverability to cut around obstacles more quickly and easily than tractor technology. Many models of our riding products are available with a variety of engines, decks, transmissions, and accessories. Our TimeCutter® SS and TimeCutter MX zero-turn radius riding mowers are equipped with our Smart Speed® control system, which is designed to allow the operator to choose different ground speed ranges without changing the blade or engine speed. In fiscal 2019, we introduced two new models in our TimeCutter MX line of residential zero-turn radius riding mowers, the MX5000 and MX5050. Both models have a 50-inch heavy-duty fabricated deck featuring our IronForged® cutting system that tackles challenging cutting conditions and new 18-inch thickly padded premium seats for improved operator comfort. The MX5050 also features our Smart Speed control system, which is designed to allow the operator to choose from three speeds, providing</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optimal performance when trimming, towing attachments, and mowing.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Snow Thrower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 market a range of gas-powered single-stage and two-stage snow thrower models, as well as a range of electric and battery-powered single-stage snow thrower models. Our electric snow throwers are designed to be lightweight and ideal for clearing up to twelve inches of snow from decks, steps, sidewalks, and small driveways. Single-stage snow throwers are walk behind units with lightweight four-cycle gasoline engines. Most single-stage snow thrower models include our Power Curve® snow thrower technology, and some feature our Quick Shoot™ control system that is designed to enable operators to quickly change snow-throwing direction. Our pivoting scraper is designed to keep the rotor in constant contact with the pavement. Our two-stage snow throwers are generally designed for relatively large areas of deep and heavy snow. Our two-stage snow throwers include a line of models featuring our patented Anti-Clogging System and Quick Stick® chute control technology. In fiscal 2019, we introduced a refreshed line of Toro Power Clear® gas-powered, single-stage snow throwers as well as the new Flex-Force 60V lithium-ion powered single-stage snow products. These models are designed to efficiently remove snow while reducing clogging with the curved paddles and funneled housing of the Power Curve Technology. The new Flex-Force 60V lithium-ion powered single-stage snow products also feature Toro's lithium-ion smart batteries.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Home Solutions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design and market home solutions products under the Toro and Pope brand names. Our Toro brand name products include yard tools such as electric, gas, and battery grass trimmers; electric and battery hedge trimmers; and electric, gas, and battery blower-vacuums. Toro's new assortment of products with the Flex-Force Power System featuring 60V lithium-ion technology also includes leaf blowers and string trimmers. The new 60V leaf blower is designed to deliver more power than other products in the market in order to efficiently clear large piles of leaves and debris, while the 60V cordless string trimmer features a high-performance brushless motor designed for extended life with low maintenance. Each of these products feature Toro's lithium-ion smart batteries.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Australia and New Zealand, we design and market garden product offerings, such as underground, hose, and hose-end retail irrigation products under the Pope brand name. These garden watering and irrigation solutions include hoses; reels, carts and hangers; sprinklers; hand sprays and wands; hose end fittings; tap timers; various irrigation tools; and pots and accessories designed to develop and maintain gardens. In fiscal 2019, we launched or refreshed in excess of fifty retail garden products and successfully executed significant packaging cost savings measures. Toro was classified as "advanced" in its most recent audit of sustainable packaging activities undertaken by the Australian Packaging Covenant, a government body established to drive improvements in environmental sustainability relating to packaging. In fiscal 2019,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introduced new models into the "Auto Wind Hose Reel" product category, designed with a focus on controlled rewind and user safety. Additionally, in fiscal 2019 we introduced new products in the hose end sprinkler category, creating a patented click-and-go system intended to give users a wider choice of sprinkler and base options.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International Operations and Business Segments</w:t>
      </w:r>
    </w:p>
    <w:p>
      <w:pPr>
        <w:spacing w:after="0" w:line="22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 xml:space="preserve">We currently manufacture our products in the U.S., Mexico, Australia, the United Kingdom, Italy, Romania, Germany, Poland, and China for sale throughout the world. We maintain sales offices in the U.S., Belgium, the United Kingdom, Australia, Japan, China, Italy, Poland, Germany, Spain, and France. New product development is pursued primarily in the U.S. with the intention of global distribution. Our net sales outside the U.S. were 23.1 percent, 24.6 percent, and 24.4 percent of total consolidated net sales for fiscal 2019, 2018, and 2017, respectively. For additional financial information regarding our international operations and geographical areas, and our reportable business segments, refer to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189" w:lineRule="exact"/>
        <w:rPr>
          <w:sz w:val="20"/>
          <w:szCs w:val="20"/>
          <w:color w:val="auto"/>
        </w:rPr>
      </w:pPr>
    </w:p>
    <w:p>
      <w:pPr>
        <w:jc w:val="both"/>
        <w:ind w:left="160"/>
        <w:spacing w:after="0" w:line="257"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currency exchange rate risk arising from transactions in the normal course of business. For additional information regarding our foreign currency exchange rate risk exposure, refer to Part II, Item 7A, "Quantitative and Qualitative Disclosures about Market Risk" of this Annual Report on Form 10-K.</w:t>
      </w:r>
    </w:p>
    <w:p>
      <w:pPr>
        <w:spacing w:after="0" w:line="4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Engineering and Research</w:t>
      </w:r>
    </w:p>
    <w:p>
      <w:pPr>
        <w:spacing w:after="0" w:line="22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 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and reduce costs, while also improving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5600" w:space="60"/>
            <w:col w:w="576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most final assembly, 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where applicable. We design component parts in cooperation with our vendors, contract with them for the development of tooling, and subsequently enter into agreements with such vendors to purchase component parts manufactured using the tooling. We also have some agreements with third-party manufacturers to manufacture certain products on our behalf.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utilize our manufacturing facilities and technology more efficiently and effectively, we pursue continuous improvements in our 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Professional segment products are manufactured throughout the year. Our Residential segment lawn and garden products are also generally manufactured throughout the year. However, our Residential segment snow thrower products are manufactured in the summer and fall months but may be extended into the winter months, depending upon demand. Our products are tested in conditions and locations similar to those in which they are intended to be used. We use computer-aided design and manufacturing systems to shorten the time between initial concept and final production. DFM/A principles are used throughout the product development process to optimize product quality and reduce cost.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production levels and inventory management goals are based on estimates of wholesale and retail demand for our products, taking into account production capacity, labor availability,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periodically shut down production at our manufacturing facilities in order to allow for maintenance, rearrangement,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equipment installation, seasonality, and as needed, to adjust for market demand and facility renovation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Commodities, Components, Parts, and Accessories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purchase commodities comprised of raw materials such as steel, aluminum, petroleum and natural gas-based resins, linerboard, and other materials, as well as components, such as engines, transmissions, transaxles, hydraulics, and electric motors, for use in our products. In addition, we are a purchaser of parts and accessories containing various commodities, including steel, aluminum, copper, lead, rubber, and others that are integrated into our end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 Most of the commodities, components, parts, and accessories utilized in our products are generally commercially available from a number of sources, and are in adequate supply. However, certain items are sourced from single suppliers. In fiscal 2019, similar to fiscal 2018, we experienced work stoppages as a result of supply chain challenges related to the availability or quality of commodities, components, parts, and accessories.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including, for example, as a result of inflation, deflation, changing prices, tariffs, and/or duties. We strategically work to mitigate any unfavorable impact as a result of changes to the cost of commodities, components, parts, and accessories that affect our product lines.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and component costs increase, as a result of inflation, tariffs, duties,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 parts, and accessories costs.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2019, the average cost of commodities, components, parts, and accessories purchased, including the impact of inflation and tariff costs, was higher compared to the average</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commodities, components, parts, and accessories purchased in fiscal 2018. We anticipate the average price of commodities, components, parts, and accessories, including the impact of inflation, deflation, tariff, and/or duty costs, in fiscal 2020 to be slightly lower than the average price paid for commodities, components, parts, and accessories during fiscal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insurance coverage for catastrophic product liability claims for incidents that exceed our self-insured retention levels.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certain patents issued by the U.S. Patent and Trademark Office ("USPTO") and international patent offices to help avoid potential liability with respect to others'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 Such cases are at varying stages in the litigation process.</w:t>
      </w:r>
    </w:p>
    <w:p>
      <w:pPr>
        <w:spacing w:after="0" w:line="18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Similarly, we periodically monitor various trademark registers and the market to prevent infringement of and damage to our trademarks by others. From time to time, we are involved in trademark oppositions where we are asserting our trademarks against third-parties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Shipments of our Residential segment products, which accounted for 21.1 percent of total consolidated net sales in fiscal 2019, are seasonal, with shipments of lawn and garden products occurring primarily between February and June, depending upon seasonal weather conditions and demand for our products. Shipments of snow thrower products occur primarily between July and January, depending upon pre-season demand, in-season snowfalls, and product availability. Opposite seasons in global markets in which we sell our Residential products somewhat moderate this seasonality of our Residential segment product sales.</w:t>
      </w:r>
    </w:p>
    <w:p>
      <w:pPr>
        <w:spacing w:after="0" w:line="18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Seasonality of Professional segment product sales also exists, but is tempered because the selling season in the Southern U.S. and our markets in the Southern hemisphere continue for a longer portion of the year than in Northern regions of the world. Our BOSS snow and ice management business offers a portfolio of counter-seasonal products in our Professional segment with our shipments of snow and ice management equipment occurring primarily between April and December, which can result in variability of shipment volumes depending upon pre-season demand, in-season snowfalls, and product availability. Additionally, CMW has historically been less seasonal than certain of our Professional segment businesses primarily due to its strong presence in the Southern U.S. markets and the inherent nature of the underground construction market being less impacted by seasonal factors.</w:t>
      </w:r>
    </w:p>
    <w:p>
      <w:pPr>
        <w:spacing w:after="0" w:line="18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Overall, our worldwide shipment volumes are historically the highest in our fiscal second quarter and retail demand is generally highest in our fiscal third quarter. Typically, our accounts receivable balances increase between January and April as a result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5600" w:space="60"/>
            <w:col w:w="576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financed from a combination of cash flows from operations, cash on hand, and borrowings under our revolving credit facility, as applicable.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200025</wp:posOffset>
            </wp:positionV>
            <wp:extent cx="2684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Earnings</w:t>
            </w:r>
          </w:p>
        </w:tc>
      </w:tr>
      <w:tr>
        <w:trPr>
          <w:trHeight w:val="269"/>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First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3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Second</w:t>
            </w:r>
            <w:r>
              <w:rPr>
                <w:rFonts w:ascii="Times New Roman" w:cs="Times New Roman" w:eastAsia="Times New Roman" w:hAnsi="Times New Roman"/>
                <w:sz w:val="8"/>
                <w:szCs w:val="8"/>
                <w:color w:val="auto"/>
              </w:rPr>
              <w:t>1,2</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42%</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w:t>
            </w:r>
          </w:p>
        </w:tc>
      </w:tr>
      <w:tr>
        <w:trPr>
          <w:trHeight w:val="275"/>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Third</w:t>
            </w:r>
            <w:r>
              <w:rPr>
                <w:rFonts w:ascii="Times New Roman" w:cs="Times New Roman" w:eastAsia="Times New Roman" w:hAnsi="Times New Roman"/>
                <w:sz w:val="8"/>
                <w:szCs w:val="8"/>
                <w:color w:val="auto"/>
              </w:rPr>
              <w:t>1,2</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3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w:t>
            </w:r>
          </w:p>
        </w:tc>
      </w:tr>
      <w:tr>
        <w:trPr>
          <w:trHeight w:val="265"/>
        </w:trPr>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Fourth</w:t>
            </w:r>
            <w:r>
              <w:rPr>
                <w:rFonts w:ascii="Times New Roman" w:cs="Times New Roman" w:eastAsia="Times New Roman" w:hAnsi="Times New Roman"/>
                <w:sz w:val="8"/>
                <w:szCs w:val="8"/>
                <w:color w:val="auto"/>
              </w:rPr>
              <w:t>1</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r>
    </w:tbl>
    <w:p>
      <w:pPr>
        <w:spacing w:after="0" w:line="199" w:lineRule="exact"/>
        <w:rPr>
          <w:sz w:val="20"/>
          <w:szCs w:val="20"/>
          <w:color w:val="auto"/>
        </w:rPr>
      </w:pPr>
    </w:p>
    <w:p>
      <w:pPr>
        <w:jc w:val="both"/>
        <w:ind w:left="340" w:hanging="332"/>
        <w:spacing w:after="0" w:line="227" w:lineRule="auto"/>
        <w:tabs>
          <w:tab w:leader="none" w:pos="34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Fiscal 2019 net sales and net earnings were impacted by our acquisition of CMW. Refer to Part II, Item 7, "Management's Discussion and Analysis of Financial Condition and Results of Operations," and Note 2,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of the Notes to Consolidated Financial Statements included in Part II, Item 8, "Financial Statements and Supplementary Data" of this Annual Report on Form 10-K for additional information regarding CMW and its impact to our fiscal 2019 Results of Operations.</w:t>
      </w:r>
    </w:p>
    <w:p>
      <w:pPr>
        <w:spacing w:after="0" w:line="194" w:lineRule="exact"/>
        <w:rPr>
          <w:sz w:val="20"/>
          <w:szCs w:val="20"/>
          <w:color w:val="auto"/>
        </w:rPr>
      </w:pPr>
    </w:p>
    <w:p>
      <w:pPr>
        <w:jc w:val="both"/>
        <w:ind w:left="340" w:hanging="332"/>
        <w:spacing w:after="0" w:line="227"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fiscal 2019, CMW's financial position, results of operations, and cash flows were reported on a calendar month end. Accordingly, April 30, 2019 and July 31, 2019 were the quarterly period end dates closest to our quarterly fiscal periods ended May 3, 2019 and August 2, 2019, respectively. This reporting period difference did not have material impact on our Consolidated Results of Operations during our second and third fiscal quarters. For our fiscal 2019 fourth quarter, the reporting period end for both CMW and Toro was October 31,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Weather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weather conditions in particular geographic regions or markets may adversely or positively affect sales of some of our products and field inventory levels and result in a negative or positive impact on our future net sales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commodities, components, parts, and accessories used in production of end-products and/or sold as standalone end-products; replacement parts inventory; payroll and other administrative costs; capital expenditures; establishment of new facilities; expansion and renovation of existing facilities; as well as for financing receivables from customers that are not financed with Red Iron Acceptance, LLC ("Red Iron"), our joint venture with TCF Inventory Finance, Inc. ("TCFIF"), or with other third-party financial institutions. Our strategy continues to place emphasis on improving asset utilization with a focus on reducing the amount of working capital in the supply chain, adjusting production plans, and maintaining or improving order replenishment and service levels to end-users. We fund our operations through a combination of cash flows from operations, cash on hand, and, as applicable, short-term and/or long-term debt, including borrowings under our revolving credit facility. Cash management is centralized,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financing is used, wherever possible, to provide working capital to wholly owned subsidiaries as needed. In addition, our revolving credit facility is available for additional working capital needs, acquisitions, or other investment opportunities,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the majority of our products through 68 domestic and 140 international distributors, as well as a large number of equipment dealers, irrigation dealers and distributors, mass retailers, hardware retailers, home centers, and online (direct to end-users) in more than 129 countries worldwide. Our distribution systems are intended to assure quality of sales and market presence, as well as to provide effective after-purchase service and support.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and municipalities, rental companies, and agricultural irrigation dealers, as well as to end-users in certain international markets. Select irrigation and lighting products are sold to professional irrigation and lighting distributors and dealers, and certain professional-grade retail irrigation products are sold to home centers. Products for the rental and specialty construction and underground construction markets are sold to dealers and rental companies. Landscape contractor turf products are also sold to dealers in certain regions of North America. Snow and ice management products are primarily sold to distributors and dealers for resale to contractors.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Residential segment products, such as walk power mowers, zero-turn radius riding mowers, and snow throwers, are generally sold to home centers, mass retailers, dealers, hardware retailers, as well as online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November 30, 2018, during the first quarter of fiscal 2019, we completed our acquisition of a Northeastern U.S. distribution company,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During fiscal 2017 and 2018, we owned one wholly-owned domestic distribution company. Our primary purpose in owning domestic distributorships is to improve operations and test and deploy new strategies and business practices that could be replicated by our independent distributors, as well as facilitating ownership transfers.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marketing strategy is to maintain distinct brands and brand identification for Toro, eXmark, BOSS, Ditch Witch, American Augers, Trencor, Subsite, HammerHead, Radius, Unique Lighting Systems, Rain Master, Pope, PERROT, Hayter, and Lawn-Boy products.</w:t>
      </w:r>
    </w:p>
    <w:p>
      <w:pPr>
        <w:spacing w:after="0" w:line="548"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Across our brands, we market our Professional segment and Residential segment products during the appropriate season through multiple channels, including digital and online media, radio, print, direct mail, email, television,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Customer Financing Arrangements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we believe that in the long-term we are not dependent on any single customer; and during fiscal 2019 and 2018, no customer accounted for 10.0 percent or more of our total consolidated gross sales. Historically, the Residential segment of our business has had significant sales to The Home Depot as a customer, which accounted for approximately 10.0 percent of our total consolidated gross sales in fiscal 2017. While the loss of any substantial customer could have a material adverse short-term impact on our business, we believe that our diverse distribution channels and customer base should reduce the long-term impact of any such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Financing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a joint venture with TCFIF, a subsidiary of TCF National Bank, established as Red Iron. The primary purpose of Red Iron is to provide inventory financing to certain distributors and dealers of certain of our products in the U.S. In addition, TCF Commercial Finance Canada, Inc. ("TCFCFC") provides inventory financing to dealers of certain of our products in Canada. Under these financing arrangements, down payments are not required, and depending on the finance program for each product line, finance charges are paid by us, shared between us and the distributor and/or the dealer, or paid by the distributor or dealer. Red Iron retains a security interest in the distributors' and dealers' financed inventories and such inventories are monitored regularly. Financing terms to the distributors and dealers require payment as the equipment, which secures the indebtedness, is sold to customers or when payment otherwise becomes due under the agreements between these financing entities and the distributors and dealers, whichever occurs first. Rates are generally indexed to LIBOR plus a fixed percentage that differs based on whether the financing is for a distributor or dealer. Rates may also vary based on the product that is financed. We also have agreements with other third-party financial institutions to provide floor plan financing to certain dealers and for certain products not financed through Red Iron, which include agreements with third-party financial institutions as a result of our acquisition of CMW.</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continue to provide financing in the form of open account terms directly to home centers and mass retailers, general line irrigation dealers, certain international distributors and dealers, ag-irrigation dealers and distributors, government customers, and rental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lease-financing options to golf course, sports field and grounds equipment and underground construction equipment customers in the U.S, Canada, Australia, and select countries in Europe. The purpose of these agreements is to provide end-users of our products alternative financing options when purchasing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of Orders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backlog of orders is dependent upon when customers place orders and is not necessarily an indicator of our expected results for our fiscal 2020 net sales. The approximate backlog of orders as of October 31, 2019 and 2018 was $112.5 million and $77.8 million, respectively, an increase of 44.6 percent. Backlog orders were higher at the end of fiscal 2019 compared to the end of fiscal 2018 as a result of our acquisition of CMW, partially offset by reduced backlog in certain of our Professional segment businesses due to higher field inventory levels for our Professional segment zero-turn riding mowers due to soft retail demand. For additional information regarding the acquisition of CMW,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 We expect the existing backlog of orders will be filled in early fiscal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mass retailers, hardware retailers, home centers, as well as online (direct to end-users), users are offered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professional and residential landscapes and CMW has a similar history in and focus in the underground construction industry, and our distribution channels position us well to compete in various markets.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Internationally, our Residential segment products face more competition because many foreign competitors design, manufacture, and market products in their respective countries. We experience this competition primarily in Europe. In addition, fluctuations in the value of the U.S. dollar affect the price of our products in foreign markets, thereby impacting their competitiveness. We provide pricing support, as appropriate, to foreign customers to remain competitive in international markets.</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During fiscal 2019, we employed an average of 8,237 employees. The total number of employees as of October 31, 2019 was 9,329. We consider our employee relations to be good. As of October 31, 2019, we had four collective bargaining agreements that expire in October 2020, March 2022, May 2022, and October 2022, covering approximately 13.0 percent of our total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Other Governmental Regulation</w:t>
      </w:r>
    </w:p>
    <w:p>
      <w:pPr>
        <w:spacing w:after="0" w:line="229"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We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83" w:lineRule="exact"/>
        <w:rPr>
          <w:sz w:val="20"/>
          <w:szCs w:val="20"/>
          <w:color w:val="auto"/>
        </w:rPr>
      </w:pPr>
    </w:p>
    <w:p>
      <w:pPr>
        <w:jc w:val="both"/>
        <w:ind w:left="340" w:right="20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EPA, the California Air Resources Board,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EPA implementation of Tier 4 emission requirements applicable to diesel engines several years ago, China and the European Union ("EU") also have adopted similar regulations, and similar emission regulations are also being considered in other markets in which we sell our products.</w:t>
      </w:r>
    </w:p>
    <w:p>
      <w:pPr>
        <w:spacing w:after="0" w:line="5" w:lineRule="exact"/>
        <w:rPr>
          <w:rFonts w:ascii="Times New Roman" w:cs="Times New Roman" w:eastAsia="Times New Roman" w:hAnsi="Times New Roman"/>
          <w:sz w:val="18"/>
          <w:szCs w:val="18"/>
          <w:color w:val="auto"/>
        </w:rPr>
      </w:pPr>
    </w:p>
    <w:p>
      <w:pPr>
        <w:jc w:val="both"/>
        <w:ind w:left="340" w:right="200" w:hanging="332"/>
        <w:spacing w:after="0" w:line="25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government, several U.S. states, and certain international jurisdictions in which we sell our products, including the EU and each of its member states, have implemented one or more of the following: (i) product life-cycle laws, rules, or regulations, which are intended to reduce waste and environmental and human health impact, and require manufacturers to label, collect, dispose, and recycle certain products, including some of our products, at the end of their useful life, including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 rules, or regulations that require notification of use of certain chemicals, or ban or restrict the use of certain chemicals; (iv) country of origin</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laws, rules, or regulations, which require certification of the geographic origin of our finished goods products and/or components used in our products through documentation and/or physical markings, as applicable; (v) energy efficiency laws, rules, or regulations, which are intended to reduce the use and inefficiencies associated with energy and natural resource consumption and require specified efficiency ratings and capabilities for certain products; (vi) outdoor noise laws, which are intended to reduce noise emissions in the environment from outdoor equipment; (vii) conflict minerals laws, such as the Dodd-Frank Wall Street Reform and Consumer Protection Act and the rules promulgated by the U.S. Securities and Exchange Commission ("SEC"), which require specific procedures for the determination and disclosure of the use of certain minerals, known as "conflict minerals," which are mined from the Democratic Republic of the Congo and adjoining countries; and (viii) other product substance restriction laws, some of which require certain labeling of products, such as California Proposition 65.</w:t>
      </w:r>
    </w:p>
    <w:p>
      <w:pPr>
        <w:spacing w:after="0" w:line="12" w:lineRule="exact"/>
        <w:rPr>
          <w:sz w:val="20"/>
          <w:szCs w:val="20"/>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when used by residential users, may be subject to various federal, state, and international laws, rules, and regulations that are designed to protect consumers, including rules and regulations of the U.S. Consumer Product Safety Commission.</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believe that we are in substantial compliance with currently applicable laws, rules, and regulations, we are unable to predict the ultimate impact of adopted or future laws, rules, and regulations on our business, properties or products.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laws, rules, or regulations could result in harm to our reputation and/or could lead to fines and other penalties, including restrictions on the importation of our products into, or the sale of our products in, one or more jurisdictions until compliance is achieved.</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involved in the evaluation and environmental clean-up of a limited number of properties currently and previously owned. We do not expect that these matters will have a material adverse effect on our Consolidated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U.S. public reporting company under the Securities Exchange Act of 1934, as amended ("Exchange Act"), and file reports, proxy statements, and other information with the SEC. Copies of these reports, proxy statements, and other information can be accessed from the SEC's home page on the Internet at http://www.sec.gov.</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our website www.thetorocompany.com (select the "Investor Information" link and then the "Financials &amp; Filings" link), our Annual Reports on Form 10-K, Quarterly Reports on Form 10-Q, Current Reports on Form 8-K, Proxy Statements on</w:t>
      </w:r>
    </w:p>
    <w:p>
      <w:pPr>
        <w:sectPr>
          <w:pgSz w:w="11900" w:h="16838" w:orient="portrait"/>
          <w:cols w:equalWidth="0" w:num="2">
            <w:col w:w="5800" w:space="20"/>
            <w:col w:w="560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website or connected to our website is not incorporated by reference into this Annual Report on Form 10-K and should not be considered part of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85"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Forward-Looking Statements</w:t>
      </w:r>
      <w:r>
        <w:rPr>
          <w:sz w:val="20"/>
          <w:szCs w:val="20"/>
          <w:color w:val="auto"/>
        </w:rPr>
        <w:tab/>
      </w:r>
      <w:r>
        <w:rPr>
          <w:rFonts w:ascii="Times New Roman" w:cs="Times New Roman" w:eastAsia="Times New Roman" w:hAnsi="Times New Roman"/>
          <w:sz w:val="18"/>
          <w:szCs w:val="18"/>
          <w:b w:val="1"/>
          <w:bCs w:val="1"/>
          <w:color w:val="auto"/>
        </w:rPr>
        <w:t>ITEM 1A.  RISK FACTORS</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the integration of CMW; and the effect of laws, rules, policies, regulations, tax reform, new accounting pronouncements, and outstanding litigation on our business and future performance.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significant risk factors known to us that could materially adversely affect our business, reputation, operating results, industry, financial position, or future financial performance: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net sales and earnings could be adversely affected by economic conditions and outlook in the U.S. and in other countries in which we conduct business.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Adverse economic conditions and outlook in the U.S. and in other countries in which we conduct business can impact demand for our products and, ultimately, our net sales and earnings. These include, but are not limited to, recessionary conditions; slow or negative economic growth rates; the impact of U.S. federal debt, state debt, and sovereign debt defaults and austerity measures by certain European countries; reduced governmental or municipal spending;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increased unemployment rates; prolonged high unemployment rates; higher costs of commodities, components, parts, and accessories and/or transportation-related costs, including as a result of inflation, changing prices, tariffs, and/or duties; inflationary or deflationary pressures; reduced credit availability or unfavorable credit terms for our distributors, dealers, and end-user customers; higher short-term, mortgage, and other interest rates; reduced infrastructure spending;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Weather conditions may reduce demand for some of our products and adversely affect our net sales or otherwise adversely affect our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weather conditions in a particular geographic region may adversely affect sales, demand, and field inventory levels of some of our products. For example, in the past, drought or unusually wet conditions have had an adverse effect on sales of certain mowing equipment products, unusually rainy weather or severe drought conditions that result in watering bans, or otherwise, have had an adverse effect on sales of our irrigation products, and lower snowfall accumulations in key markets have had an adverse effect on sales of our Residential snow thrower products and products of our Professional snow and</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equipment products. To the extent that unfavorable weather conditions are exacerbated by global climate change or otherwise, our sales and operating results may be affected to a greater degree than we have previously experienced.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have affected our operating results and could continue to result in declines in our reported net sales and net earnings.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the applicable exchange rate. Accordingly, we are exposed to foreign currency exchange rate risk arising from transactions in the normal course of business, such as sales and loans to wholly owned subsidiaries, sales to third-party customers, purchases from suppliers, and bank lines of credit with creditors denominated in foreign currencies.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reported net sales and net earnings are subject to fluctuations in foreign currency exchange rates that have affected our operating results and could continue to result in declines in our reported net sales and net earnings. Because our products are manufactured or sourced primarily from the U.S. and Mexico, a stronger U.S. dollar and Mexican peso generally have a negative impact on our operating results, while a weaker U.S. dollar and Mexican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Further, we may also experience foreign currency exchange rate exposure as a result of the volatility and uncertainty that may arise as a result of the United Kingdom's process for exiting the EU.</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actively manage the exposure of our foreign currency market risk in the normal course of business by entering into various derivative instruments to hedge against such risk, these derivative instruments involve risks and may not effectively limit our underlying exposure to foreign currency exchange rate fluctuations or minimize our net earnings and cash volatility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associated with foreign currency exchange rate changes. Further, the failure of one or more counterparties to our foreign currency exchange rate contracts to fulfill their obligations to us could adversely affect our operating results.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commodities, components, parts, and accessories that we purchase and/or increases in our other costs of doing business, have, and could continue to, adversely affect our profit margins and businesses.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purchase commodities, components, parts, and accessories for use in our manufacturing process and end-products or to be sold as standalone end-products. Most of the commodities, components, parts, and accessories used in our manufacturing process and end-products are exposed to commodity cost changes, including, for example, as a result of inflation, deflation, changing prices, tariffs, and/or duties. Our primary commodity cost exposures are with steel, aluminum, petroleum and natural gas-based resins, copper, lead, rubber, linerboard, and others. To the extent that commodity, component, parts, or accessories costs increase, as a result of inflation, tariffs, duties, or otherwise, and we do not have firm pricing from our suppliers, or our suppliers are not able to honor such prices, we may experience a decline in our profit margins. Furthermore, changes to international trade policies or agreements could result in additional tariffs, duties or other charges on commodities, components, parts or accessories we import into the U.S. and/or use in our products. In addition, increases in other costs of doing business may also adversely affect our profit margins and businesses. For example, an increase in fuel costs and/or freight rates may result in an increase in our transportation costs, which also could adversely affect our operating results and businesses.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mitigated commodity, component, parts, or accessories cost increases, in part, by collaborating with suppliers, reviewing alternative sourcing options, substituting materials, utilizing Lean methods, engaging in internal cost reduction efforts, and increasing prices on some of our products, all as appropriate. However, we may not be able to fully offset increased commodity, component, parts, or accessories costs in the future. Further, if our price increases are not accepted by our customers and the market, our net sales, profit margins, earnings, and market share could be adversely affected.</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 and/or shortages in the availability of commodities, components, parts, or accessories used in our products has, and could continue to,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most of the commodities, components, parts or accessories used in our end-products or sold as standalone end-products are generally commercially available from a number of sources and in adequate supply, certain items are sourced from single suppliers. Any disruption or shortages in the availability of commodities, components, parts, or accessories used in our end-products or sold as standalone end-products, including as a result of labor staffing or other challenges that may be experienced by our suppliers, natural disasters, adverse weather, or other events, our inability to timely or otherwise obtain substitutes for such items, or any deterioration in our</w:t>
      </w:r>
    </w:p>
    <w:p>
      <w:pPr>
        <w:spacing w:after="0" w:line="41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relationships with, the financial viability or quality of, or the personnel relationships at, our suppliers, could adversely affect our business and operating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Professional segment includes a variety of product portfolios that are dependent upon certain and varied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Professional segment includes a variety of product portfolios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Among other things, any one or a combination of the following factors could result in a decrease in spending and demand for our products and have an adverse effect on our Professional segment net sales:</w:t>
      </w:r>
    </w:p>
    <w:p>
      <w:pPr>
        <w:spacing w:after="0" w:line="81" w:lineRule="exact"/>
        <w:rPr>
          <w:sz w:val="20"/>
          <w:szCs w:val="20"/>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levels of investment in golf course renovations and improvements and new golf course development; reduced revenue for golf courses resulting from a decrease in rounds played and/or memberships, as applicable; and increased number of golf course closures;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consumer and business spending on property maintenance, such as lawn care and snow and ice removal activities, and/or unfavorable weather conditions, causing property owners and landscape contractor professionals to forego or postpone purchases of our products;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reduced levels of residential, commercial, and/or municipal construction projects and/or infrastructure improvements;</w:t>
      </w:r>
    </w:p>
    <w:p>
      <w:pPr>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acceptance of and demand for ag-irrigation solutions for agricultural production;</w:t>
      </w:r>
    </w:p>
    <w:p>
      <w:pPr>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or credit on acceptable terms to finance new product purchases; and</w:t>
      </w:r>
    </w:p>
    <w:p>
      <w:pPr>
        <w:ind w:left="340" w:right="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and/or government budgetary constraints resulting in reduced spending for grounds maintenance or construction equipment.</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Residential segment net sales are dependent upon consumers buying our Residential segment products at dealers, mass retailers, and home centers; the amount of product placement at mass retailers and home centers; consumer confidence and spending levels; changing buying patterns of customers; and the impact of significant sales or promotional events.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elimination or reduction of shelf space assigned to our Residential segment products or other changes to the placement of our products by or at mass retailers and home centers, could adversely affect our Residential segment net sales. Our Residential segment net sales also are dependent upon the buying patterns of consumers and changing buying patterns of consumers could result in reduced sales of one or more of our Residential segment products. For example, as consumers purchase products at home centers and mass retailers that offer broader and lower price points than dealers, we have experienced increased demand and sales of our Residential segment products purchased at mass retailers and home centers. Historically, The Home Depot has been a substantial customer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ours, which accounted for approximately 10.0 percent of our total consolidated gross sales in fiscal 2017. We believe that our diverse distribution channels and customer base should reduce the long-term impact on us if we were to lose any substantial customer. However, the loss of any substantial customer, a significant reduction in sales to such customers, or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can be impacted as a result of the timing of significant sales or promotional events for our Residential products.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our product mix between reportable segments and/or within a reportable segment could adversely impact our financial performance, including profit margins and net earnings.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Professional segment products generally have higher profit margins than our Residential segment products. Accordingly, our financial performance, including our profit margins and net earnings, can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could be negatively impacted. Similarly, within each reportable segment, if we experience lower sales of products that generally carry higher profit margins, our financial performance, including profit margins and net earnings, could be negatively impacted.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grow our business in part through acquisitions and alliances, strong customer relations, and new joint ventures, investments, and partnerships, which could be risky and may harm our business, reputation, financial condition, and operating results.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our strategies is to drive growth in our businesses and accelerate opportunities to expand our global presence through targeted acquisitions and alliances, such as our CMW acquisition, strong customer relations, and new joint ventures, investments, and partnerships that add value while supplementing and complementing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Any acquisition, alliance, joint venture, investment, or partnership could impair our business, financial condition, reputation, and operating results.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Acquisitions, alliances, joint ventures, investments, and partnerships may involve a number</w:t>
      </w:r>
    </w:p>
    <w:p>
      <w:pPr>
        <w:spacing w:after="0" w:line="416"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risks, the occurrence of which could adversely affect our business, reputation, financial condition, and operating results, including:</w:t>
      </w:r>
    </w:p>
    <w:p>
      <w:pPr>
        <w:spacing w:after="0" w:line="5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and assimilating information and financial systems, operations, manufacturing processes and products of an acquired business or other business venture or in realizing projected efficiencies, growth prospects, cost savings, and synergies;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or develop a distribution channel for acquired product lines;</w:t>
      </w: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distributors, or dealers of the acquired businesses or adverse effects on existing business relationships with suppliers, customers, distributors, and dealers;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intangible assets, and/or long-lived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challenges in transitioning distributors and dealers of acquired businesses to available floor plan financing arrangements;</w:t>
      </w: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the financial results projected in our valuation models;</w:t>
      </w: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by acquired businesses or other business ventures of intellectual property rights of others;</w:t>
      </w: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spacing w:after="0" w:line="2"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and incurrence of non-recurring charges.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effective internal controls are necessary for us to provide reliable and accurate financial reports and to effectively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Any difficulties in the assimilation of acquired businesses into our internal control framework could harm our operating results or cause us to fail to meet our financial reporting obligations. 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191" w:lineRule="exact"/>
        <w:rPr>
          <w:sz w:val="20"/>
          <w:szCs w:val="20"/>
          <w:color w:val="auto"/>
        </w:rPr>
      </w:pPr>
    </w:p>
    <w:p>
      <w:pPr>
        <w:jc w:val="both"/>
        <w:ind w:lef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 of The Charles Machine Works, Inc. involves a number of risks, the occurrence of which could adversely affect our business, financial condition, and operating results.</w:t>
      </w:r>
    </w:p>
    <w:p>
      <w:pPr>
        <w:spacing w:after="0" w:line="175"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On April 1, 2019, we completed our acquisition of CMW. Such acquisition involves certain risks, the occurrence of which could adversely affect our business, financial condition, and operating results, including:</w:t>
      </w:r>
    </w:p>
    <w:p>
      <w:pPr>
        <w:spacing w:after="0" w:line="68" w:lineRule="exact"/>
        <w:rPr>
          <w:sz w:val="20"/>
          <w:szCs w:val="20"/>
          <w:color w:val="auto"/>
        </w:rPr>
      </w:pPr>
    </w:p>
    <w:p>
      <w:pPr>
        <w:ind w:left="540" w:hanging="332"/>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the CMW businesses and integrate CMW’s operations;</w:t>
      </w:r>
    </w:p>
    <w:p>
      <w:pPr>
        <w:ind w:left="540" w:right="20" w:hanging="332"/>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existing operations and plans or inability to effectively manage our expanded operations;</w:t>
      </w:r>
    </w:p>
    <w:p>
      <w:pPr>
        <w:jc w:val="both"/>
        <w:ind w:left="540" w:hanging="332"/>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difficulties or delays in securing, integrating and assimilating information, financial systems, internal controls, operations, manufacturing processes and products, or the distribution channel for CMW’s businesses and product lines;</w:t>
      </w:r>
    </w:p>
    <w:p>
      <w:pPr>
        <w:spacing w:after="0" w:line="1" w:lineRule="exact"/>
        <w:rPr>
          <w:rFonts w:ascii="Times New Roman" w:cs="Times New Roman" w:eastAsia="Times New Roman" w:hAnsi="Times New Roman"/>
          <w:sz w:val="18"/>
          <w:szCs w:val="18"/>
          <w:color w:val="auto"/>
        </w:rPr>
      </w:pPr>
    </w:p>
    <w:p>
      <w:pPr>
        <w:jc w:val="both"/>
        <w:ind w:left="540" w:hanging="332"/>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distributors, dealers, or suppliers or other adverse effects on existing business relationships with customers, distributors, dealers, and suppliers;</w:t>
      </w:r>
    </w:p>
    <w:p>
      <w:pPr>
        <w:spacing w:after="0" w:line="1" w:lineRule="exact"/>
        <w:rPr>
          <w:rFonts w:ascii="Times New Roman" w:cs="Times New Roman" w:eastAsia="Times New Roman" w:hAnsi="Times New Roman"/>
          <w:sz w:val="18"/>
          <w:szCs w:val="18"/>
          <w:color w:val="auto"/>
        </w:rPr>
      </w:pPr>
    </w:p>
    <w:p>
      <w:pPr>
        <w:jc w:val="both"/>
        <w:ind w:left="540" w:hanging="332"/>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the growth prospects, net sales, earnings, cost or revenue synergies, or other financial results projected in our valuation models, delays in the realization thereof or costs or charges incurred to achieve any revenue or cost synergies, including as a result of the Toro underground wind down or otherwise;</w:t>
      </w:r>
    </w:p>
    <w:p>
      <w:pPr>
        <w:spacing w:after="0" w:line="2" w:lineRule="exact"/>
        <w:rPr>
          <w:rFonts w:ascii="Times New Roman" w:cs="Times New Roman" w:eastAsia="Times New Roman" w:hAnsi="Times New Roman"/>
          <w:sz w:val="18"/>
          <w:szCs w:val="18"/>
          <w:color w:val="auto"/>
        </w:rPr>
      </w:pPr>
    </w:p>
    <w:p>
      <w:pPr>
        <w:jc w:val="both"/>
        <w:ind w:left="540" w:hanging="332"/>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leverage and debt service requirements to fund the purchase price of the acquisition could restrict our ability to access additional capital when needed, result in a decrease in our credit rating, or limit our ability to pursue other important elements of our business strategy;</w:t>
      </w:r>
    </w:p>
    <w:p>
      <w:pPr>
        <w:spacing w:after="0" w:line="2" w:lineRule="exact"/>
        <w:rPr>
          <w:rFonts w:ascii="Times New Roman" w:cs="Times New Roman" w:eastAsia="Times New Roman" w:hAnsi="Times New Roman"/>
          <w:sz w:val="18"/>
          <w:szCs w:val="18"/>
          <w:color w:val="auto"/>
        </w:rPr>
      </w:pPr>
    </w:p>
    <w:p>
      <w:pPr>
        <w:jc w:val="both"/>
        <w:ind w:left="540" w:hanging="332"/>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unanticipated costs associated with the acquisition, and despite the existence of representations, warranties and indemnities in the merger agreement and 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2">
            <w:col w:w="5600" w:space="20"/>
            <w:col w:w="580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ind w:left="340" w:right="200"/>
        <w:spacing w:after="0" w:line="261" w:lineRule="auto"/>
        <w:rPr>
          <w:sz w:val="20"/>
          <w:szCs w:val="20"/>
          <w:color w:val="auto"/>
        </w:rPr>
      </w:pPr>
      <w:r>
        <w:rPr>
          <w:rFonts w:ascii="Times New Roman" w:cs="Times New Roman" w:eastAsia="Times New Roman" w:hAnsi="Times New Roman"/>
          <w:sz w:val="18"/>
          <w:szCs w:val="18"/>
          <w:color w:val="auto"/>
        </w:rPr>
        <w:t>representation and warranty insurance policy, an inability to recover or manage such liabilities and costs; and</w:t>
      </w:r>
    </w:p>
    <w:p>
      <w:pPr>
        <w:jc w:val="both"/>
        <w:ind w:left="340" w:right="200" w:hanging="332"/>
        <w:spacing w:after="0" w:line="25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the acquisition, or the potential future write-off of significant amounts of goodwill, intangible assets and/or other tangible long-lived assets if the CMW business does not perform in the future as expected, or other potential financial accounting or reporting impacts.</w:t>
      </w:r>
    </w:p>
    <w:p>
      <w:pPr>
        <w:spacing w:after="0" w:line="7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incur impairment and other charges resulting from the impairment of goodwill or other intangible assets recorded in connection with acquisitions.</w:t>
      </w:r>
    </w:p>
    <w:p>
      <w:pPr>
        <w:spacing w:after="0" w:line="175" w:lineRule="exact"/>
        <w:rPr>
          <w:sz w:val="20"/>
          <w:szCs w:val="20"/>
          <w:color w:val="auto"/>
        </w:rPr>
      </w:pPr>
    </w:p>
    <w:p>
      <w:pPr>
        <w:jc w:val="both"/>
        <w:ind w:right="200"/>
        <w:spacing w:after="0" w:line="251" w:lineRule="auto"/>
        <w:rPr>
          <w:sz w:val="20"/>
          <w:szCs w:val="20"/>
          <w:color w:val="auto"/>
        </w:rPr>
      </w:pPr>
      <w:r>
        <w:rPr>
          <w:rFonts w:ascii="Times New Roman" w:cs="Times New Roman" w:eastAsia="Times New Roman" w:hAnsi="Times New Roman"/>
          <w:sz w:val="18"/>
          <w:szCs w:val="18"/>
          <w:color w:val="auto"/>
        </w:rPr>
        <w:t>We recently completed the CMW acquisition and expect to continue to complete selected acquisitions in the future as a component of our growth strategy. In connection with acquisitions, applicable accounting standards generally require the net tangible and intangible assets of the acquired business to be recorded on the balance sheet of the acquiring company at their fair values as of the date of acquisition. Any excess in the purchase price paid by the acquiring company over the fair value of net tangible and intangible assets of the acquired business is recorded as goodwill. Definite lived-intangible assets other than goodwill are required to be amortized over their estimated useful lives and this amortization expense may be significant. If it is later determined that the anticipated future cash flows from the acquired business may be less than the carrying values of the assets and goodwill of the acquired business, the assets, including both definite-lived and indefinite-lived intangible assets, or goodwill may be deemed to be impaired. In this case, the acquiring company may be required under applicable accounting rules to write down the value of the assets or goodwill on its balance sheet to reflect the extent of the impairment. This write-down of assets or goodwill is generally recognized as a non-cash expense in the statement of operations of the acquirunsuing company for the accounting period during which the write down occurs. As of October 31, 2019, we had goodwill of $362.3 million, which is maintained in various reporting units, including goodwill from the CMW acquisition, and other intangible assets of $352.4 million, which together comprise 30.7 percent of our total assets as of October 31, 2019. If we determine that our goodwill or other intangible assets recorded in connection with the CMW acquisition or any other prior or future acquisitions have become impaired, we will be required to record a charge resulting from the impairment. Impairment charges could be significant and could adversely affect our consolidated results of operations and financial position.</w:t>
      </w:r>
    </w:p>
    <w:p>
      <w:pPr>
        <w:spacing w:after="0" w:line="20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labor needs, and those of our suppliers and distribution channel partners, fluctuate throughout the year and by region. Any failure by us, or our suppliers or distribution channel partners, to hire and/or retain a labor force to adequately staff manufacturing operations, perform service or warranty work, or other necessary activities or by such labor force to adequately and safely perform their jobs could, among other things, result in disruptions in our manufacturing and other processes, which have, and could</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 to, adversely affect our business and operating results and, our reputation could suffer.</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labor needs, and those of our suppliers and distribution channel partners, fluctuate throughout the year and by region. During periods of peak manufacturing activity it is often necessary to sharply increase the number of production staff by utilizing new hires and temporary labor. Production staff hired during such periods of peak manufacturing activity may not have the same level of training, competency, experience, or commitment as regular production employees. In addition, as a result of low unemployment rates, a limited workforce population available in areas around the locations where we, or our suppliers and distribution channel partners, manufacture products or conduct business, or other factors, we, or our suppliers and distribution channel partners, may not have a sufficient pool of experienced and competent individuals with the right skills available to fulfill labor requirements on a cost-effective basis or otherwise. If we, or our suppliers and distribution channel partners, are unable to hire and/or retain a labor force to adequately staff manufacturing operations, perform service or warranty work, or other necessary activities, particularly during periods of peak manufacturing activity, or if such labor force is not adequately trained or does not adhere to protocols established to create a safe workplace, we could experience, among other things, disruptions in our manufacturing and other processes, which could adversely impact our business, operating results and reputation.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divestitures or other restructuring activities could negatively affect our operations.</w:t>
      </w:r>
    </w:p>
    <w:p>
      <w:pPr>
        <w:spacing w:after="0" w:line="15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From time to time, we may divest of all or a portion of certain businesses, joint venture or minority equity investment interests, subsidiaries, or product categories. For example, during the fourth quarter of fiscal 2019, we divested of a used underground construction equipment business, which we acquired as a result of our acquisition of CMW. Divestitures involve risk, including, potential increased expense associated with the divestitures, potential issues with the customers or suppliers of the divested business or products, and potential issues with the acquirers of any divested business. Additionally, from time to time, we may wind down certain business activities, product lines, and/or perform other organizational restructuring projects in an effort to reduce costs and streamline operations. For example, in fiscal 2019, we decided to wind down our Toro-branded large directional drill and riding trencher product categories and pursue other organizational restructuring activities as part of our initial CMW integration objectives. Such activities involve risks as they may divert management's attention from our core businesses, increase expenses on a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basis and lead to potential issues with employees, customers or suppliers. If these activities are not completed in a timely manner, anticipated cost savings, synergies and efficiencies are not realized, business disruption occurs during the pendency of or following such activities, or unanticipated charges are incurred, particularly if material, there may be a negative effect on our business, financial condition, results of operations and cash flows.</w:t>
      </w:r>
    </w:p>
    <w:p>
      <w:pPr>
        <w:sectPr>
          <w:pgSz w:w="11900" w:h="16838" w:orient="portrait"/>
          <w:cols w:equalWidth="0" w:num="2">
            <w:col w:w="5800" w:space="20"/>
            <w:col w:w="560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Our production levels and inventory management goals for our products are based on estimates of demand for our products, taking into account production capacity, timing of shipments, and field inventory levels. If we overestimate or underestimate both channel and retail demand for any of our products during a given season, we may not maintain appropriate inventory levels, which could negatively impact our net sales, profit margins, net earnings, and/or working capital, hinder our ability to meet customer demand, result in loss of customers, or cause us to incur excess and obsolete inventory charges.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are subject to the inventory management decisions of our distribution channel customers.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risks relating to the inventory management decisions and operational and sourcing practices of our distribution network. Our distribution channel customers carry inventories of our products as part of their ongoing operations and adjust those inventories based on their assessments of future needs, including anticipated end-customer demand.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either we do not produce an adequate supply of products for our distribution channel and/or our distribution channel customers do not maintain field inventory levels sufficient to meet end-user demand.</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composition of, financial viability of, and the relationships with, our distribution channel customers could negatively impact our business and operating results.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fail to maintain an effective network of dealers and distributors for our products, we may not have adequate market coverage for the optimal level of sales of our products. Additionally, our distribution channel customers may not commit the necessary resources to market and sell our products to the level of our expectations, and, regardless of the resources they commit, they may not be successful. Any weak demand for, or quality issues with, our products may cause our distribution channel customers to reduce or terminate their relationships with us or adversely affect our ability to engage new dealers and distributors. Changes in the ownership or control of our distribution channel customers could also adversely affect our relationships with them. If we are not able to maintain effective distribution channels, if our distribution channel customers are not successful in the marketing and selling our products, or if we experience a significant reduction in, cancellation or change in the size and timing of orders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distribution channel customers, our sales could decline and have an adverse effect on our business and operating results.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adverse economic or business conditions or other events causes a decline in sales by our distribution channel customers or weakens their financial condition, our net sales and earnings could be adversely affected. Such situation could adversely affect the ability of such customers to pay amounts owed, which could require us to repurchase financed product.</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availability, product placement and shelf space, and financing options. We compete in many product lines with numerous manufacturers, some of which have substantially larger operations and greater financial resources than us. As a result, they may be able to adapt more quickly to new or emerging technologies and changes in customer preferences, or devote greater resources to the development, promotion, and sale of their products or disruptive new products or technologies than we can. In addition, competition could increase if new companies enter the market, existing competitors combine or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which could harm our business and operating results.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 significant percentage of our consolidated net sales is generated outside of the U.S., a portion of which is financed by third-parties, and we intend to continue to expand our international operations. Our international operations require significant management attention and financial resources, expose us to difficulties presented by international economic, political, legal, regulatory, accounting, and business factors, and may not be successful or produce desired levels of net sales.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manufacture our products in the U.S., Mexico, Australia, the United Kingdom, Italy, Romania, Germany, Poland, and China for sale throughout the world. We maintain</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sales offices in the U.S., Belgium, the United Kingdom, Australia, Japan, China, Italy, Poland, Germany, Spain, and France. Our net sales outside the U.S. were 23.1 percent, 24.6 percent, and 24.4 percent of our total consolidated net sales for fiscal 2019, 2018, and 2017, respectively. International markets have been, and will continue to be, a focus for us for revenue growth, both organically and through acquisitions. We believe many opportunities exist in the international markets, and over time, we intend for international net sales to comprise a larger percentage of our total consolidated net sales. Several factors, including the implications of the United Kingdom's process for exiting the EU, implications of withdrawal by the U.S. from, or revisions to, international trade agreements, foreign trade or other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Our international operations expose us and our representatives, agents, and distribution channel customers to risks inherent in operating in foreign jurisdictions. These risks include:</w:t>
      </w:r>
    </w:p>
    <w:p>
      <w:pPr>
        <w:spacing w:after="0" w:line="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customizing products for foreign countries;</w:t>
      </w:r>
    </w:p>
    <w:p>
      <w:pPr>
        <w:spacing w:after="0" w:line="27" w:lineRule="exact"/>
        <w:rPr>
          <w:rFonts w:ascii="Times New Roman" w:cs="Times New Roman" w:eastAsia="Times New Roman" w:hAnsi="Times New Roman"/>
          <w:sz w:val="18"/>
          <w:szCs w:val="18"/>
          <w:color w:val="auto"/>
        </w:rPr>
      </w:pPr>
    </w:p>
    <w:p>
      <w:pPr>
        <w:jc w:val="both"/>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ind w:left="340" w:right="2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enhanced trade restrictions and restrictions on the activities of foreign agents, representatives, and distribution channel customers;</w:t>
      </w:r>
    </w:p>
    <w:p>
      <w:pPr>
        <w:jc w:val="both"/>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revisions to international trade policies or agreements and the imposition or increases in import and export licensing and other compliance requirements, customs duties and tariffs, import and export quotas and other trade restrictions, license obligations, and other non-tariff barriers to trade;</w:t>
      </w:r>
    </w:p>
    <w:p>
      <w:pPr>
        <w:spacing w:after="0" w:line="2" w:lineRule="exact"/>
        <w:rPr>
          <w:rFonts w:ascii="Times New Roman" w:cs="Times New Roman" w:eastAsia="Times New Roman" w:hAnsi="Times New Roman"/>
          <w:sz w:val="18"/>
          <w:szCs w:val="18"/>
          <w:color w:val="auto"/>
        </w:rPr>
      </w:pPr>
    </w:p>
    <w:p>
      <w:pPr>
        <w:jc w:val="both"/>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pricing pressures;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ind w:left="340" w:right="20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tax rates and potentially adverse tax consequences, including restrictions on repatriating cash and/or earnings to the U.S.;</w:t>
      </w:r>
    </w:p>
    <w:p>
      <w:pPr>
        <w:ind w:left="340" w:right="2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performance based on our geographic mix of sales;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foreign policy changes, acts of war or terrorist acts;</w:t>
      </w:r>
    </w:p>
    <w:p>
      <w:pPr>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enforcing or defending intellectual property rights; and</w:t>
      </w: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rules, regulations and standards, including rules relating to taxes, environmental, health and safety matters.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operations may not produce desired levels of net sales or, among other things one or more of the factors listed above may harm our business and operating results. Any material decrease in our international sales or profitability could also adversely impact our operating results.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portion of our international net sales is financed by third-parties. The termination of our agreements with these third-parties, any material change to the terms of our agreements with these third-parties or in the availability or terms of credit offered to our international customers by these third-parties, or any delay in securing replacement credit sources, could adversely affect our sales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Brexit and political uncertainty in the United Kingdom and the EU could disrupt our operations and adversely affect our operating results.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manufacturing operations and a sales office in the United Kingdom. The United Kingdom’s intention to exit the EU, commonly referred to as “Brexit,” has caused significant political and economic uncertainty in the United Kingdom, EU, and elsewhere. The impact of Brexit and the resulting turmoil on the political and economic future of the United Kingdom and the EU is uncertain, and we may be adversely affected in ways we cannot currently anticipate. The ultimate effects of Brexit will depend, in part, on any agreements the United Kingdom makes to retain access to the EU markets, and vice versa, either during a transitional period or more permanently. Brexit also may result in significant changes in the British regulatory environment, which could increase our compliance costs. We may find it more difficult to conduct business in the United Kingdom and the EU, as Brexit may result in increased regulatory complexity and increased restrictions on the movement of capital, goods and personnel. Any of these effects of Brexit, and other similar referenda that we cannot anticipate, could disrupt our operations and adversely affect our operating results.</w:t>
      </w:r>
    </w:p>
    <w:p>
      <w:pPr>
        <w:sectPr>
          <w:pgSz w:w="11900" w:h="16838" w:orient="portrait"/>
          <w:cols w:equalWidth="0" w:num="2">
            <w:col w:w="5800" w:space="20"/>
            <w:col w:w="560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to or withdrawal from trade regulation, quotas, duties, agreements, policies, or tariffs, caused by the changing U.S. and geopolitical environments or otherwise, may negatively impact our business, operating results and financial condition.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Uncertainty exists regarding the future relationship between the U.S. and other countries with respect to trade regulation, quotas, duties, agreements, policies, and tariffs. The current U.S. administration has called for support for implementing and, in some instances, has already proposed or taken action with respect to major changes to certain trade agreements or policies. Furthermore, the U.S. or other countries that are parties to various trade agreements may not approve or ratify any new or revised trade agreements. Implications of withdrawal by the U.S. from, or revisions to, international trade agreements, foreign trade or other policy changes between the U.S. and other countries could adversely and materially affect our business, operating results, and financial condition.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the introduction of new products, may be adversely affected.</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One of our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including by incorporating new, emerging, and/or disruptive technologies that may become preferred by our customers. Product development requires significant financial, technological, talent,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incorporate new, emerging, and/or disruptive technologies,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disruption at any of our facilities or in our manufacturing or other operations, or those of our distribution channel customers or suppliers, or our inability to cost-effectively expand existing, open and manage new or acquired, and/or move production between manufacturing facilities could adversely affect our business and operating results.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manufacture most of our products at 14 locations in the U.S., two locations in both Mexico and China, and one location in each of Australia, Italy, the United Kingdom, Romania, Germany, and Poland. We also have several locations that serve as distribution centers, warehouses, test labs, service centers, and corporate offices. In addition, we have agreements with other third-party manufacturers to manufacture products on our behalf. We also market our products through domestic and international distributors, as well as a large number of dealers, hardware retailers, home centers, mass retailers and online, and source commodities, components, parts, and accessories from a variety of international and domestic suppliers.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facilities and our manufacturing and other operations and those of our distribution channel customers and suppliers may incur losses or experience disruptions as a result of natural disasters, inclement weather,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shortages, or telecommunications failures. In addition, losses or disruptions could occur as a result of man-made disasters and other external events, such as terrorist acts or acts of war, pandemics, boycotts and sanctions or widespread criminal activities such as drug cartel-related violence that may disrupt our production activities and maquiladora operations based in Juarez, Mexico. A work slowdown, strike, or similar action could occur at any one of our facilities (or the facilities of our distribution channel customers and suppliers) currently operating under a collective bargaining agreement, such facilities could fail to renew or enter into new collective bargaining agreements, or we may have to enter into a new collective bargaining agreement at a facility not currently covered by an agreement. Furthermore, we could decide, or be forced, to shift production to one of our other manufacturing facilities or we may decide to open new or acquired manufacturing or distribution facilities or move production between our facilities to align production capacity with production goals.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Such events and disruptions could make it difficult or impossible to manufacture or to deliver products to our distribution channel customers, produce or maintain sufficient inventory of our products, meet the demands of our customers, receive commodities, components, parts or accessories from our suppliers, or perform critical functions, which could adversely affect our business globally or in certain regions. Such events also may result in shortages of commodities, components, parts, or accessories, higher fuel and commodity costs, and delays in shipments to our distribution channel customers. Our business and operating results could be</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impacted to a greater degree than we previously experienced to the extent that unfavorable weather conditions are exacerbated by global climate change or otherwise.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Management information systems are critical to our business. If our management information systems or those of our business partners or third-party service providers fail to adequately perform, or if we, our business partners, or third-party service providers experience an interruption in the operation of such systems, our business, reputation, financial condition, and operating results could be adversely affected.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many management information systems that are critical to our business, some of which are managed by third-parties. 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unable to enhance our existing management information systems or implement new management information systems when necessary, may experience unanticipated delays, complications or expenses in implementing, integrating and operating our systems, and/or require substantial expenditures as well as interruptions in operations in connection with any system changes we might pursue, including as may be necessary during the integration of CMW. The failure of our management information systems or those of our business partners or third-party service providers to perform properly, or difficulties encountered in the development of or transfer over to new systems or the modification or upgrade of existing systems, could disrupt our business and harm our reputation, which may result in decreased sales, increased overhead costs, excess or obsolete inventory, and product shortages, causing our business, reputation, financial condition, and operating results to suffer.</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take steps to secure our management information systems and any access provided by our business partners or third-party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malware, phishing, denial of service attacks, power loss, or other disruptive events. Information technology security threats have been increasing in frequency and sophistication. Cyber attacks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may be random, coordinated, or targeted, including sophisticated computer crime threats. These threats pose a risk to the security of our systems and networks, and those of our business partners and third-party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are required to pay fines,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reliance upon patents, trademark laws, and contractual provisions to protect our proprietary rights may not be sufficient to protect our intellectual property from others who may sell similar products. In addition, our products may infringe the proprietary rights of others.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hold patents relating to various aspects of our products and believe that proprietary technical know-how is important to our business and the loss of such intellectual property could have a material adverse effect on our business and operating results. Proprietary rights relating to our products are protected from unauthorized use by third-parties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allege that we infringe their patents, or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cannot be certain that our products or technologies have not infringed or will not infringe the proprietary rights of others. Any such infringement could cause third-parties,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trade secrets and proprietary know-how that we seek to protect, in part, by confidentiality agreements with our</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properties, and products are subject to numerous international, federal, state, and other governmental laws, rules, policies, and regulations relating to, among other things; climate change; emissions to air, including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our business is subject to numerous international, federal, state, and other governmental laws, rules, policies, and regulations that may adversely affect our operating results, including, (i) taxation and tax policy changes, tax rate changes, new tax laws, or revised tax law interpretations or guidance, including as a result of the Tax Act, which individually or in combination may cause our effective tax rate to increase or result in tax charges, (ii) healthcare laws or regulations, which may cause us to incur higher employee healthcare costs, or (iii) changes to U.S. or international trade policies or agreements that could result in additional tariffs, duties or other charges on commodities, components, parts or accessories that we import and/or use in our products. Although we believe that we are in substantial compliance with currently applicable laws, rules, policies, and regulations, we are unable to predict the ultimate impact of adopted or future laws, rules, policies, and regulations on our business, properties, or products. Any of these laws, rules, policies,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policies, or regulations could result in harm to our reputation and/or could lead to fines and other penalties,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restrictions on the importation of our products into, and the sale of our products in, one or more jurisdictions until compliance is achieved. In addition, our competitors may adopt strategies with respect to compliance with any such laws, rules, policies or regulations that differ significantly from our strategies. This may have the effect of changing customer preferences and our markets in ways that we did not anticipate which may adversely affect market demand for our products and, ultimately, our net sales and financial results. Other laws or regulations impacting our supply chain, such as the United Kingdom Modern Slavery Act, or data privacy requirements, such as the General Data Protection Regulation, may have similar consequences.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policies, or assumptions utilized in determining accounting estimates could adversely affect our financial statements, including our operating results and financial condition.</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preparing the Consolidated Financial Statements in conformity with U.S. generally accepted accounting principles ("GAAP"), we must make decisions that impact our results of operations and/or financial condition.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and other independent external third-party specialist valuations, all as appropriate. As a result, actual amounts could differ from those estimated at the time the Consolidated Financial Statements are prepared. In addition, various authoritative accounting or regulatory entities, including the Financial Accounting Standards Board ("FASB"), Public Company Accounting Oversight Board, and the SEC may amend, expand, and/or eliminate the financial accounting or reporting standards that govern the preparation of our Consolidated Financial Statements or could reverse their previous interpretations or positions on how various financial accounting and/or reporting standards should be applied. For example, the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and ASU No. 2016-02,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that amend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standards and related disclosure requirements related to revenue recognition and lease accounting, respectively. Additionally, the adoption of ASU 2016-09,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during the first quarter of fiscal 2017 has added, and we expect that it will continue to add, variability to our provision for income taxes, mainly due to the timing of stock option exercises, vesting of restricted stock units, and the trading price of our common stock. We disclose the impact of accounting pronouncements that have been issued but not yet adopted within our annual and quarterly reports on Form 10-K and Form 10-Q, respectively. However, we do not provide an assessment of proposed accounting pronouncements, as such proposals are subject to change through the exposure process and therefore, we cannot meaningfully assess their effects on our Consolidated Financial Statements. Future changes to accounting standards could modify the accounting policies and procedures that are</w:t>
      </w:r>
    </w:p>
    <w:p>
      <w:pPr>
        <w:spacing w:after="0" w:line="201"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currently utilized in the preparation of our Consolidated Financial Statements. Such changes may be difficult to predict and implement and could materially, or otherwise, impact how we prepare and report our Consolidated Financial Statements, results of operations, and financial condition. For additional information regarding our accounting policies, accounting pronouncements adopted, and accounting pronouncements not yet adopted, refer to Part II, Item 7, "Management's Discussion and Analysis of Financial Condition and Results of Operations," of this report in the section entitled "Critical Accounting Policies and Estimates” and Note 1, </w:t>
      </w:r>
      <w:r>
        <w:rPr>
          <w:rFonts w:ascii="Times New Roman" w:cs="Times New Roman" w:eastAsia="Times New Roman" w:hAnsi="Times New Roman"/>
          <w:sz w:val="18"/>
          <w:szCs w:val="18"/>
          <w:i w:val="1"/>
          <w:iCs w:val="1"/>
          <w:color w:val="auto"/>
        </w:rPr>
        <w:t xml:space="preserve">Summary of Significant Accounting Policies and Related Data, </w:t>
      </w:r>
      <w:r>
        <w:rPr>
          <w:rFonts w:ascii="Times New Roman" w:cs="Times New Roman" w:eastAsia="Times New Roman" w:hAnsi="Times New Roman"/>
          <w:sz w:val="18"/>
          <w:szCs w:val="18"/>
          <w:color w:val="auto"/>
        </w:rPr>
        <w:t>of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Consolidated Financial Statements included in Part II, Item 8, “Financial Statements and Supplementary Data” of this Annual Report on Form 10-K.</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legislation, regulations, or accords may adversely impact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subject to rules limiting emissions and other climate-related rules and regulations in certain jurisdictions where we operate. In addition, we may become subject to additional legislation, regulations, or accords regarding climate change, and compliance with any new rules could be difficult and costly as a result of increased energy, environmental, and other costs and capital expenditures to comply with any such legislation, regulation, or accord. 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enactments could impact the competitive landscape within our markets and affect demand for our products.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disrupt our business, and result in significant fines and penalties that could have a material adverse effect on our results of operations or financial condition.</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manufacture, sale, and use of our products expose us to significant risks associated with product quality issues and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or adversely affect our brand image or reputation. Any losses that we may suffer from product</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quality issues and/or product liability claims, and the effect that any product quality and/or product liability litigation may have upon the reputation and marketability of our products, may have a negative impact on our business, reputation, and operating results. Product defects can occur through our own product development, design, and manufacturing processes or through our reliance on third-parties for certain component design and manufacturing activities. Some of our products or product improvements were developed relatively recently and defects or risks that we have not yet identified, such as unanticipated use of our products, may give rise to product quality issues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191"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We are also subject to other litigation from time to time that could adversely affect our business, reputation, operating results or financial condition.</w:t>
      </w:r>
    </w:p>
    <w:p>
      <w:pPr>
        <w:spacing w:after="0" w:line="158"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executive officers or other key employees, attract and retain other qualified personnel, or successfully implement executive officer, key employee or other personnel transitions, we may not be able to meet strategic objectives and our business could suffer.</w:t>
      </w:r>
    </w:p>
    <w:p>
      <w:pPr>
        <w:spacing w:after="0" w:line="181"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engage, train, and retain other highly qualified personnel worldwide, including in particular managerial, functional support, technical, sales and marketing, operations, and customer service personnel. Competition for these individuals is intense, and we may not succeed in identifying, attracting, or retaining qualified personnel. The loss or interruption of the services of any of our executive officers or other key employees, the inability to identify, attract, or retain qualified personnel in the future, the inability to successfully implement executive officer, key employee or other personnel transitions, delays in hiring qualified personnel, inability to hire necessary office or production employees due to low unemployment conditions or otherwise, or any employee work slowdowns, strikes, or similar actions could make it difficult for us to conduct and manage our business and meet key objectives, which could harm our business, financial condition, and operating results.</w:t>
      </w:r>
    </w:p>
    <w:p>
      <w:pPr>
        <w:spacing w:after="0" w:line="19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availability of floor plan financing, including through our Red Iron financing joint venture with TCFIF or otherwise, to provide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inventory financing programs to certain distributors and dealers of our products. Any material change in the availability or terms of credit offered to our customers by our floor plan arrangements, challenges or delays in transferring new distributors and dealers from any 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various floor plan arrangements, including a financing joint venture with TCFIF and TCFCFC, for the primary purpose of providing reliable, competitive floor plan financing to certain of our distributors and dealers primarily in the U.S. and Canada, as applicable, to support their businesses, as well as to improve our working capital for our other strategic purposes. As a result, we are dependent upon such arrangements for our inventory financing programs.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of financing from our floor plan arrangements will be affected by many factors, including, among others, the overall credit markets, the credit worthiness of our dealers and distributors, and regulations that may affect such financing providers. Any material change in the availability or terms of credit offered to our customers by our floor plan financing providers, challenges or delays in transferring new distributors and dealers from any business we might acquire or otherwise to our available financing platforms, any termination or disruption of our floor plan arrangements, or any delay in securing replacement credit sources could adversely affect our sales and operating results.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credit arrangements and the indentures governing our 3.81 percent Series A Senior Notes, 3.91 percent Series B Senior Notes, 6.625 percent senior notes, and 7.8 percent debentures include a number of financial and operating restrictions. For example, our credit arrangements contain financial covenants that, among other things, require us to maintain a minimum interest coverage ratio and a maximum leverage ratio. Our credit arrangements and/or indentures also contain provisions that restrict our ability, subject to specified exceptions, to, among other things:</w:t>
      </w:r>
    </w:p>
    <w:p>
      <w:pPr>
        <w:spacing w:after="0" w:line="7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other encumbrances on our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 and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that are significantly higher than those currently being paid, make other distributions to our shareholders, or redeem shares of our common stock.</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limit our ability to conduct our business, take advantage of business opportunities, and respond to changing business, market, and economic conditions. In addition, they may place us at a competitive disadvantage</w:t>
      </w:r>
    </w:p>
    <w:p>
      <w:pPr>
        <w:sectPr>
          <w:pgSz w:w="11900" w:h="16838" w:orient="portrait"/>
          <w:cols w:equalWidth="0" w:num="2">
            <w:col w:w="5800" w:space="20"/>
            <w:col w:w="560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88"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Although we have in place a $600.0 million revolving credit facility that does not expire until June 2023,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184"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the terms of our credit arrangements and indentures, especially the financial covenants, our credit arrangements could be terminated and our senior notes, debentures, and any amounts outstanding under our revolving credit facility could become due and payable.</w:t>
      </w:r>
    </w:p>
    <w:p>
      <w:pPr>
        <w:spacing w:after="0" w:line="184"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We cannot assure that we will be able to comply with all of the terms of our credit arrangements, senior notes, and indentures, particularly the financial covenants. Our ability to comply with such terms depends on the success of our business and our operating results. Various risks, uncertainties, and events beyond our control could affect our ability to comply with the terms of our credit arrangements, senior notes,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3.81 percent Series A Senior Notes, 3.91 percent Series B Senior Notes, 6.625 percent senior notes, and 7.8 percent debentures, and any amounts outstanding under our revolving credit facility could become due and payable if we were unable to obtain a covenant waiver or refinance our debt under our credit arrangements. If our debt rating falls below investment grade and/or our leverage ratio rises above 1.50, the interest rate we currently pay on outstanding debt under our revolving credit facility could increase, which could adversely affect our operating results.</w:t>
      </w:r>
    </w:p>
    <w:p>
      <w:pPr>
        <w:spacing w:after="0" w:line="190"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could increase our cost of funding and/or adversely affect our access to capital markets or the availability of funding from a variety of lenders.</w:t>
      </w:r>
    </w:p>
    <w:p>
      <w:pPr>
        <w:spacing w:after="0" w:line="175"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Our credit ratings are important to our cost and availability of capital. The major rating agencies routinely evaluate our credit profile and assign credit ratings to us. This evaluation is based on a number of factors, which include financial strength, business and financial risk, as well as transparency with rating agencies and timeliness of financial reporting. The addition of further leverage to our capital structure could result in a downgrade to our credit ratings in the future. For instance, if our credit rating falls below investment grade and/or our leverage ratio rises above 1.50, the interest rate we currently</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 on outstanding debt under our revolving credit facility could increase. As such, failure to maintain investment grade credit ratings could adversely affect our cost of funding and our liquidity by limiting the access to capital markets or the availability of funding from a variety of lenders.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expanding and renovating our corporate and other facilities and could experience disruptions to our operations in connection with such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expanding and renovating our corporate and other facilities, primarily driven by our need to expand the capacity available for our manufacturing operations and office space. These expansion efforts include expanding and/or renovating certain of our facilities, such as our Tomah, Wisconsin manufacturing facility and Plymouth, Wisconsin warehouse. We financed, and expect to continue to finance, such efforts with cash on hand and cash from operating activities. The expansion and renovation of our corporate and other facilities entail risks that could cause disruption in the operations of our business. Such risks include potential interruption in manufacturing processes, delivery of raw materials, shipping finished goods, and data flow; unforeseen construction, scheduling, engineering, environmental, or geological problems; and unanticipated cost increases.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provide projected financial information, such as our expected revenue growth and net earnings per share. These financial projections are based on management’s current assumptions and expectations. The failure to achieve our financial projections could have an adverse effect on our business, operating results and financial condition.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set goals and objectives for the timing of certain accomplishments, initiatives and milestones regarding our business or operating results. Whether we achieve our goals and objectives of such initiatives can vary due to a number of factors, including the risk factors described in this report. As a result, there can be no assurance that we will succeed in achieving the goals and objectives of our initiatives in the time periods that we anticipate, or ever. The failure to achieve such goals and objectives in the time periods that we anticipate, or at all, could have an adverse effect on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2">
            <w:col w:w="5800" w:space="20"/>
            <w:col w:w="560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facilities are listed below by location, ownership, and function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Products Manufactured / Use</w:t>
            </w:r>
          </w:p>
        </w:tc>
      </w:tr>
      <w:tr>
        <w:trPr>
          <w:trHeight w:val="269"/>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Abilene, TX</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Office, professional products, and service center</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Albany, GA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Albis, France</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Althengstett, Germany</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Ankeny, IA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distribution center</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Baraboo, WI</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distribution center</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Barcelona, Spain</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warehouse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Beatrice, NE</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test facility,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Beijing, China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Beverley, Australia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Bloomington, MN</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Corporate headquarters, warehouse, and test facility</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Boulder, CO</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Braeside, Australia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facility,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Branchburg, NJ</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 facility,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Brooklyn Center, MN</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facility,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Capena, Italy</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 center</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Corpus Christi, TX</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 Cajon, CA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test site,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 Paso, TX</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Residential component parts and professional products manufacturing, and distribution facility</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Fiano Romano, Italy</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Forest Park, GA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Fresno, CA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warehouse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Grandville, MI</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Harlingen, TX</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Hertfordshire, United Kingdom</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products, distribution facility, test lab,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Howell, MI</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Iron Mountain, MI</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Juarez, Mexico</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products and warehouse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Lake Mills, WI</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and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Oevel, Belgium</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Distribution center,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Perry, OK</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test facility, warehouse,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Petaluma, CA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and distribution facility,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Ploiesti, Romania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test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Plymouth, WI</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parts distribution center</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Pune, India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Corporate service center</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Riverside, CA</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test facility, distribution facility,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Ronkonkoma, NY</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facility,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Sanford, FL</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and distribution center</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Savannah, GA</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Shakopee, MN</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Components for professional and residential products</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 Louis, MO</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 facility, service area,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Sterling, KY</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and distribution facility, service area,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Tomah, WI</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and distribution center</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Traverse City, MI</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and warehouse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Ustron, Poland</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Weatherford, TX</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and distribution facility and office</w:t>
            </w:r>
          </w:p>
        </w:tc>
      </w:tr>
      <w:tr>
        <w:trPr>
          <w:trHeight w:val="276"/>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West Salem, OH</w:t>
            </w:r>
          </w:p>
        </w:tc>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Owned</w:t>
            </w:r>
          </w:p>
        </w:tc>
        <w:tc>
          <w:tcPr>
            <w:tcW w:w="7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products manufacturing and distribution facility and office</w:t>
            </w:r>
          </w:p>
        </w:tc>
      </w:tr>
      <w:tr>
        <w:trPr>
          <w:trHeight w:val="264"/>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Windom, MN</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Owned/Leased</w:t>
            </w:r>
          </w:p>
        </w:tc>
        <w:tc>
          <w:tcPr>
            <w:tcW w:w="7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Residential and professional products and warehouses</w:t>
            </w:r>
          </w:p>
        </w:tc>
      </w:tr>
      <w:tr>
        <w:trPr>
          <w:trHeight w:val="270"/>
        </w:trPr>
        <w:tc>
          <w:tcPr>
            <w:tcW w:w="2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Xiamen City, China</w:t>
            </w:r>
          </w:p>
        </w:tc>
        <w:tc>
          <w:tcPr>
            <w:tcW w:w="1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Leased</w:t>
            </w:r>
          </w:p>
        </w:tc>
        <w:tc>
          <w:tcPr>
            <w:tcW w:w="7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Professional and residential products and related components, distribution facility, and office</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2019, we utilize manufacturing, distribution, warehouse, and office facilities totaling approximately 8.3 million square feet of space worldwide, compared to 6.5 million square feet of space worldwide as of October 31, 2018. The increase in utilized square feet of space from October 31, 2018 to October 31, 2019 is primarily due to the acquisition of CMW. For additional</w:t>
      </w:r>
    </w:p>
    <w:p>
      <w:pPr>
        <w:sectPr>
          <w:pgSz w:w="11900" w:h="16838" w:orient="portrait"/>
          <w:cols w:equalWidth="0" w:num="1">
            <w:col w:w="11420"/>
          </w:cols>
          <w:pgMar w:left="240" w:top="121" w:right="239"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acquisition of CMW, refer to Note 2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Plant utilization varies during the year depending on the production cycle. We consider each of our current facilities to be in good operating condition and management believes we have sufficient manufacturing capacity for production in fiscal 2020, although efforts for the expansion and renovation of certain facilities for future operational growth are underway as of October 31, 2019. These expansion and renovation efforts include expanding and renovating certain of our facilities, such as our Tomah, Wisconsin manufacturing facility and Plymouth, Wisconsin warehouse.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 For a description of our material legal proceedings, see Note 12,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of the Notes to Consolidated Financial Statements, in the section entitled "Litigation" included in Part II, Item 8, "Financial Statements and Supplementary Data" of this report, which is incorporated into this Item 3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list below identifies those persons designated by our Board of Directors as executive officers of the company. The list sets forth each such person's age and position with the company as of December 13, 2019,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Name, Age, and Position</w:t>
            </w:r>
          </w:p>
        </w:tc>
        <w:tc>
          <w:tcPr>
            <w:tcW w:w="7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Business Experience during the Last Five or More Years</w:t>
            </w:r>
          </w:p>
        </w:tc>
      </w:tr>
      <w:tr>
        <w:trPr>
          <w:trHeight w:val="151"/>
        </w:trPr>
        <w:tc>
          <w:tcPr>
            <w:tcW w:w="360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Richard M. Olson</w:t>
            </w:r>
          </w:p>
        </w:tc>
        <w:tc>
          <w:tcPr>
            <w:tcW w:w="782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4"/>
                <w:szCs w:val="14"/>
                <w:color w:val="auto"/>
              </w:rPr>
              <w:t>Chairman of the Board since November 2017 and President and Chief Executive Officer since November 2016. From September</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55, Chairman of the Board, President and Chief Executive</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2015 through October 2016, he served as President and Chief Operating Officer. From June 2014 through August 2015, he served</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Officer</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 Group Vice President, International Business, Global Ag-Irrigation Business, and Distributor Development. From March 2013</w:t>
            </w:r>
          </w:p>
        </w:tc>
      </w:tr>
      <w:tr>
        <w:trPr>
          <w:trHeight w:val="149"/>
        </w:trPr>
        <w:tc>
          <w:tcPr>
            <w:tcW w:w="3600" w:type="dxa"/>
            <w:vAlign w:val="bottom"/>
            <w:shd w:val="clear" w:color="auto" w:fill="CCEEFF"/>
          </w:tcPr>
          <w:p>
            <w:pPr>
              <w:spacing w:after="0"/>
              <w:rPr>
                <w:sz w:val="12"/>
                <w:szCs w:val="12"/>
                <w:color w:val="auto"/>
              </w:rPr>
            </w:pP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through May 2014, he served as Vice President, International Business. From March 2012 to February 2013, he served as Vice</w:t>
            </w:r>
          </w:p>
        </w:tc>
      </w:tr>
      <w:tr>
        <w:trPr>
          <w:trHeight w:val="198"/>
        </w:trPr>
        <w:tc>
          <w:tcPr>
            <w:tcW w:w="3600" w:type="dxa"/>
            <w:vAlign w:val="bottom"/>
            <w:shd w:val="clear" w:color="auto" w:fill="CCEEFF"/>
          </w:tcPr>
          <w:p>
            <w:pPr>
              <w:spacing w:after="0"/>
              <w:rPr>
                <w:sz w:val="17"/>
                <w:szCs w:val="17"/>
                <w:color w:val="auto"/>
              </w:rPr>
            </w:pP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Exmark.</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Jody M. Christy</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Vice President, BOSS since December 2018. From June 2016 to November 2018, he served as General Manager, BOSS. At the</w:t>
            </w:r>
          </w:p>
        </w:tc>
      </w:tr>
      <w:tr>
        <w:trPr>
          <w:trHeight w:val="149"/>
        </w:trPr>
        <w:tc>
          <w:tcPr>
            <w:tcW w:w="3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51, Vice President, BOSS</w:t>
            </w:r>
          </w:p>
        </w:tc>
        <w:tc>
          <w:tcPr>
            <w:tcW w:w="7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time of the acquisition of BOSS in November 2014 to May 2016, he served as Director, Engineering for BOSS. Prior to the</w:t>
            </w:r>
          </w:p>
        </w:tc>
      </w:tr>
      <w:tr>
        <w:trPr>
          <w:trHeight w:val="193"/>
        </w:trPr>
        <w:tc>
          <w:tcPr>
            <w:tcW w:w="3600" w:type="dxa"/>
            <w:vAlign w:val="bottom"/>
          </w:tcPr>
          <w:p>
            <w:pPr>
              <w:spacing w:after="0"/>
              <w:rPr>
                <w:sz w:val="16"/>
                <w:szCs w:val="16"/>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of BOSS in November 2014, from January 2012 to October 2014, he served as the Head of Engineering for BOSS.</w:t>
            </w:r>
          </w:p>
        </w:tc>
      </w:tr>
      <w:tr>
        <w:trPr>
          <w:trHeight w:val="158"/>
        </w:trPr>
        <w:tc>
          <w:tcPr>
            <w:tcW w:w="36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Amy E. Dahl</w:t>
            </w:r>
          </w:p>
        </w:tc>
        <w:tc>
          <w:tcPr>
            <w:tcW w:w="78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Vice President, Human Resources since April 2015, and in December 2016 she assumed responsibility for our distributor</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45, Vice President, Human Resources and Distributor</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development activity. From June 2013 through March 2015, she served as Managing Director, Corporate Communications and</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Investor Relations. From July 2012 to May 2013, she served as Assistant General Counsel and Assistant Secretary. Effective</w:t>
            </w:r>
          </w:p>
        </w:tc>
      </w:tr>
      <w:tr>
        <w:trPr>
          <w:trHeight w:val="149"/>
        </w:trPr>
        <w:tc>
          <w:tcPr>
            <w:tcW w:w="3600" w:type="dxa"/>
            <w:vAlign w:val="bottom"/>
            <w:shd w:val="clear" w:color="auto" w:fill="CCEEFF"/>
          </w:tcPr>
          <w:p>
            <w:pPr>
              <w:spacing w:after="0"/>
              <w:rPr>
                <w:sz w:val="12"/>
                <w:szCs w:val="12"/>
                <w:color w:val="auto"/>
              </w:rPr>
            </w:pP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January 10, 2020, she will become the company's Vice President, Human Resources, Distributor Development and General</w:t>
            </w:r>
          </w:p>
        </w:tc>
      </w:tr>
      <w:tr>
        <w:trPr>
          <w:trHeight w:val="198"/>
        </w:trPr>
        <w:tc>
          <w:tcPr>
            <w:tcW w:w="3600" w:type="dxa"/>
            <w:vAlign w:val="bottom"/>
            <w:shd w:val="clear" w:color="auto" w:fill="CCEEFF"/>
          </w:tcPr>
          <w:p>
            <w:pPr>
              <w:spacing w:after="0"/>
              <w:rPr>
                <w:sz w:val="17"/>
                <w:szCs w:val="17"/>
                <w:color w:val="auto"/>
              </w:rPr>
            </w:pP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Counsel, as well as its Corporate Secretary.</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Timothy P. Dordell</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Vice President, Secretary and General Counsel since May 2007. On November 8, 2019, Mr. Dordell notified the company of his</w:t>
            </w:r>
          </w:p>
        </w:tc>
      </w:tr>
      <w:tr>
        <w:trPr>
          <w:trHeight w:val="193"/>
        </w:trPr>
        <w:tc>
          <w:tcPr>
            <w:tcW w:w="3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57, Vice President, Secretary and General Counsel</w:t>
            </w:r>
          </w:p>
        </w:tc>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decision to retire, which is effective January 10, 2020.</w:t>
            </w:r>
          </w:p>
        </w:tc>
      </w:tr>
      <w:tr>
        <w:trPr>
          <w:trHeight w:val="158"/>
        </w:trPr>
        <w:tc>
          <w:tcPr>
            <w:tcW w:w="36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Blake M. Grams</w:t>
            </w:r>
          </w:p>
        </w:tc>
        <w:tc>
          <w:tcPr>
            <w:tcW w:w="78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Vice President, Global Operations since June 2013. From December 2008 to May 2013, he served as Vice President, Corporate</w:t>
            </w:r>
          </w:p>
        </w:tc>
      </w:tr>
      <w:tr>
        <w:trPr>
          <w:trHeight w:val="198"/>
        </w:trPr>
        <w:tc>
          <w:tcPr>
            <w:tcW w:w="3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52, Vice President, Global Operations</w:t>
            </w: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Controller.</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Bradley A. Hamilton</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Group Vice President, Commercial, International, and Irrigation Businesses since October 2018. From November 2017 to</w:t>
            </w:r>
          </w:p>
        </w:tc>
      </w:tr>
      <w:tr>
        <w:trPr>
          <w:trHeight w:val="149"/>
        </w:trPr>
        <w:tc>
          <w:tcPr>
            <w:tcW w:w="3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55, Group Vice President, Commercial, International, and</w:t>
            </w:r>
          </w:p>
        </w:tc>
        <w:tc>
          <w:tcPr>
            <w:tcW w:w="7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September 2018, he served as Group Vice President, Commercial and International Businesses. From October 2016 to November</w:t>
            </w:r>
          </w:p>
        </w:tc>
      </w:tr>
      <w:tr>
        <w:trPr>
          <w:trHeight w:val="149"/>
        </w:trPr>
        <w:tc>
          <w:tcPr>
            <w:tcW w:w="3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Irrigation Businesses</w:t>
            </w:r>
          </w:p>
        </w:tc>
        <w:tc>
          <w:tcPr>
            <w:tcW w:w="7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2017, he served as Vice President, Commercial Business. From April 2015 to October 2016, he served as General Manager,</w:t>
            </w:r>
          </w:p>
        </w:tc>
      </w:tr>
      <w:tr>
        <w:trPr>
          <w:trHeight w:val="149"/>
        </w:trPr>
        <w:tc>
          <w:tcPr>
            <w:tcW w:w="3600" w:type="dxa"/>
            <w:vAlign w:val="bottom"/>
          </w:tcPr>
          <w:p>
            <w:pPr>
              <w:spacing w:after="0"/>
              <w:rPr>
                <w:sz w:val="12"/>
                <w:szCs w:val="12"/>
                <w:color w:val="auto"/>
              </w:rPr>
            </w:pPr>
          </w:p>
        </w:tc>
        <w:tc>
          <w:tcPr>
            <w:tcW w:w="7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Business. From June 2014 through March 2015, he served as Managing Director, Distributor Development and</w:t>
            </w:r>
          </w:p>
        </w:tc>
      </w:tr>
      <w:tr>
        <w:trPr>
          <w:trHeight w:val="193"/>
        </w:trPr>
        <w:tc>
          <w:tcPr>
            <w:tcW w:w="3600" w:type="dxa"/>
            <w:vAlign w:val="bottom"/>
          </w:tcPr>
          <w:p>
            <w:pPr>
              <w:spacing w:after="0"/>
              <w:rPr>
                <w:sz w:val="16"/>
                <w:szCs w:val="16"/>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Services. From March 2012 through May 2014, he served as Director, Distributor Development.</w:t>
            </w:r>
          </w:p>
        </w:tc>
      </w:tr>
      <w:tr>
        <w:trPr>
          <w:trHeight w:val="158"/>
        </w:trPr>
        <w:tc>
          <w:tcPr>
            <w:tcW w:w="36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Gregory S. Janey</w:t>
            </w:r>
          </w:p>
        </w:tc>
        <w:tc>
          <w:tcPr>
            <w:tcW w:w="78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Vice President, Residential and Landscape Contractor Businesses since November 2019. From November 2017 to October 2019,</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41, Vice President, Residential and Landscape Contractor</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he served as General Manager, Residential and Landscape Contractor Businesses. From April 2015 to October 2017, he served as</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Businesses</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Director, Marketing International Business. From January 2013 through March 2015, he served as Director, Residential Mass Sales</w:t>
            </w:r>
          </w:p>
        </w:tc>
      </w:tr>
      <w:tr>
        <w:trPr>
          <w:trHeight w:val="198"/>
        </w:trPr>
        <w:tc>
          <w:tcPr>
            <w:tcW w:w="3600" w:type="dxa"/>
            <w:vAlign w:val="bottom"/>
            <w:shd w:val="clear" w:color="auto" w:fill="CCEEFF"/>
          </w:tcPr>
          <w:p>
            <w:pPr>
              <w:spacing w:after="0"/>
              <w:rPr>
                <w:sz w:val="17"/>
                <w:szCs w:val="17"/>
                <w:color w:val="auto"/>
              </w:rPr>
            </w:pP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National Accounts in our Residential Business.</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Peter D. Moeller</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Vice President, Sitework Systems Business since November 2019. From November 2017 to October 2019, he served as General</w:t>
            </w:r>
          </w:p>
        </w:tc>
      </w:tr>
      <w:tr>
        <w:trPr>
          <w:trHeight w:val="149"/>
        </w:trPr>
        <w:tc>
          <w:tcPr>
            <w:tcW w:w="36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42, Vice President, Sitework Systems Business</w:t>
            </w:r>
          </w:p>
        </w:tc>
        <w:tc>
          <w:tcPr>
            <w:tcW w:w="7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Manager, Sitework Systems Business. From April 2015 to October 2017, he served as Managing Director, Business Development</w:t>
            </w:r>
          </w:p>
        </w:tc>
      </w:tr>
      <w:tr>
        <w:trPr>
          <w:trHeight w:val="193"/>
        </w:trPr>
        <w:tc>
          <w:tcPr>
            <w:tcW w:w="3600" w:type="dxa"/>
            <w:vAlign w:val="bottom"/>
          </w:tcPr>
          <w:p>
            <w:pPr>
              <w:spacing w:after="0"/>
              <w:rPr>
                <w:sz w:val="16"/>
                <w:szCs w:val="16"/>
                <w:color w:val="auto"/>
              </w:rPr>
            </w:pPr>
          </w:p>
        </w:tc>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Strategic Planning. From September 2010 to March 2015, he served as Director, Marketing for Irrigation Business.</w:t>
            </w:r>
          </w:p>
        </w:tc>
      </w:tr>
      <w:tr>
        <w:trPr>
          <w:trHeight w:val="158"/>
        </w:trPr>
        <w:tc>
          <w:tcPr>
            <w:tcW w:w="36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Renee J. Peterson</w:t>
            </w:r>
          </w:p>
        </w:tc>
        <w:tc>
          <w:tcPr>
            <w:tcW w:w="78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Vice President, Treasurer and Chief Financial Officer since July 2013. From August 2011 to July 2013, she served as Vice</w:t>
            </w:r>
          </w:p>
        </w:tc>
      </w:tr>
      <w:tr>
        <w:trPr>
          <w:trHeight w:val="198"/>
        </w:trPr>
        <w:tc>
          <w:tcPr>
            <w:tcW w:w="3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58, Vice President, Treasurer and Chief Financial Officer</w:t>
            </w: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Finance and Chief Financial Officer.</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Darren L. Redetzke</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Vice President, International Business since April 2015. From August 2010 to April 2015, he served as Vice President, Commercial</w:t>
            </w:r>
          </w:p>
        </w:tc>
      </w:tr>
      <w:tr>
        <w:trPr>
          <w:trHeight w:val="193"/>
        </w:trPr>
        <w:tc>
          <w:tcPr>
            <w:tcW w:w="3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55, Vice President, International Business</w:t>
            </w:r>
          </w:p>
        </w:tc>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Business.</w:t>
            </w:r>
          </w:p>
        </w:tc>
      </w:tr>
      <w:tr>
        <w:trPr>
          <w:trHeight w:val="158"/>
        </w:trPr>
        <w:tc>
          <w:tcPr>
            <w:tcW w:w="36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Richard W. Rodier</w:t>
            </w:r>
          </w:p>
        </w:tc>
        <w:tc>
          <w:tcPr>
            <w:tcW w:w="782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Group Vice President, Construction Businesses since April 2019. From November 2017 to April 2019, he served as Vice President,</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59, Group Vice President, Construction Businesses</w:t>
            </w:r>
          </w:p>
        </w:tc>
        <w:tc>
          <w:tcPr>
            <w:tcW w:w="7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Commercial Business. From October 2016 to November 2017, he served as Vice President, Sitework Systems. From February</w:t>
            </w:r>
          </w:p>
        </w:tc>
      </w:tr>
      <w:tr>
        <w:trPr>
          <w:trHeight w:val="198"/>
        </w:trPr>
        <w:tc>
          <w:tcPr>
            <w:tcW w:w="3600" w:type="dxa"/>
            <w:vAlign w:val="bottom"/>
            <w:shd w:val="clear" w:color="auto" w:fill="CCEEFF"/>
          </w:tcPr>
          <w:p>
            <w:pPr>
              <w:spacing w:after="0"/>
              <w:rPr>
                <w:sz w:val="17"/>
                <w:szCs w:val="17"/>
                <w:color w:val="auto"/>
              </w:rPr>
            </w:pPr>
          </w:p>
        </w:tc>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2009 to October 2016, he served as General Manager, Sitework Systems.</w:t>
            </w:r>
          </w:p>
        </w:tc>
      </w:tr>
      <w:tr>
        <w:trPr>
          <w:trHeight w:val="153"/>
        </w:trPr>
        <w:tc>
          <w:tcPr>
            <w:tcW w:w="36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Kurt D. Svendsen</w:t>
            </w:r>
          </w:p>
        </w:tc>
        <w:tc>
          <w:tcPr>
            <w:tcW w:w="78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Vice President, Information Services since June 2013. From September 2011 to June 2013, he served as Managing Director,</w:t>
            </w:r>
          </w:p>
        </w:tc>
      </w:tr>
      <w:tr>
        <w:trPr>
          <w:trHeight w:val="193"/>
        </w:trPr>
        <w:tc>
          <w:tcPr>
            <w:tcW w:w="3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53, Vice President, Information Services</w:t>
            </w:r>
          </w:p>
        </w:tc>
        <w:tc>
          <w:tcPr>
            <w:tcW w:w="7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Corporate Communications and Investor Relations.</w:t>
            </w:r>
          </w:p>
        </w:tc>
      </w:tr>
      <w:tr>
        <w:trPr>
          <w:trHeight w:val="539"/>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listed for trading on the New York Stock Exchange and trades under the symbol "TTC". As of October 31, 2019 and 2018, we had 175,000,000 shares of common stock authorized, $1.00 par value. As of October 31, 2019 and 2018, we had 106,742,082 and 105,600,652 shares of common stock outstanding, respectively. In each quarter of fiscal 2019, our Board of Directors declared a common stock cash dividend of $0.225 per share, which was a 12.5 percent increase over our common stock cash dividend of $0.20 per share paid in each quarter of fiscal 2018. As announced on December 3, 2019, our Board of Directors increased our fiscal 2020 first quarter common stock cash dividend by 11.1 percent to $0.25 per share from the quarterly common stock cash dividend of $0.225 paid in the first quarter of fiscal 2019. Future common stock cash dividends will depend upon our financial condition, capital requirements, results of operations, and other factors deemed relevant by our Board of Directors. Restrictions on our ability to pay dividends are disclosed in Part II, Item 7,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2019 and 2018, we had 1,000,000 voting shares and 850,000 non-voting shares of preferred stock authorized, $1.00 par value. No shares of preferred stock were outstanding as of October 31,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13, 2019, we had approximately 2,911 shareholders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shares of our common stock purchased by the company during each of the three fiscal months in our fourth quarter ended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18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95"/>
        </w:trPr>
        <w:tc>
          <w:tcPr>
            <w:tcW w:w="352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Units) Purchased</w:t>
            </w:r>
            <w:r>
              <w:rPr>
                <w:rFonts w:ascii="Times New Roman" w:cs="Times New Roman" w:eastAsia="Times New Roman" w:hAnsi="Times New Roman"/>
                <w:sz w:val="8"/>
                <w:szCs w:val="8"/>
                <w:b w:val="1"/>
                <w:bCs w:val="1"/>
                <w:color w:val="auto"/>
              </w:rPr>
              <w:t>1, 2</w:t>
            </w:r>
          </w:p>
        </w:tc>
        <w:tc>
          <w:tcPr>
            <w:tcW w:w="1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8"/>
                <w:szCs w:val="8"/>
                <w:b w:val="1"/>
                <w:bCs w:val="1"/>
                <w:color w:val="auto"/>
              </w:rPr>
              <w:t>1</w:t>
            </w:r>
          </w:p>
        </w:tc>
        <w:tc>
          <w:tcPr>
            <w:tcW w:w="18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August 3, 2019 through August 30, 2019</w:t>
            </w:r>
          </w:p>
        </w:tc>
        <w:tc>
          <w:tcPr>
            <w:tcW w:w="26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7,042,256</w:t>
            </w:r>
          </w:p>
        </w:tc>
        <w:tc>
          <w:tcPr>
            <w:tcW w:w="0" w:type="dxa"/>
            <w:vAlign w:val="bottom"/>
          </w:tcPr>
          <w:p>
            <w:pPr>
              <w:spacing w:after="0"/>
              <w:rPr>
                <w:sz w:val="1"/>
                <w:szCs w:val="1"/>
                <w:color w:val="auto"/>
              </w:rPr>
            </w:pPr>
          </w:p>
        </w:tc>
      </w:tr>
      <w:tr>
        <w:trPr>
          <w:trHeight w:val="265"/>
        </w:trPr>
        <w:tc>
          <w:tcPr>
            <w:tcW w:w="3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August 31, 2019 through September 27, 2019</w:t>
            </w:r>
          </w:p>
        </w:tc>
        <w:tc>
          <w:tcPr>
            <w:tcW w:w="2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3"/>
                <w:szCs w:val="23"/>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7,042,256</w:t>
            </w:r>
          </w:p>
        </w:tc>
        <w:tc>
          <w:tcPr>
            <w:tcW w:w="0" w:type="dxa"/>
            <w:vAlign w:val="bottom"/>
          </w:tcPr>
          <w:p>
            <w:pPr>
              <w:spacing w:after="0"/>
              <w:rPr>
                <w:sz w:val="1"/>
                <w:szCs w:val="1"/>
                <w:color w:val="auto"/>
              </w:rPr>
            </w:pPr>
          </w:p>
        </w:tc>
      </w:tr>
      <w:tr>
        <w:trPr>
          <w:trHeight w:val="28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September 28, 2019 through October 31, 2019</w:t>
            </w:r>
          </w:p>
        </w:tc>
        <w:tc>
          <w:tcPr>
            <w:tcW w:w="26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1,172</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73.93</w:t>
            </w: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7,042,256</w:t>
            </w:r>
          </w:p>
        </w:tc>
        <w:tc>
          <w:tcPr>
            <w:tcW w:w="0" w:type="dxa"/>
            <w:vAlign w:val="bottom"/>
          </w:tcPr>
          <w:p>
            <w:pPr>
              <w:spacing w:after="0"/>
              <w:rPr>
                <w:sz w:val="1"/>
                <w:szCs w:val="1"/>
                <w:color w:val="auto"/>
              </w:rPr>
            </w:pPr>
          </w:p>
        </w:tc>
      </w:tr>
      <w:tr>
        <w:trPr>
          <w:trHeight w:val="259"/>
        </w:trPr>
        <w:tc>
          <w:tcPr>
            <w:tcW w:w="3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1,172</w:t>
            </w:r>
          </w:p>
        </w:tc>
        <w:tc>
          <w:tcPr>
            <w:tcW w:w="5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73.93</w:t>
            </w:r>
          </w:p>
        </w:tc>
        <w:tc>
          <w:tcPr>
            <w:tcW w:w="20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340" w:hanging="332"/>
        <w:spacing w:after="0" w:line="221" w:lineRule="auto"/>
        <w:tabs>
          <w:tab w:leader="none" w:pos="3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December 3, 2015, the company's Board of Directors authorized the repurchase of 8,000,000 shares of the company's common stock in open-market or in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authorized stock repurchase program during the fourth quarter of fiscal 2019 and 7,042,256 shares remained available to repurchase under this authorized stock repurchase program as of October 31, 2019.</w:t>
      </w:r>
    </w:p>
    <w:p>
      <w:pPr>
        <w:spacing w:after="0" w:line="194" w:lineRule="exact"/>
        <w:rPr>
          <w:sz w:val="20"/>
          <w:szCs w:val="20"/>
          <w:color w:val="auto"/>
        </w:rPr>
      </w:pPr>
    </w:p>
    <w:p>
      <w:pPr>
        <w:jc w:val="both"/>
        <w:ind w:left="340" w:hanging="332"/>
        <w:spacing w:after="0" w:line="208"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1,172 units ("shares") of the company's common stock purchased in open-market transactions at an average price of $73.93 per share on behalf of a rabbi trust formed to pay benefit obligations of the company to participants in deferred compensation plans. These 1,172 shares were not repurchased under the company's repurchase programs described in footnote 1 above.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Toro Company Common Stock Comparative Performance Graph</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2014 through October 31, 2019.</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The Toro Company, the S&amp;P 500 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157480</wp:posOffset>
            </wp:positionV>
            <wp:extent cx="5257165" cy="3138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10/31/14 in stock or index, including reinvestment of dividends. Fiscal years ending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Toro Company</w:t>
            </w:r>
          </w:p>
        </w:tc>
        <w:tc>
          <w:tcPr>
            <w:tcW w:w="1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123.75</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159.70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192.49</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267.18</w:t>
            </w: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16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105.20</w:t>
            </w:r>
          </w:p>
        </w:tc>
        <w:tc>
          <w:tcPr>
            <w:tcW w:w="34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109.94</w:t>
            </w: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135.93</w:t>
            </w: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145.91</w:t>
            </w:r>
          </w:p>
        </w:tc>
        <w:tc>
          <w:tcPr>
            <w:tcW w:w="3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166.81</w:t>
            </w: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Peer Group</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87.42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102.45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149.67</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137.51</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169.20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industry peer group is based on companies previously included in the Fortune 500 Industrial and Farm Equipment Index, which was discontinued after 2002 and currently includes: AGCO Corporation, Briggs &amp; Stratton Corporation, Caterpillar Inc., Crane Co., Cummins Inc., Deere &amp; Company, Dover Corporation, Flowserve Corporation, Harsco Corporation, Illinois Tool Works Inc., International Game Technology Plc, ITT Inc., Kennametal Inc., Lennox International Inc., NACCO Industries, Inc., Parker-Hannifin Corporation, Pentair Plc, Snap-On Inc., Teleflex Inc., Terex Corporation, and The Timken Company.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selected financial data for each of the fiscal years in the five-year period ended October 31, 2019. The table should be read in conjunction with Part II, Item 7, "Management's Discussion and Analysis of Financial Condition and Results of Operations" and Part II, Item 8, "Financial Statements and Supplementary Data"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1400" w:type="dxa"/>
            <w:vAlign w:val="bottom"/>
          </w:tcPr>
          <w:p>
            <w:pPr>
              <w:spacing w:after="0"/>
              <w:rPr>
                <w:sz w:val="13"/>
                <w:szCs w:val="13"/>
                <w:color w:val="auto"/>
              </w:rPr>
            </w:pPr>
          </w:p>
        </w:tc>
        <w:tc>
          <w:tcPr>
            <w:tcW w:w="9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xml:space="preserve">2019 </w:t>
            </w:r>
            <w:r>
              <w:rPr>
                <w:rFonts w:ascii="Times New Roman" w:cs="Times New Roman" w:eastAsia="Times New Roman" w:hAnsi="Times New Roman"/>
                <w:sz w:val="8"/>
                <w:szCs w:val="8"/>
                <w:b w:val="1"/>
                <w:bCs w:val="1"/>
                <w:color w:val="auto"/>
              </w:rPr>
              <w:t>3</w:t>
            </w:r>
          </w:p>
        </w:tc>
        <w:tc>
          <w:tcPr>
            <w:tcW w:w="340" w:type="dxa"/>
            <w:vAlign w:val="bottom"/>
          </w:tcPr>
          <w:p>
            <w:pPr>
              <w:spacing w:after="0"/>
              <w:rPr>
                <w:sz w:val="13"/>
                <w:szCs w:val="13"/>
                <w:color w:val="auto"/>
              </w:rPr>
            </w:pPr>
          </w:p>
        </w:tc>
        <w:tc>
          <w:tcPr>
            <w:tcW w:w="9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xml:space="preserve">2018 </w:t>
            </w:r>
            <w:r>
              <w:rPr>
                <w:rFonts w:ascii="Times New Roman" w:cs="Times New Roman" w:eastAsia="Times New Roman" w:hAnsi="Times New Roman"/>
                <w:sz w:val="8"/>
                <w:szCs w:val="8"/>
                <w:b w:val="1"/>
                <w:bCs w:val="1"/>
                <w:color w:val="auto"/>
              </w:rPr>
              <w:t>2</w:t>
            </w:r>
          </w:p>
        </w:tc>
        <w:tc>
          <w:tcPr>
            <w:tcW w:w="360" w:type="dxa"/>
            <w:vAlign w:val="bottom"/>
          </w:tcPr>
          <w:p>
            <w:pPr>
              <w:spacing w:after="0"/>
              <w:rPr>
                <w:sz w:val="13"/>
                <w:szCs w:val="13"/>
                <w:color w:val="auto"/>
              </w:rPr>
            </w:pPr>
          </w:p>
        </w:tc>
        <w:tc>
          <w:tcPr>
            <w:tcW w:w="8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3"/>
                <w:szCs w:val="13"/>
                <w:color w:val="auto"/>
              </w:rPr>
            </w:pPr>
          </w:p>
        </w:tc>
        <w:tc>
          <w:tcPr>
            <w:tcW w:w="8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xml:space="preserve">2015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Statements of Earnings data:</w:t>
            </w:r>
          </w:p>
        </w:tc>
        <w:tc>
          <w:tcPr>
            <w:tcW w:w="1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sales</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3,138,084</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2,618,650</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2,505,176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2,392,175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2,390,875</w:t>
            </w: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earnings</w:t>
            </w:r>
          </w:p>
        </w:tc>
        <w:tc>
          <w:tcPr>
            <w:tcW w:w="1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273,983</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271,939</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267,717</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230,994</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201,591</w:t>
            </w:r>
          </w:p>
        </w:tc>
        <w:tc>
          <w:tcPr>
            <w:tcW w:w="0" w:type="dxa"/>
            <w:vAlign w:val="bottom"/>
          </w:tcPr>
          <w:p>
            <w:pPr>
              <w:spacing w:after="0"/>
              <w:rPr>
                <w:sz w:val="1"/>
                <w:szCs w:val="1"/>
                <w:color w:val="auto"/>
              </w:rPr>
            </w:pPr>
          </w:p>
        </w:tc>
      </w:tr>
      <w:tr>
        <w:trPr>
          <w:trHeight w:val="265"/>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net earnings per share</w:t>
            </w:r>
          </w:p>
        </w:tc>
        <w:tc>
          <w:tcPr>
            <w:tcW w:w="140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2.57</w:t>
            </w:r>
          </w:p>
        </w:tc>
        <w:tc>
          <w:tcPr>
            <w:tcW w:w="34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2.56</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3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3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net earnings per share</w:t>
            </w:r>
          </w:p>
        </w:tc>
        <w:tc>
          <w:tcPr>
            <w:tcW w:w="1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6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 Balance Sheets data:</w:t>
            </w:r>
          </w:p>
        </w:tc>
        <w:tc>
          <w:tcPr>
            <w:tcW w:w="1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2,330,547</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1,570,984</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1,493,787</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1,384,572</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1,300,429</w:t>
            </w:r>
          </w:p>
        </w:tc>
        <w:tc>
          <w:tcPr>
            <w:tcW w:w="0" w:type="dxa"/>
            <w:vAlign w:val="bottom"/>
          </w:tcPr>
          <w:p>
            <w:pPr>
              <w:spacing w:after="0"/>
              <w:rPr>
                <w:sz w:val="1"/>
                <w:szCs w:val="1"/>
                <w:color w:val="auto"/>
              </w:rPr>
            </w:pPr>
          </w:p>
        </w:tc>
      </w:tr>
      <w:tr>
        <w:trPr>
          <w:trHeight w:val="265"/>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700,813</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312,549</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331,887</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350,961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374,723</w:t>
            </w:r>
          </w:p>
        </w:tc>
        <w:tc>
          <w:tcPr>
            <w:tcW w:w="0" w:type="dxa"/>
            <w:vAlign w:val="bottom"/>
          </w:tcPr>
          <w:p>
            <w:pPr>
              <w:spacing w:after="0"/>
              <w:rPr>
                <w:sz w:val="1"/>
                <w:szCs w:val="1"/>
                <w:color w:val="auto"/>
              </w:rPr>
            </w:pPr>
          </w:p>
        </w:tc>
      </w:tr>
      <w:tr>
        <w:trPr>
          <w:trHeight w:val="27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Statements of Cash Flows data:</w:t>
            </w:r>
          </w:p>
        </w:tc>
        <w:tc>
          <w:tcPr>
            <w:tcW w:w="1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Cash dividends per share of Toro common stock</w:t>
            </w:r>
          </w:p>
        </w:tc>
        <w:tc>
          <w:tcPr>
            <w:tcW w:w="1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0.90</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0.80</w:t>
            </w:r>
          </w:p>
        </w:tc>
        <w:tc>
          <w:tcPr>
            <w:tcW w:w="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0.70</w:t>
            </w:r>
          </w:p>
        </w:tc>
        <w:tc>
          <w:tcPr>
            <w:tcW w:w="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Basic and diluted net earnings per share have been adjusted for prior periods presented to reflect the impact of our two-for-one stock split effective September 16, 2016.</w:t>
      </w:r>
    </w:p>
    <w:p>
      <w:pPr>
        <w:spacing w:after="0" w:line="193" w:lineRule="exact"/>
        <w:rPr>
          <w:sz w:val="20"/>
          <w:szCs w:val="20"/>
          <w:color w:val="auto"/>
        </w:rPr>
      </w:pPr>
    </w:p>
    <w:p>
      <w:pPr>
        <w:jc w:val="both"/>
        <w:ind w:left="340" w:hanging="332"/>
        <w:spacing w:after="0" w:line="221"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Net earnings and basic and diluted net earnings per share were significantly impacted by the enactment of Public Law No. 115-97 ("Tax Act" or "U.S. Tax Reform"), originally introduced as the Tax Cuts and Jobs Act, during fiscal 2018. Refer to the section entitled "Results of Operations" included in Part I, Item 7, "Management's Discussion and Analysis of Financial Condition and Results of Operations" and Note 8,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of the Notes to Consolidated Financial Statements included in Part II, Item 8, "Financial Statements and Supplementary Data" of this Annual Report on Form 10-K, as well as our Annual Report on Form 10-K for the fiscal year ended October 31, 2018, for additional information regarding U.S. Tax Reform and its impact to our fiscal 2018 Results of Operations.</w:t>
      </w:r>
    </w:p>
    <w:p>
      <w:pPr>
        <w:spacing w:after="0" w:line="194" w:lineRule="exact"/>
        <w:rPr>
          <w:sz w:val="20"/>
          <w:szCs w:val="20"/>
          <w:color w:val="auto"/>
        </w:rPr>
      </w:pPr>
    </w:p>
    <w:p>
      <w:pPr>
        <w:jc w:val="both"/>
        <w:ind w:left="340" w:hanging="332"/>
        <w:spacing w:after="0" w:line="221" w:lineRule="auto"/>
        <w:tabs>
          <w:tab w:leader="none" w:pos="3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The company's Consolidated Financial Statements include results of the CMW business from April 1, 2019, the date of acquisition, including charges incurred for acquisition-related purchase accounting adjustments and transaction and integration costs. Refer to the section entitled "Results of Operations" included in Part II, Item 7, "Management's Discussion and Analysis of Financial Condition and Results of Operations," and Note 2,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of the Notes to Consolidated Financial Statements included in Part II, Item 8, "Financial Statements and Supplementary Data" of this Annual Report on Form 10-K for additional information regarding our acquisition of CMW and its impact to our fiscal 2019 Results of Operations.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year-over-year comparison of changes in our financial condition and results of operations as of and for the fiscal years ended October 31, 2019 and October 31, 2018. Discussion of fiscal 2017 items and the year-over-year comparison of changes in our financial condition and results of operation as of and for the fiscal years ended October 31, 2018 and October 31, 2017 can be found in Part II, Item 7. "Management’s Discussion and Analysis of Financial Condition and Results of Operations" of our Annual Report on Form 10-K for the fiscal year ended October 31,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MD&amp;A is presented as follows:</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We have provided non-GAAP financial measures, which are not calculated or presented in accordance with accounting principles generally accepted in the United States ("GAAP"), as information supplemental and in addition to the most directly comparable financial measures presented in this report that are calculated and presented in accordance with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Further, we believe that such non-GAAP financial measures, when considered in conjunction with our Consolidated Financial Statements prepared in accordance with U.S. GAAP, provide investors with useful supplemental financial information to better understand our core operational performance.</w:t>
      </w:r>
    </w:p>
    <w:p>
      <w:pPr>
        <w:spacing w:after="0" w:line="19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Reconciliations of adjusted non-GAAP financial measures to the most directly comparable reported GAAP financial measures are included in the section titled "Non-GAAP Financial Measures" within this MD&amp;A. These non-GAAP financial measures, however, should not be considered superior</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as a substitute for, or as an alternative to, and should be considered in conjunction with, the most directly comparable GAAP financial measures. Further, these non-GAAP financial measures may differ from similar measures used by other companies.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that are not historical are forward-looking and involve risks and uncertainties, including those discussed in Part I, Item 1A, "Risk Factors" and elsewhere in this report. These risks could cause our actual results to differ materially from any future performance suggested throughout this MD&amp;A.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 Such Other activities consist of earnings (loss) from our wholly-owned domestic distribution companies, corporate activities, and the elimination of intersegment revenues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CMW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more fully described in Part I, Item 1, "Business" within the section titled "Acquisition of The Charles Machine Works, Inc." and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in the Notes to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8, "Financial Statements and Supplementary Data," on April 1, 2019, we completed our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The transaction was structured as a merger, pursuant to which a wholly-owned subsidiary of Toro merged with and into CMW, with CMW continuing as the surviving entity and a wholly-owned subsidiary of Toro. As a result of the merger, all of the</w:t>
      </w:r>
    </w:p>
    <w:p>
      <w:pPr>
        <w:sectPr>
          <w:pgSz w:w="11900" w:h="16838" w:orient="portrait"/>
          <w:cols w:equalWidth="0" w:num="2">
            <w:col w:w="5800" w:space="20"/>
            <w:col w:w="560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outstanding equity securities of CMW were canceled and now only represent the right to receive the applicable consideration as described in the merger agreement. At the closing date, we paid preliminary merger consideration of $679.3 million that was subject to customary adjustments based on, among other things, the amount of actual cash, debt, and working capital in the business of CMW at the closing date. During the fourth quarter of fiscal 2019, we finalized such customary adjustments that resulted in an additional $5.7 million of merger consideration being paid and an aggregate merger consideration of $685.0 million ("purchase price"). We funded the purchase price for the acquisition by using a combination of cash proceeds from the issuance of borrowings under our unsecured senior term loan credit agreement and borrowings from our unsecured senior revolving credit facility. For additional information regarding the financing agreements utilized to fund the aggregate merger consideration, refer to the section titled "Financial Position" within this MD&amp;A and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Fiscal 2019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2019 results included the following items of significance:</w:t>
      </w:r>
    </w:p>
    <w:p>
      <w:pPr>
        <w:spacing w:after="0" w:line="117" w:lineRule="exact"/>
        <w:rPr>
          <w:sz w:val="20"/>
          <w:szCs w:val="20"/>
          <w:color w:val="auto"/>
        </w:rPr>
      </w:pPr>
    </w:p>
    <w:p>
      <w:pPr>
        <w:jc w:val="both"/>
        <w:ind w:left="340" w:hanging="332"/>
        <w:spacing w:after="0" w:line="25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fiscal 2019 increased by 19.8 percent to $3,138.1 million when compared to fiscal 2018. The sales increase was primarily driven by incremental sales as a result of our acquisition of CMW, the year-over-year impact of price increases across our Professional and Residential segment product lines, strong channel demand for our Professional segment snow and ice management products and Residential snow thrower products, incremental sales as a result of our acquisition of a Northeastern U.S. distribution company, as well as the successful introduction of innovative new products in the Professional and Residential segments.</w:t>
      </w:r>
    </w:p>
    <w:p>
      <w:pPr>
        <w:spacing w:after="0" w:line="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grew 25.5 percent in fiscal 2019 compared to fiscal 2018.</w:t>
      </w:r>
    </w:p>
    <w:p>
      <w:pPr>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increased 1.0 percent in fiscal 2019 compared to fiscal 2018.</w:t>
      </w:r>
    </w:p>
    <w:p>
      <w:pPr>
        <w:jc w:val="both"/>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net sales for fiscal 2019 increased by 12.7 percent compared to fiscal 2018, primarily driven by incremental sales as a result of our acquisition of CMW. Foreign currency exchange rates unfavorably impacted our international net sales by approximately $14.1 million in fiscal 2019. International net sales comprised 23.1 percent of our total consolidated net sales in fiscal 2019 compared to 24.6 percent and 24.4 percent in fiscal 2018 and 2017, respectively.</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33.4 percent in fiscal 2019, a decrease of 250 basis points from 35.9 percent in fiscal 2018. Non-GAAP adjusted gross margin was 35.1 percent in fiscal 2019, a decrease of 80 basis points from 35.9 percent in fiscal 2018.</w:t>
      </w:r>
    </w:p>
    <w:p>
      <w:pPr>
        <w:spacing w:after="0" w:line="1"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 was 23.0 percent as a percentage of net sales in fiscal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increase of 130 basis points from 21.7 percent in fiscal 2018.</w:t>
      </w:r>
    </w:p>
    <w:p>
      <w:pPr>
        <w:spacing w:after="0" w:line="27" w:lineRule="exact"/>
        <w:rPr>
          <w:sz w:val="20"/>
          <w:szCs w:val="20"/>
          <w:color w:val="auto"/>
        </w:rPr>
      </w:pPr>
    </w:p>
    <w:p>
      <w:pPr>
        <w:jc w:val="both"/>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2019 net earnings of $274.0 million increased 0.8 percent compared to fiscal 2018, and diluted net earnings per share increased 1.2 percent to $2.53 in fiscal 2019 compared to $2.50 in fiscal 2018. Fiscal 2019 non-GAAP adjusted net earnings were $324.3 million, an increase of 11.8 percent compared to fiscal 2018, and non-GAAP adjusted diluted net earnings per share increased 12.4 percent to $3.00 in fiscal 2019 compared to $2.67 in fiscal 2018.</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receivables and inventories increased by 39.1 percent and 81.9 percent, respectively, as of the end of fiscal 2019 compared to the end of fiscal 2018, primarily due to incremental receivables and inventories as a result of our acquisition of CMW.</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field inventory levels were up as of the end of fiscal 2019 compared to the end of fiscal 2018, primarily as a result of higher Professional segment field inventory that was primarily due to incremental field inventory as a result of our acquisition of CMW and higher field inventory for our Professional segment zero-turn riding mowers due to soft retail demand.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history of paying quarterly cash dividends in fiscal 2019. We increased our fiscal 2019 quarterly cash dividend by 12.5 percent to $0.225 per share compared to our quarterly cash dividend in fiscal 2018 of $0.20 per share.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Please refer to the sections entitled “Results of Operations", "Business Segments", and "Financial Position" within this MD&amp;A for more specific disclosures regarding the above items of significance and additional details concerning our financial condition, results of operations, and liquidity for fiscal 2019. Additionally, please refer to the section titled "Non-GAAP Financial Measures" within this MD&amp;A for reconciliations of adjusted non-GAAP financial measures to the most directly comparable reported GAAP financial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2020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the first two fiscal years of our Vision 2020 initiative, we set specific financial goals, which included organic revenue and operating earnings growth. In fiscal year 2019, we fell short of our organic revenue growth and our operating earnings as a percentage of net sales goals by achieving 1.1 percent organic revenue growth and 10.4 percent of operating earnings as a percentage of net sales, respectively.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our transformational acquisition of CMW, we will complete the third and final fiscal year of our Vision 2020 initiative with a revised enterprise-wide performance goal of adjusted operating earnings of $485.0 million, which is intended to help us drive profitable growth as a combined enterprise.</w:t>
      </w:r>
    </w:p>
    <w:p>
      <w:pPr>
        <w:sectPr>
          <w:pgSz w:w="11900" w:h="16838" w:orient="portrait"/>
          <w:cols w:equalWidth="0" w:num="3">
            <w:col w:w="5600" w:space="20"/>
            <w:col w:w="180" w:space="20"/>
            <w:col w:w="560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our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11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w:t>
            </w:r>
          </w:p>
        </w:tc>
        <w:tc>
          <w:tcPr>
            <w:tcW w:w="12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100.0 %</w:t>
            </w: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100.0 %</w:t>
            </w:r>
          </w:p>
        </w:tc>
      </w:tr>
      <w:tr>
        <w:trPr>
          <w:trHeight w:val="26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Cost of sales</w:t>
            </w: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(66.6)</w:t>
            </w: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(64.1)</w:t>
            </w: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(63.2)</w:t>
            </w:r>
          </w:p>
        </w:tc>
      </w:tr>
      <w:tr>
        <w:trPr>
          <w:trHeight w:val="269"/>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margin</w:t>
            </w:r>
          </w:p>
        </w:tc>
        <w:tc>
          <w:tcPr>
            <w:tcW w:w="11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33.4</w:t>
            </w:r>
          </w:p>
        </w:tc>
        <w:tc>
          <w:tcPr>
            <w:tcW w:w="12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35.9</w:t>
            </w:r>
          </w:p>
        </w:tc>
        <w:tc>
          <w:tcPr>
            <w:tcW w:w="10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36.8</w:t>
            </w:r>
          </w:p>
        </w:tc>
      </w:tr>
      <w:tr>
        <w:trPr>
          <w:trHeight w:val="26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SG&amp;A expense</w:t>
            </w: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(23.0)</w:t>
            </w: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(21.7)</w:t>
            </w: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(22.6)</w:t>
            </w:r>
          </w:p>
        </w:tc>
      </w:tr>
      <w:tr>
        <w:trPr>
          <w:trHeight w:val="269"/>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earnings</w:t>
            </w:r>
          </w:p>
        </w:tc>
        <w:tc>
          <w:tcPr>
            <w:tcW w:w="11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10.4</w:t>
            </w:r>
          </w:p>
        </w:tc>
        <w:tc>
          <w:tcPr>
            <w:tcW w:w="12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14.2</w:t>
            </w:r>
          </w:p>
        </w:tc>
        <w:tc>
          <w:tcPr>
            <w:tcW w:w="10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14.2</w:t>
            </w:r>
          </w:p>
        </w:tc>
      </w:tr>
      <w:tr>
        <w:trPr>
          <w:trHeight w:val="265"/>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(0.9)</w:t>
            </w: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(0.7)</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(0.8)</w:t>
            </w:r>
          </w:p>
        </w:tc>
      </w:tr>
      <w:tr>
        <w:trPr>
          <w:trHeight w:val="275"/>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net</w:t>
            </w:r>
          </w:p>
        </w:tc>
        <w:tc>
          <w:tcPr>
            <w:tcW w:w="114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0.8</w:t>
            </w:r>
          </w:p>
        </w:tc>
        <w:tc>
          <w:tcPr>
            <w:tcW w:w="12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0.7</w:t>
            </w:r>
          </w:p>
        </w:tc>
        <w:tc>
          <w:tcPr>
            <w:tcW w:w="10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0.7</w:t>
            </w:r>
          </w:p>
        </w:tc>
      </w:tr>
      <w:tr>
        <w:trPr>
          <w:trHeight w:val="265"/>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(1.6)</w:t>
            </w: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(3.8)</w:t>
            </w: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(3.4)</w:t>
            </w:r>
          </w:p>
        </w:tc>
      </w:tr>
      <w:tr>
        <w:trPr>
          <w:trHeight w:val="264"/>
        </w:trPr>
        <w:tc>
          <w:tcPr>
            <w:tcW w:w="2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earnings</w:t>
            </w:r>
          </w:p>
        </w:tc>
        <w:tc>
          <w:tcPr>
            <w:tcW w:w="11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8.7 %</w:t>
            </w: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10.4 %</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10.7 %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international net sales increases were partially offset by the following factors:</w:t>
      </w:r>
    </w:p>
    <w:p>
      <w:pPr>
        <w:spacing w:after="0" w:line="54" w:lineRule="exact"/>
        <w:rPr>
          <w:sz w:val="20"/>
          <w:szCs w:val="20"/>
          <w:color w:val="auto"/>
        </w:rPr>
      </w:pPr>
    </w:p>
    <w:p>
      <w:pPr>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Residential and Professional segment zero-turn riding mowers due to soft retail demand,</w:t>
      </w:r>
    </w:p>
    <w:p>
      <w:pPr>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of Pope-branded products due to unfavorable weather in key regions, and</w:t>
      </w:r>
    </w:p>
    <w:p>
      <w:pPr>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unfavorably impacted our international net sales by approximately $14.1 million in fiscal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Gross margin represents gross profit (net sales less cost of sales) as a percentage of net sales. See Note 1,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Related Data</w:t>
      </w:r>
      <w:r>
        <w:rPr>
          <w:rFonts w:ascii="Times New Roman" w:cs="Times New Roman" w:eastAsia="Times New Roman" w:hAnsi="Times New Roman"/>
          <w:sz w:val="18"/>
          <w:szCs w:val="18"/>
          <w:color w:val="auto"/>
        </w:rPr>
        <w:t>, 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the section entitled "Cost of Sales," included in Part II, Item 8, "Financial Statements and Supplementary Data" of this Annual Report on Form 10-K for a description of expenses included in cost of sales. Gross margin decreased by 250 basis points to 33.4 percent in fiscal 2019 from 35.9 percent in fiscal 2018. This decrease was mainly the result of the following factors:</w:t>
      </w:r>
    </w:p>
    <w:p>
      <w:pPr>
        <w:spacing w:after="0" w:line="1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3542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net sales in fiscal 2019 were $3,138.1 million compared to $2,618.7 million in fiscal 2018, an increase of 19.8 percent. This net sales increase was primarily attributable to the following factors:</w:t>
      </w:r>
    </w:p>
    <w:p>
      <w:pPr>
        <w:spacing w:after="0" w:line="68" w:lineRule="exact"/>
        <w:rPr>
          <w:sz w:val="20"/>
          <w:szCs w:val="20"/>
          <w:color w:val="auto"/>
        </w:rPr>
      </w:pPr>
    </w:p>
    <w:p>
      <w:pPr>
        <w:jc w:val="both"/>
        <w:ind w:left="340" w:hanging="332"/>
        <w:spacing w:after="0" w:line="25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worldwide sales of Professional segment products, which were primarily driven by incremental sales as a result of our acquisition of CMW, the year-over-year impact of price increases across our Professional segment product lines, and strong channel demand for our snow and ice management, landscape contractor, and Toro-branded rental and specialty construction equipment, partially offset by fewer shipments of our irrigation products due to unfavorable weather in key regions.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for our Other activities were primarily due to increased shipments of our golf and grounds equipment through our wholly-owned domestic distribution companies driven by our acquisition of a Northeastern U.S. distribution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worldwide sales of Residential segment products were primarily due to the year-over-year impact of price increases across our Residential segment product lines, strong retail demand for snow throwers, the successful introduction of new products, and increased parts sales, partially offset by soft retail demand for zero-turn riding mowers and reduced sales of our Pope-branded irrigation products by unfavorable weather conditions.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international markets increased by 12.7 percent in fiscal 2019 compared to fiscal 2018. This net sales increase was primarily attributable to the following factors:</w:t>
      </w:r>
    </w:p>
    <w:p>
      <w:pPr>
        <w:spacing w:after="0" w:line="6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sales as a result of our acquisition of CMW,</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channel demand for our golf and grounds equipment,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retail demand for Residential snow thrower products.</w:t>
      </w:r>
    </w:p>
    <w:p>
      <w:pPr>
        <w:spacing w:after="0" w:line="20" w:lineRule="exact"/>
        <w:rPr>
          <w:sz w:val="20"/>
          <w:szCs w:val="20"/>
          <w:color w:val="auto"/>
        </w:rPr>
      </w:pPr>
      <w:r>
        <w:rPr>
          <w:sz w:val="20"/>
          <w:szCs w:val="20"/>
          <w:color w:val="auto"/>
        </w:rPr>
        <w:br w:type="column"/>
      </w:r>
    </w:p>
    <w:p>
      <w:pPr>
        <w:ind w:left="540" w:hanging="332"/>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higher commodity and tariff costs on purchased raw materials and component parts,</w:t>
      </w:r>
    </w:p>
    <w:p>
      <w:pPr>
        <w:ind w:left="540" w:right="20" w:hanging="332"/>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purchase accounting adjustments related to our acquisition of CMW,</w:t>
      </w:r>
    </w:p>
    <w:p>
      <w:pPr>
        <w:ind w:left="540" w:hanging="3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w:t>
      </w:r>
    </w:p>
    <w:p>
      <w:pPr>
        <w:spacing w:after="0" w:line="9" w:lineRule="exact"/>
        <w:rPr>
          <w:rFonts w:ascii="Times New Roman" w:cs="Times New Roman" w:eastAsia="Times New Roman" w:hAnsi="Times New Roman"/>
          <w:sz w:val="18"/>
          <w:szCs w:val="18"/>
          <w:color w:val="auto"/>
        </w:rPr>
      </w:pPr>
    </w:p>
    <w:p>
      <w:pPr>
        <w:ind w:left="540" w:hanging="3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the Toro underground wind down, and</w:t>
      </w:r>
    </w:p>
    <w:p>
      <w:pPr>
        <w:spacing w:after="0" w:line="9" w:lineRule="exact"/>
        <w:rPr>
          <w:rFonts w:ascii="Times New Roman" w:cs="Times New Roman" w:eastAsia="Times New Roman" w:hAnsi="Times New Roman"/>
          <w:sz w:val="18"/>
          <w:szCs w:val="18"/>
          <w:color w:val="auto"/>
        </w:rPr>
      </w:pPr>
    </w:p>
    <w:p>
      <w:pPr>
        <w:ind w:left="540" w:hanging="332"/>
        <w:spacing w:after="0" w:line="261"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and inclement weather resulting in manufacturing inefficiencies within our Professional segment.</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Somewhat offsetting those unfavorable gross margin factors were:</w:t>
      </w:r>
    </w:p>
    <w:p>
      <w:pPr>
        <w:spacing w:after="0" w:line="117" w:lineRule="exact"/>
        <w:rPr>
          <w:sz w:val="20"/>
          <w:szCs w:val="20"/>
          <w:color w:val="auto"/>
        </w:rPr>
      </w:pPr>
    </w:p>
    <w:p>
      <w:pPr>
        <w:ind w:left="540" w:right="20" w:hanging="332"/>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driven by price increases across our product lines,</w:t>
      </w:r>
    </w:p>
    <w:p>
      <w:pPr>
        <w:ind w:left="540" w:right="20" w:hanging="332"/>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initiatives related to commodities, components, parts, and accessories sourcing, and</w:t>
      </w:r>
    </w:p>
    <w:p>
      <w:pPr>
        <w:ind w:left="540" w:hanging="3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freight costs due to cost reduction initiatives.</w:t>
      </w:r>
    </w:p>
    <w:p>
      <w:pPr>
        <w:spacing w:after="0" w:line="9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Adjusted non-GAAP gross margin decreased 80 basis points to 35.1 percent in fiscal 2019 from 35.9 percent in fiscal 2018. This decrease was mainly the result of the following factors:</w:t>
      </w:r>
    </w:p>
    <w:p>
      <w:pPr>
        <w:spacing w:after="0" w:line="68" w:lineRule="exact"/>
        <w:rPr>
          <w:sz w:val="20"/>
          <w:szCs w:val="20"/>
          <w:color w:val="auto"/>
        </w:rPr>
      </w:pPr>
    </w:p>
    <w:p>
      <w:pPr>
        <w:ind w:left="540" w:hanging="332"/>
        <w:spacing w:after="0" w:line="26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higher commodity and tariff costs on purchased raw materials and component parts,</w:t>
      </w:r>
    </w:p>
    <w:p>
      <w:pPr>
        <w:ind w:left="540" w:hanging="332"/>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 and</w:t>
      </w:r>
    </w:p>
    <w:p>
      <w:pPr>
        <w:spacing w:after="0" w:line="9" w:lineRule="exact"/>
        <w:rPr>
          <w:rFonts w:ascii="Times New Roman" w:cs="Times New Roman" w:eastAsia="Times New Roman" w:hAnsi="Times New Roman"/>
          <w:sz w:val="18"/>
          <w:szCs w:val="18"/>
          <w:color w:val="auto"/>
        </w:rPr>
      </w:pPr>
    </w:p>
    <w:p>
      <w:pPr>
        <w:ind w:left="540" w:hanging="332"/>
        <w:spacing w:after="0" w:line="26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and inclement weather resulting in manufacturing inefficiencies within our Professional segment.</w:t>
      </w:r>
    </w:p>
    <w:p>
      <w:pPr>
        <w:spacing w:after="0" w:line="72"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Somewhat offsetting those unfavorable adjusted non-GAAP gross margin factors were:</w:t>
      </w:r>
    </w:p>
    <w:p>
      <w:pPr>
        <w:spacing w:after="0" w:line="54" w:lineRule="exact"/>
        <w:rPr>
          <w:sz w:val="20"/>
          <w:szCs w:val="20"/>
          <w:color w:val="auto"/>
        </w:rPr>
      </w:pPr>
    </w:p>
    <w:p>
      <w:pPr>
        <w:ind w:left="540" w:right="20" w:hanging="332"/>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driven by price increases across our product lines,</w:t>
      </w:r>
    </w:p>
    <w:p>
      <w:pPr>
        <w:ind w:left="540" w:right="20" w:hanging="332"/>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initiatives related to commodities, components, parts, and accessories sourcing, and</w:t>
      </w:r>
    </w:p>
    <w:p>
      <w:pPr>
        <w:ind w:left="540" w:hanging="3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freight costs due to cost reduction initiatives.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2">
            <w:col w:w="5600" w:space="20"/>
            <w:col w:w="580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Adjusted non-GAAP gross margin excludes the impact of certain purchase accounting adjustments resulting from our acquisition of CMW, including charges incurred for the take-down of the inventory fair value step-up amount and amortization of the backlog intangible asset, as well as the impact of management actions, including the charges incurred for inventory write-downs, anticipated inventory retail support activities, and accelerated depreciation of fixed assets related to the Toro underground wind down and restructuring charges incurred for our corporate restructuring event. Please refer to the section titled "Non-GAAP Financial Measures" within this MD&amp;A for reconciliations of adjusted non-GAAP financial measures to the most directly comparable reported GAAP financial measures.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 xml:space="preserve">SG&amp;A expense increased $155.0 million, or 27.3 percent, in fiscal 2019 compared to fiscal 2018. See Note 1,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Related Data</w:t>
      </w:r>
      <w:r>
        <w:rPr>
          <w:rFonts w:ascii="Times New Roman" w:cs="Times New Roman" w:eastAsia="Times New Roman" w:hAnsi="Times New Roman"/>
          <w:sz w:val="18"/>
          <w:szCs w:val="18"/>
          <w:color w:val="auto"/>
        </w:rPr>
        <w:t>, of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the section entitled "Selling, General, and Administrative Expense," included in Part II, Item 8, "Financial Statements and Supplementary Data" of this report for a description of expenses included in SG&amp;A expense. SG&amp;A expense rate represents SG&amp;A expense as a percentage of net sales. The SG&amp;A expense rate in fiscal 2019 was 23.0 percent compared to 21.7 percent in fiscal 2018, an unfavorable increase of 130 basis points. As a percentage of net sales, our SG&amp;A expense rate increase was primarily due to the following factors:</w:t>
      </w:r>
    </w:p>
    <w:p>
      <w:pPr>
        <w:spacing w:after="0" w:line="85" w:lineRule="exact"/>
        <w:rPr>
          <w:sz w:val="20"/>
          <w:szCs w:val="20"/>
          <w:color w:val="auto"/>
        </w:rPr>
      </w:pPr>
    </w:p>
    <w:p>
      <w:pPr>
        <w:jc w:val="both"/>
        <w:ind w:left="340" w:right="200" w:hanging="332"/>
        <w:spacing w:after="0" w:line="255"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CMW, which resulted in incremental administrative, indirect sales and marketing, engineering, warranty, and service expense; integration and acquisition-related expenditures, and higher amortization of other intangible assets;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costs in certain of our legacy businesses; and</w:t>
      </w:r>
    </w:p>
    <w:p>
      <w:pPr>
        <w:spacing w:after="0" w:line="9" w:lineRule="exact"/>
        <w:rPr>
          <w:rFonts w:ascii="Times New Roman" w:cs="Times New Roman" w:eastAsia="Times New Roman" w:hAnsi="Times New Roman"/>
          <w:sz w:val="18"/>
          <w:szCs w:val="18"/>
          <w:color w:val="auto"/>
        </w:rPr>
      </w:pPr>
    </w:p>
    <w:p>
      <w:pPr>
        <w:ind w:left="340" w:right="22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engineering expense for new product development in our legacy businesses.</w:t>
      </w:r>
    </w:p>
    <w:p>
      <w:pPr>
        <w:spacing w:after="0" w:line="72"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These unfavorable SG&amp;A expense rate factors were partially offset by decreased direct marketing expense in our legacy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Interest expense for fiscal 2019 increased $9.7 million, or 51.0 percent, compared to fiscal 2018. This increase was driven by interest expense incurred on higher outstanding borrowings incurred to fund the purchase price for our acquisition of CMW.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 xml:space="preserve">Other income, net consists mainly of our proportionate share of income or losses from our Red Iron joint venture, realized currency exchange rate gains and losses, litigation settlements and/or recoveries, interest income, dividend income, gains or losses recognized on actuarial valuation changes for our pension and post-retirement plans, retail financing revenue, and other miscellaneous income. Refer to Note 16,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of the Notes to Consolidated Financial Statements,</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Part II, Item 8, "Financial Statements and Supplementary Data" of this Annual Report on Form 10-K for additional information regarding the components of other income, net.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fiscal 2019 was $25.9 million compared to $18.4 million in fiscal 2018, an increase of $7.5 million. The increase in other income, net was primarily due to the following factors:</w:t>
      </w:r>
    </w:p>
    <w:p>
      <w:pPr>
        <w:spacing w:after="0" w:line="68" w:lineRule="exact"/>
        <w:rPr>
          <w:sz w:val="20"/>
          <w:szCs w:val="20"/>
          <w:color w:val="auto"/>
        </w:rPr>
      </w:pPr>
    </w:p>
    <w:p>
      <w:pPr>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on actuarial valuation changes for our pension and post-retirement plans of $6.8 million and</w:t>
      </w: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earnings from our equity investment in Red Iron of $0.8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 the following factors:</w:t>
      </w:r>
    </w:p>
    <w:p>
      <w:pPr>
        <w:spacing w:after="0" w:line="11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expense, net of litigation recoveries, of $1.0 million and</w:t>
      </w:r>
    </w:p>
    <w:p>
      <w:pPr>
        <w:spacing w:after="0" w:line="27"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the sale of a used underground construction equipment business of $0.9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effective tax rate for fiscal 2019 was 14.9 percent compared to 27.0 percent in fiscal 2018. The effective tax rate was significantly impacted by the enactment of the Tax Act during fiscal 2018, including the remeasurement of deferred tax assets and liabilities, which resulted in a non-cash discrete tax charge of $19.3 million, and the calculation of the deemed repatriation tax, which resulted in a discrete tax charge of $13.4 million, payable over eight years. In addition to these one-time charges resulting from the Tax Act, the decrease in the effective tax rate was partially driven by the reduction in the U.S. federal corporate tax rate from a blended rate of 23.3 percent in fiscal 2018 to a rate of 21.0 percent in fiscal 2019. See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included in Part II, Item 8, "Financial Statements and Supplementary Data" of this report for further discussion the impacts on US Tax Reform.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adjusted non-GAAP effective tax rate for fiscal 2019 was 19.3 percent, compared to an adjusted non-GAAP effective tax rate of 22.1 percent in fiscal 2018. The decrease in the adjusted non-GAAP effective tax rate was primarily driven by the reduction in the U.S. federal corporate tax rate from a blended rate of 23.3 percent in fiscal 2018 to a rate of 21.0 percent in fiscal 2019.</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adjusted non-GAAP effective tax rate excludes costs incurred related to our acquisition of CMW, including integration and transaction costs and certain purchase accounting adjustments; the impact of management actions, including the charges related to the Toro underground wind down, our corporate restructuring event, and the divestiture of a used underground construction equipment business; the tax benefit for the excess tax deduction for share-based compensation; and one-time charges incurred under the Tax Act. Please refer to the section titled "Non-GAAP Financial Measures" within this MD&amp;A for reconciliations of adjusted non-GAAP financial measures to the most directly comparable reported GAAP financial measures.</w:t>
      </w:r>
    </w:p>
    <w:p>
      <w:pPr>
        <w:sectPr>
          <w:pgSz w:w="11900" w:h="16838" w:orient="portrait"/>
          <w:cols w:equalWidth="0" w:num="2">
            <w:col w:w="5800" w:space="20"/>
            <w:col w:w="560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22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Fiscal 2019 net earnings were $274.0 million compared to $271.9 million in fiscal 2018, an increase of 0.8 percent. Fiscal 2019 diluted net earnings per share were $2.53, an increase of 1.2 percent from $2.50 per diluted share in fiscal 2018. The net earnings increase for fiscal 2019 was primarily due to the following factors:</w:t>
      </w:r>
    </w:p>
    <w:p>
      <w:pPr>
        <w:spacing w:after="0" w:line="76" w:lineRule="exact"/>
        <w:rPr>
          <w:sz w:val="20"/>
          <w:szCs w:val="20"/>
          <w:color w:val="auto"/>
        </w:rPr>
      </w:pPr>
    </w:p>
    <w:p>
      <w:pPr>
        <w:ind w:left="340" w:right="20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impact of the one-time charges as a result of the Tax Act on our fiscal 2018 net earnings,</w:t>
      </w: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earnings as a result of our acquisition of CMW,</w:t>
      </w:r>
    </w:p>
    <w:p>
      <w:pPr>
        <w:spacing w:after="0" w:line="9"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driven by price increases across our product lines,</w:t>
      </w:r>
    </w:p>
    <w:p>
      <w:pPr>
        <w:ind w:left="340" w:right="20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U.S federal corporate tax rate from a blended rate of 23.3 percent in fiscal 2018 to a rate of 21.0 percent in fiscal 2019,</w:t>
      </w:r>
    </w:p>
    <w:p>
      <w:pPr>
        <w:ind w:left="340" w:right="20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initiatives related to commodities and component parts sourcing, and</w:t>
      </w:r>
    </w:p>
    <w:p>
      <w:pPr>
        <w:ind w:left="340" w:right="20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realized gain on actuarial valuation changes for our pension and post-retirement plans.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to net earnings were partially offset by the following factors:</w:t>
      </w:r>
    </w:p>
    <w:p>
      <w:pPr>
        <w:spacing w:after="0" w:line="117" w:lineRule="exact"/>
        <w:rPr>
          <w:sz w:val="20"/>
          <w:szCs w:val="20"/>
          <w:color w:val="auto"/>
        </w:rPr>
      </w:pPr>
    </w:p>
    <w:p>
      <w:pPr>
        <w:jc w:val="both"/>
        <w:ind w:left="340" w:right="200" w:hanging="332"/>
        <w:spacing w:after="0" w:line="25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purchase accounting adjustments and integration and acquisition-related expenditures from our CMW acquisition,</w:t>
      </w:r>
    </w:p>
    <w:p>
      <w:pPr>
        <w:spacing w:after="0" w:line="1"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commodity and tariff costs on purchased raw materials and component parts,</w:t>
      </w: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the Toro underground wind down,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incurred on outstanding indebtedness,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our corporate restructuring event.</w:t>
      </w:r>
    </w:p>
    <w:p>
      <w:pPr>
        <w:spacing w:after="0" w:line="9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Non-GAAP adjusted net earnings for fiscal 2019 were $324.3 million, or $3.00 per diluted share, compared to $290.1 million, or $2.67 per diluted share, in fiscal 2018, an increase of 12.4 percent per diluted share. The non-GAAP adjusted net earnings increase for fiscal 2019 was primarily due to the following factors:</w:t>
      </w:r>
    </w:p>
    <w:p>
      <w:pPr>
        <w:spacing w:after="0" w:line="7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earnings as a result of our acquisition of CMW,</w:t>
      </w:r>
    </w:p>
    <w:p>
      <w:pPr>
        <w:spacing w:after="0" w:line="27"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driven by price increases across our product lines,</w:t>
      </w:r>
    </w:p>
    <w:p>
      <w:pPr>
        <w:ind w:left="340" w:right="20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U.S federal corporate tax rate from blended rate of 23.3 percent in fiscal 2018 to a rate of 21.0 percent in fiscal 2019,</w:t>
      </w:r>
    </w:p>
    <w:p>
      <w:pPr>
        <w:ind w:left="340" w:right="20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initiatives related to commodities and component parts sourcing, and</w:t>
      </w:r>
    </w:p>
    <w:p>
      <w:pPr>
        <w:ind w:left="340" w:right="20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realized gain on actuarial valuation changes for our pension and post-retirement plans.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increases to adjusted non-GAAP net earnings were partially offset by the following factors:</w:t>
      </w:r>
    </w:p>
    <w:p>
      <w:pPr>
        <w:spacing w:after="0" w:line="54" w:lineRule="exact"/>
        <w:rPr>
          <w:sz w:val="20"/>
          <w:szCs w:val="20"/>
          <w:color w:val="auto"/>
        </w:rPr>
      </w:pPr>
    </w:p>
    <w:p>
      <w:pPr>
        <w:ind w:left="340" w:right="20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commodity and tariff costs on purchased raw materials and component parts,</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incurred on outstanding indebtedness.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net earnings excludes costs incurred related to our acquisition of CMW, including integration and transaction costs and certain purchase accounting adjustments; the impact of management actions, including the charges related to the Toro underground wind down, our corporate restructuring event, and the divestiture of a used underground construction equipment business; the tax benefit for the excess tax deduction for share-based compensation; and one-time charges incurred under the Tax Act. Please refer to the section titled "Non-GAAP Financial Measures" within this MD&amp;A for reconciliations of adjusted non-GAAP financial measures to the most directly comparable reported GAAP financial measures.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Changes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Commodities, components, parts, and accessories purchased for use in our manufacturing process and end-products or to be sold as standalone end-products are subject to the effects of inflation, deflation, changing prices, tariffs, and/or duties. During fiscal 2019, the average cost of commodities, components, parts, and accessories purchased, including the impact of inflation and tariff costs, were higher compared to the average cost of commodities, components, parts, and accessories purchased in fiscal 2018. The increase in the average cost of commodities, components, parts, and accessories had an unfavorable impact on our gross margins during fiscal 2019 as compared to fiscal 2018.</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strategically work to mitigate any unfavorable impact as a result of changes in the cost of commodities, components, parts, and accessories that affect our product lines; as a result, we anticipate the costs associated with commodity, components, parts, and accessories in fiscal 2020 to be slightly lower than the average cost of commodities, components, parts, and accessories purchased during fiscal 2019.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Further information regarding commodity cost risk is presented in Part II, Item 7A, "Quantitative and Qualitative Disclosures About Market Risk," of this Annual Report on Form 10-K in the section entitled "Commodity Cost Risk".</w:t>
      </w:r>
    </w:p>
    <w:p>
      <w:pPr>
        <w:sectPr>
          <w:pgSz w:w="11900" w:h="16838" w:orient="portrait"/>
          <w:cols w:equalWidth="0" w:num="2">
            <w:col w:w="5800" w:space="20"/>
            <w:col w:w="560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Consolidated Financial Statements included within Part II, Item 8, "Financial Statements and Supplementary Data" of this Annual Report on Form 10-K, 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corporate activities, other income, and interest expense.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 The following information provides perspective on our reportable business segments' and Other activities net sales and operating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segment net sales represented approximately 77.9 percent of consolidated net sales for fiscal 2019, 74.4 percent for fiscal 2018, and 72.3 percent for fiscal 2017. The following table presents our Professional segment's net sales, operating earnings, and operating earnings as a percent of net sales: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42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3"/>
                <w:szCs w:val="13"/>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2,443.4</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1,947.0</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1,811.7</w:t>
            </w:r>
          </w:p>
        </w:tc>
        <w:tc>
          <w:tcPr>
            <w:tcW w:w="0" w:type="dxa"/>
            <w:vAlign w:val="bottom"/>
          </w:tcPr>
          <w:p>
            <w:pPr>
              <w:spacing w:after="0"/>
              <w:rPr>
                <w:sz w:val="1"/>
                <w:szCs w:val="1"/>
                <w:color w:val="auto"/>
              </w:rPr>
            </w:pPr>
          </w:p>
        </w:tc>
      </w:tr>
      <w:tr>
        <w:trPr>
          <w:trHeight w:val="265"/>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change from prior year</w:t>
            </w:r>
          </w:p>
        </w:tc>
        <w:tc>
          <w:tcPr>
            <w:tcW w:w="360" w:type="dxa"/>
            <w:vAlign w:val="bottom"/>
          </w:tcPr>
          <w:p>
            <w:pPr>
              <w:spacing w:after="0"/>
              <w:rPr>
                <w:sz w:val="23"/>
                <w:szCs w:val="23"/>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25.5%</w:t>
            </w:r>
          </w:p>
        </w:tc>
        <w:tc>
          <w:tcPr>
            <w:tcW w:w="36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c>
          <w:tcPr>
            <w:tcW w:w="380" w:type="dxa"/>
            <w:vAlign w:val="bottom"/>
          </w:tcPr>
          <w:p>
            <w:pPr>
              <w:spacing w:after="0"/>
              <w:rPr>
                <w:sz w:val="23"/>
                <w:szCs w:val="23"/>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earnings</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380.9</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399.8</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265"/>
        </w:trPr>
        <w:tc>
          <w:tcPr>
            <w:tcW w:w="1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As a percent of net sales</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20.5%</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introduction of our Dingo TXL 2000 compact utility loader and continued channel demand for our line of Dingo compact utility loaders.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Somewhat offsetting those increases were fewer shipments of our irrigation products primarily due to unfavorable weather in key regions resulting in soft retail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Earnings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earnings for the Professional segment in fiscal 2019 decreased 4.7 percent compared to fiscal 2018. Expressed as a percentage of Professional segment net sales, Professional segment operating earnings decreased by 490 basis points to 15.6 percent in fiscal 2019 compared to 20.5 percent in fiscal 2018. The following factors unfavorably impacted Professional segment operating earnings as a percentage of Professional segment net sales for fiscal 2019:</w:t>
      </w:r>
    </w:p>
    <w:p>
      <w:pPr>
        <w:spacing w:after="0" w:line="81" w:lineRule="exact"/>
        <w:rPr>
          <w:sz w:val="20"/>
          <w:szCs w:val="20"/>
          <w:color w:val="auto"/>
        </w:rPr>
      </w:pPr>
    </w:p>
    <w:p>
      <w:pPr>
        <w:jc w:val="both"/>
        <w:ind w:left="340" w:hanging="332"/>
        <w:spacing w:after="0" w:line="254"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CMW resulting in charges incurred for purchase accounting adjustments and acquisition-related and integration expenditures; incremental administrative, indirect sales and marketing, engineering, warranty, and service expense; and higher amortization of other intangible assets;</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higher commodity and tariff costs on purchased raw materials and component parts;</w:t>
      </w: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and inclement weather resulting in manufacturing inefficiencies;</w:t>
      </w: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the Toro underground wind down;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costs in certain of our legacy businesses;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engineering expense for new product development.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Somewhat offsetting these unfavorable factors were the following items:</w:t>
      </w:r>
    </w:p>
    <w:p>
      <w:pPr>
        <w:spacing w:after="0" w:line="117" w:lineRule="exact"/>
        <w:rPr>
          <w:sz w:val="20"/>
          <w:szCs w:val="20"/>
          <w:color w:val="auto"/>
        </w:rPr>
      </w:pPr>
    </w:p>
    <w:p>
      <w:pPr>
        <w:ind w:left="340" w:right="2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driven by pricing increases across our Professional segment product lines,</w:t>
      </w:r>
    </w:p>
    <w:p>
      <w:pPr>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initiatives related to commodities and component parts sourcing,</w:t>
      </w: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freight costs due to cost reduction initiatives,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direct marketing expense in our legacy businesses.</w:t>
      </w:r>
    </w:p>
    <w:p>
      <w:pPr>
        <w:spacing w:after="0" w:line="2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38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w w:val="99"/>
              </w:rPr>
              <w:t>Residential Segment</w:t>
            </w: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net sales for the Professional segment in fiscal 2019 were up by 25.5 percent compared to fiscal 2018 primarily as a result of the following factors:</w:t>
      </w:r>
    </w:p>
    <w:p>
      <w:pPr>
        <w:spacing w:after="0" w:line="6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sales as a result of our acquisition of CMW;</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impact of price increases across our Professional segment product lines;</w:t>
      </w: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shipments of our snow and ice management products due to strong channel and retail demand driven by late snowfalls in key regions during the Spring of 2019, as well as strong sales of the redesigned stand-on Snowrator;</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our landscape contractor business driven by the successful introduction of the new eXmark-branded Staris stand-on zero-turn riding mower, incremental sales of lawn solution products as a result of our acquisition of L.T. Rich Products, Inc. ("L.T. Rich"), higher parts sales, and strong channel demand for walk-behind and walk-power mowers; and</w:t>
      </w:r>
    </w:p>
    <w:p>
      <w:pPr>
        <w:spacing w:after="0" w:line="2"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shipments of our rental and specialty construction equipment due to the successful new product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8"/>
          <w:szCs w:val="18"/>
          <w:color w:val="auto"/>
        </w:rPr>
        <w:t>Residential segment net sales represented approximately 21.1 percent of consolidated net sales for fiscal 2019, 24.9 percent for fiscal 2018, and 26.9 percent for fiscal 2017. The following table presents our Residential segment's net sales, operating earnings, and operating earnings as a percent of net sales:</w:t>
      </w: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23495</wp:posOffset>
            </wp:positionV>
            <wp:extent cx="3542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8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661.3</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654.4</w:t>
            </w:r>
          </w:p>
        </w:tc>
        <w:tc>
          <w:tcPr>
            <w:tcW w:w="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673.2</w:t>
            </w:r>
          </w:p>
        </w:tc>
        <w:tc>
          <w:tcPr>
            <w:tcW w:w="0" w:type="dxa"/>
            <w:vAlign w:val="bottom"/>
          </w:tcPr>
          <w:p>
            <w:pPr>
              <w:spacing w:after="0"/>
              <w:rPr>
                <w:sz w:val="1"/>
                <w:szCs w:val="1"/>
                <w:color w:val="auto"/>
              </w:rPr>
            </w:pPr>
          </w:p>
        </w:tc>
      </w:tr>
      <w:tr>
        <w:trPr>
          <w:trHeight w:val="265"/>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change from prior year</w:t>
            </w:r>
          </w:p>
        </w:tc>
        <w:tc>
          <w:tcPr>
            <w:tcW w:w="38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earnings</w:t>
            </w:r>
          </w:p>
        </w:tc>
        <w:tc>
          <w:tcPr>
            <w:tcW w:w="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65.2</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64.8</w:t>
            </w:r>
          </w:p>
        </w:tc>
        <w:tc>
          <w:tcPr>
            <w:tcW w:w="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65"/>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 a percent of net sales</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9.9%</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9.9 %</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2">
            <w:col w:w="5600" w:space="20"/>
            <w:col w:w="580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b w:val="1"/>
          <w:bCs w:val="1"/>
          <w:i w:val="1"/>
          <w:iCs w:val="1"/>
          <w:color w:val="auto"/>
        </w:rPr>
        <w:t>Segment Net Sales</w:t>
      </w:r>
      <w:r>
        <w:rPr>
          <w:sz w:val="20"/>
          <w:szCs w:val="20"/>
          <w:color w:val="auto"/>
        </w:rPr>
        <w:tab/>
      </w:r>
      <w:r>
        <w:rPr>
          <w:rFonts w:ascii="Times New Roman" w:cs="Times New Roman" w:eastAsia="Times New Roman" w:hAnsi="Times New Roman"/>
          <w:sz w:val="18"/>
          <w:szCs w:val="18"/>
          <w:b w:val="1"/>
          <w:bCs w:val="1"/>
          <w:i w:val="1"/>
          <w:iCs w:val="1"/>
          <w:color w:val="auto"/>
        </w:rPr>
        <w:t>Other Net Sales</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net sales for the Residential segment in fiscal 2019 were up by 1.0 percent compared to fiscal 2018 primarily as a result of the following factors:</w:t>
      </w:r>
    </w:p>
    <w:p>
      <w:pPr>
        <w:spacing w:after="0" w:line="68" w:lineRule="exact"/>
        <w:rPr>
          <w:sz w:val="20"/>
          <w:szCs w:val="20"/>
          <w:color w:val="auto"/>
        </w:rPr>
      </w:pPr>
    </w:p>
    <w:p>
      <w:pPr>
        <w:ind w:left="340" w:hanging="332"/>
        <w:spacing w:after="0" w:line="26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impact of price increases across our Residential segment product lines,</w:t>
      </w: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retail demand for our snow throwers, including the successful introduction of our line of 60V lithium-ion powered single-stage snow thrower products,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shipments of walk power mowers driven by the launch of our 60V lithium-ion powered walk power mowers, and</w:t>
      </w: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parts sales driven by channel demand.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Somewhat offsetting those increases were the following factors:</w:t>
      </w:r>
    </w:p>
    <w:p>
      <w:pPr>
        <w:spacing w:after="0" w:line="117" w:lineRule="exact"/>
        <w:rPr>
          <w:sz w:val="20"/>
          <w:szCs w:val="20"/>
          <w:color w:val="auto"/>
        </w:rPr>
      </w:pPr>
    </w:p>
    <w:p>
      <w:pPr>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shipments of zero-turn riding mowers driven by soft retail demand and</w:t>
      </w:r>
    </w:p>
    <w:p>
      <w:pPr>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of our Pope-branded irrigation products driven by unfavorable weather conditions in key regions.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Earnings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earnings for the Residential segment in fiscal 2019 increased 0.5 percent compared to fiscal 2018. Expressed as a percentage of Residential segment net sales, Residential segment operating earnings were flat as a percent of sales at 9.9 percent in both fiscal 2019 and fiscal 2018. The following factors positively impacted Residential segment operating earnings as a percentage of Residential segment net sales for fiscal 2019:</w:t>
      </w:r>
    </w:p>
    <w:p>
      <w:pPr>
        <w:spacing w:after="0" w:line="80" w:lineRule="exact"/>
        <w:rPr>
          <w:sz w:val="20"/>
          <w:szCs w:val="20"/>
          <w:color w:val="auto"/>
        </w:rPr>
      </w:pPr>
    </w:p>
    <w:p>
      <w:pPr>
        <w:ind w:left="340" w:right="2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net price realization as a result of pricing increases across our Residential segment product lines,</w:t>
      </w: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manufacturing variance,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direct marketing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these positive factors were the following items:</w:t>
      </w:r>
    </w:p>
    <w:p>
      <w:pPr>
        <w:spacing w:after="0" w:line="117" w:lineRule="exact"/>
        <w:rPr>
          <w:sz w:val="20"/>
          <w:szCs w:val="20"/>
          <w:color w:val="auto"/>
        </w:rPr>
      </w:pPr>
    </w:p>
    <w:p>
      <w:pPr>
        <w:ind w:left="34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higher commodity and tariff costs on purchased raw materials and component parts,</w:t>
      </w: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product mix,</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cost,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engineering expense for new product development.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our Other activities, which includes sales from our wholly-owned domestic distribution companies less sales from our Professional and Residential business segments to the wholly-owned domestic distribution companies, represented approximately 1.0 percent of consolidated net sales for fiscal 2019, 0.7 percent for fiscal 2018, and 0.8 percent for fiscal 2017. The following table presents net sales and operating losses for our Other activities: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42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8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3"/>
                <w:szCs w:val="13"/>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33.4</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17.2</w:t>
            </w:r>
          </w:p>
        </w:tc>
        <w:tc>
          <w:tcPr>
            <w:tcW w:w="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65"/>
        </w:trPr>
        <w:tc>
          <w:tcPr>
            <w:tcW w:w="1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change from prior year</w:t>
            </w:r>
          </w:p>
        </w:tc>
        <w:tc>
          <w:tcPr>
            <w:tcW w:w="38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93.5%</w:t>
            </w:r>
          </w:p>
        </w:tc>
        <w:tc>
          <w:tcPr>
            <w:tcW w:w="380" w:type="dxa"/>
            <w:vAlign w:val="bottom"/>
          </w:tcPr>
          <w:p>
            <w:pPr>
              <w:spacing w:after="0"/>
              <w:rPr>
                <w:sz w:val="23"/>
                <w:szCs w:val="23"/>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(14.8)%</w:t>
            </w:r>
          </w:p>
        </w:tc>
        <w:tc>
          <w:tcPr>
            <w:tcW w:w="380" w:type="dxa"/>
            <w:vAlign w:val="bottom"/>
          </w:tcPr>
          <w:p>
            <w:pPr>
              <w:spacing w:after="0"/>
              <w:rPr>
                <w:sz w:val="23"/>
                <w:szCs w:val="23"/>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70"/>
        </w:trPr>
        <w:tc>
          <w:tcPr>
            <w:tcW w:w="1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losses</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(123.9)</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(92.2)</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our Other activities in fiscal 2019 increased approximately $16.1 million compared to fiscal 2018, primarily due to increased sales of our golf and grounds equipment through our wholly-owned domestic distribution companies driven by our acquisition of a Northeastern U.S. distribution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Loss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loss for our Other activities in fiscal 2019 increased by $31.7 million, or 34.4 percent, compared to fiscal 2018. This loss increase was primarily attributable to costs incurred for continued CMW integration efforts, higher interest expense incurred on outstanding indebtedness, charges incurred for our corporate restructuring event, higher incentive compensation expense, and increased legal expense, net of litigation recoveries. The increase in loss was partially offset by the realized gain on actuarial valuation changes for our pension and post-retirement plans and higher Red Iron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strategy for fiscal 2019 continued to place emphasis on improving asset utilization with a focus on reducing the amount of working capital in the supply chain, adjusting production plans, and maintaining or improving order replenishment and service levels to end-users. We calculate our average net working capital as average net accounts receivable plus average net inventory, less average accounts payable as a percentage of net sales for a twelve month period. As of the end of fiscal 2019, our average net working capital was 16.3 percent compared to 13.7 percent as of the end of fiscal 2018. This capital increase was mainly due to a higher average net inventory and net accounts receivable than the corresponding increase to average net accounts payable as a percentage of net sales due to our acquisition of CMW, as well as higher net inventory balances in our legacy businesses due to lower than forecasted sales in our Professional segment driven by soft retail demand and build-ahead for fiscal 2020 new product introductions in our Residential segment.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highlights several key measures of our working capital performance:</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542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cash and cash equivalents</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180.0</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w:t>
            </w:r>
          </w:p>
        </w:tc>
      </w:tr>
      <w:tr>
        <w:trPr>
          <w:trHeight w:val="265"/>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Average receivables, net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265.4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w:t>
            </w:r>
          </w:p>
        </w:tc>
      </w:tr>
      <w:tr>
        <w:trPr>
          <w:trHeight w:val="27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inventories, net</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560.5</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r>
      <w:tr>
        <w:trPr>
          <w:trHeight w:val="265"/>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Average accounts payable</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r>
      <w:tr>
        <w:trPr>
          <w:trHeight w:val="27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days outstanding for receivables</w:t>
            </w: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6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Average inventory turnover (times)</w:t>
            </w:r>
          </w:p>
        </w:tc>
        <w:tc>
          <w:tcPr>
            <w:tcW w:w="7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983"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impacted our working capital during fiscal 2019:</w:t>
      </w:r>
    </w:p>
    <w:p>
      <w:pPr>
        <w:spacing w:after="0" w:line="117" w:lineRule="exact"/>
        <w:rPr>
          <w:sz w:val="20"/>
          <w:szCs w:val="20"/>
          <w:color w:val="auto"/>
        </w:rPr>
      </w:pPr>
    </w:p>
    <w:p>
      <w:pPr>
        <w:jc w:val="both"/>
        <w:ind w:left="340" w:hanging="332"/>
        <w:spacing w:after="0" w:line="25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receivables increased by 23.6 percent in fiscal 2019 compared to fiscal 2018, primarily due to incremental net receivables as a result of our acquisition of CMW. Our average days outstanding for receivables increased to 30.9 days in fiscal 2019 compared to 29.9 days in fiscal 2018.</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inventories increased by 38.6 percent in fiscal 2019 compared to fiscal 2018. Inventory levels as of the end of fiscal 2019 compared to the end of fiscal 2018 were up by $293.4 million, or 81.9 percent, primarily due to incremental net inventory as a result of our acquisition of CMW, as well as higher net inventory balances in our legacy businesses due to lower than forecasted sales in our Professional segment driven by soft retail demand and build-ahead for fiscal 2020 new product introductions in our Residential segment.</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accounts payable increased by 21.7 percent in fiscal 2019 compared to fiscal 2018, mainly due to incremental accounts payable as a result of our acquisition of CMW and negotiating more favorable payment terms with suppliers as a component of our working capital initiatives.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200025</wp:posOffset>
            </wp:positionV>
            <wp:extent cx="20154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demand, and increase our manufacturing efficiencies and capacity. Cash used in investing activities in fiscal 2019 increased by $645.0 million from fiscal 2018 mainly due to more cash utilized for our acquisitions of CMW and a Northeastern U.S. distribution company in fiscal 2019 than the cash utilized for the acquisition of L.T. Rich in fiscal 2018, partially offset by cash proceeds from the sale of a used underground construction equipment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provided by financing activities in fiscal 2019 was $299.5 million compared to $252.1 million of cash used in financing activities in fiscal 2018, an increase of $551.6 million. This increase in cash provided by financing activities was mainly due to the cash proceeds as the result of the issuance of indebtedness under our term loan credit agreement and amounts drawn on our revolving credit facility to fund the CMW acquisition and the issuance of our private placement senior notes, reduced cash utilized for purchases of Toro common stock compared to fiscal 2018, and higher cash provided from the exercise of stock options. These sources of cash were partially offset by more cash utilized for repayments of our outstanding indebtedness under our revolving credit facility and term loan credit agreement and more cash utilized for dividend payments on shares of our common stock compared to fiscal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Cash Provided by/(Used in)</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337.4</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364.8</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265"/>
        </w:trPr>
        <w:tc>
          <w:tcPr>
            <w:tcW w:w="2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(772.9)</w:t>
            </w:r>
          </w:p>
        </w:tc>
        <w:tc>
          <w:tcPr>
            <w:tcW w:w="28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(127.9)</w:t>
            </w: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275"/>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299.5</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(252.1)</w:t>
            </w: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265"/>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51"/>
        </w:trPr>
        <w:tc>
          <w:tcPr>
            <w:tcW w:w="23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Net increase/(decrease) in cash and</w:t>
            </w:r>
          </w:p>
        </w:tc>
        <w:tc>
          <w:tcPr>
            <w:tcW w:w="3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w:t>
            </w:r>
          </w:p>
        </w:tc>
        <w:tc>
          <w:tcPr>
            <w:tcW w:w="2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3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equivalents</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3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Cash and cash equivalents as of fiscal</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151.8</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289.1</w:t>
            </w:r>
          </w:p>
        </w:tc>
        <w:tc>
          <w:tcPr>
            <w:tcW w:w="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310.3</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end</w:t>
            </w:r>
          </w:p>
        </w:tc>
        <w:tc>
          <w:tcPr>
            <w:tcW w:w="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 of funds is cash generated from operations. In fiscal 2019, cash provided by operating activities decreased by $27.4 million, or 7.5 percent, from fiscal 2018. This decrease was mainly driven by more cash utilized for purchases of inventory and a lower year-over-year cash source benefit from extending payment terms with vendors as a component of our working capital initiatives. Somewhat offsetting this decrease was higher net earnings, which includes the unfavorable non-cash take-down of the CMW inventory purchase accounting step-up amount, and lower cash utilized for prepaid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and acquisitions are a significant use of our capital resources. These investments are intended to enable sales growth in new and expanding markets, help us meet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Cash and cash equivalents as of the end of fiscal 2019 decreased by $137.3 million compared to the end of fiscal 2018.</w:t>
      </w:r>
    </w:p>
    <w:p>
      <w:pPr>
        <w:spacing w:after="0" w:line="162" w:lineRule="exact"/>
        <w:rPr>
          <w:sz w:val="20"/>
          <w:szCs w:val="20"/>
          <w:color w:val="auto"/>
        </w:rPr>
      </w:pPr>
    </w:p>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As of October 31, 2019, cash and cash equivalents held by our foreign subsidiaries were approximately $97.5 million. We consider that $17.2 million of cash and cash equivalents held by our foreign subsidiaries are intended to be indefinitely reinvested. Should these cash and cash equivalents be distributed in the future in the form of dividends or otherwise, we may be subject to foreign withholding taxes, state income taxes, and/or additional federal taxes for currency fluctuations. As of October 31, 2019, the unrecognized deferred tax liabilities for temporary differences related to our investment in non-U.S. subsidiaries, and any withholding, state, or additional federal taxes upon any future repatriation, are not material and have not been recorded.</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Fiscal 2019 capital expenditures of $92.9 million were $2.8 million higher than fiscal 2018. This increase was mainly attributable to incremental capital expenditures as a result of our acquisition of CMW, as well as continued investment in our facilities, new product tooling, productivity improvements in our manufacturing and distribution processes, and continued replacement of production equipment. Capital expenditures for fiscal 2020 are expected to be approximately $100.0 million as we plan to continue to invest in our facilities, new product tooling, productivity improvements in our manufacturing and distribution processes, and continued replacement of production equipment.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2">
            <w:col w:w="5600" w:space="20"/>
            <w:col w:w="580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p>
      <w:pPr>
        <w:spacing w:after="0" w:line="229"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8"/>
          <w:szCs w:val="18"/>
          <w:color w:val="auto"/>
        </w:rPr>
        <w:t>Other long-term assets as of October 31, 2019 were $1,207.7 million compared to $676.3 million as of October 31, 2018, an increase of $531.3 million. This increase was driven mainly by our acquisition of CMW, which resulted in significant increases in other intangible assets; property, plant and equipment; and goodwill. In addition, our other long-term assets increased as a result of purchases of property, plant, and equipment in our legacy businesses. These increases to other long-term assets were partially offset by amortization of intangible assets and the reclassification of our long-term deferred tax assets to long-term deferred tax liabilities as a result of our acquisition of CMW.</w:t>
      </w:r>
    </w:p>
    <w:p>
      <w:pPr>
        <w:spacing w:after="0" w:line="186"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Included in other long-term assets as of October 31, 2019 was goodwill in the amount of $362.3 million. Based on our annual goodwill impairment analysis, we determined there was no impairment of goodwill during fiscal 2019 for any of our reporting units as the fair values of the reporting units exceeded their carrying values, including goodwill.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and potential future, financing arrangements and forecasted cash flows will be sufficient to provide the necessary capital resources for our anticipated working capital needs, capital expenditures, investments, debt repayments, quarterly cash dividend payments, and common stock repurchases, all as applicable, for at least the next twelve months.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As of October 31, 2019, we had $700.8 million of outstanding indebtedness that included $100.0 million of 7.8 percent debentures due June 15, 2027, $123.9 million of 6.625 percent senior notes due May 1, 2037, $100.0 million under our $200.0 million three year unsecured senior term loan facility, $180.0 million under our $300.0 million five year unsecured senior term loan facility, $100.0 million of 3.81 percent Series A Senior Notes, $100.0 million of 3.91 percent Series B Senior Notes, and no outstanding borrowings under our revolving credit facility. The October 31, 2019 outstanding indebtedness amounts were partially offset by debt issuance costs and deferred charges of $3.1 million related to our outstanding indebtedness. As of October 31, 2019, we have reclassified $79.9 million of the remaining outstanding principal balance under the term loan credit agreement, net of the related</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proportionate share of debt issuance costs, to current portion of long-term debt within the Condensed Consolidated Balance Sheets as we intend to prepay such amount utilizing cash flows from operations within the next twelve months.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October 31, 2018, we had $312.5 million of outstanding indebtedness that included $100.0 million of 7.8 percent debentures due June 15, 2027, $123.9 million of 6.625 percent senior notes due May 1, 2037, and $91.0 million of outstanding borrowings under our revolving credit facility. The October 31, 2018 outstanding indebtedness amounts were partially offset by debt issuance costs and deferred charges of $2.3 million related to our outstanding indebtedness. As of October 31, 2018, the $91.0 million of outstanding borrowings under our revolving credit facility was classified as long-term debt within our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Seasonal cash requirements are financed from operations, cash on hand, and with borrowings under our $600.0 million unsecured senior five-year revolving credit facility that expires in June 2023.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Toro.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Toro. Interest is payable quarterly in arrears. Our debt rating for long-term unsecured senior, non-credit enhanced debt was unchanged during the fourth quarter of fiscal 2019 by Standard and Poor's Ratings Group at BBB and by Moody's Investors Service at Baa3. If our debt rating falls below investment grade and/or our leverage ratio rises above 1.50, the basis point spread applicable in determining the interest payable on our outstanding debt under the revolving credit facility could increase. However, the credit commitment could not be</w:t>
      </w:r>
    </w:p>
    <w:p>
      <w:pPr>
        <w:sectPr>
          <w:pgSz w:w="11900" w:h="16838" w:orient="portrait"/>
          <w:cols w:equalWidth="0" w:num="2">
            <w:col w:w="5800" w:space="20"/>
            <w:col w:w="560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canceled by the banks based solely on a ratings downgrade. For the fiscal years ended October 31, 2019 and October 31, 2018, we incurred interest expense of approximately $1.9 million and $1.3 million, respectively, on outstanding borrowings under the revolving credit facility.</w:t>
      </w:r>
    </w:p>
    <w:p>
      <w:pPr>
        <w:spacing w:after="0" w:line="180" w:lineRule="exact"/>
        <w:rPr>
          <w:sz w:val="20"/>
          <w:szCs w:val="20"/>
          <w:color w:val="auto"/>
        </w:rPr>
      </w:pPr>
    </w:p>
    <w:p>
      <w:pPr>
        <w:jc w:val="both"/>
        <w:ind w:right="200"/>
        <w:spacing w:after="0" w:line="251" w:lineRule="auto"/>
        <w:rPr>
          <w:sz w:val="20"/>
          <w:szCs w:val="20"/>
          <w:color w:val="auto"/>
        </w:rPr>
      </w:pPr>
      <w:r>
        <w:rPr>
          <w:rFonts w:ascii="Times New Roman" w:cs="Times New Roman" w:eastAsia="Times New Roman" w:hAnsi="Times New Roman"/>
          <w:sz w:val="18"/>
          <w:szCs w:val="18"/>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to any such proposed action, no default or event of default would exist. As of October 31, 2019, we were not limited in the amount for payments of cash dividends and common stock repurchases. We were in compliance with all covenants related to the credit agreement for our revolving credit facility as of October 31, 2019, and we expect to be in compliance with all covenants during fiscal 2020.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revolving credit facility.</w:t>
      </w:r>
    </w:p>
    <w:p>
      <w:pPr>
        <w:spacing w:after="0" w:line="206"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As of October 31, 2019, we had no borrowings under the revolving credit facility but did have $1.9 million outstanding under the sublimit for standby letters of credit, resulting in $598.1 million of unutilized availability under our revolving credit facility. As of October 31, 2018, we had $91.0 million of outstanding borrowings under the revolving credit facility and $1.5 million outstanding under the sublimit for standby letters of credit, resulting in $507.5 million of unutilized availability under our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22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funds under both term loan facilities were received on April 1, 2019 in connection with the closing of our acquisition of CMW. There are no scheduled principal amortization payments prior to maturity on the $200.0 million three year unsecured senior term loan facility. For the $300.0 million five year unsecured senior term loan facility, we are required to make quarterly principal amortization payments of 2.5 percent of the original aggregate principal balance beginning with the last business day of the thirteenth calendar quarter ending after April 1, 2019, with the remainder of the unpaid principal balance due at maturity. No principal payments are required during the first three and one quarter (3.25) years of the $300.0 million five year unsecured senior term loan facility. The term loan facilities may be prepaid and terminated at our election at any time without penalty or premium. As of October 31, 2019, we have prepaid $100.0 million and $120.0 million against the outstanding principal balances of the $200.0 million three year unsecured senior term loan facility and $300.0 million five year unsecured senior term loan facility, respectively.</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borrowings under the term loan credit 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loan credit agreement. Interest is payable quarterly in arrears. For the fiscal year ended October 31, 2019, we incurred interest expense of approximately $7.5 million on the outstanding borrowings under the term loan credit agreement.</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credit agreement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term loan credit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October 31, 2019, we were not limited in the amount for payments of cash dividends and common stock repurchases. We were in compliance with all covenants related to our term loan credit agreement as of October 31, 2019. If we were out of compliance with any covenant required by this term loan credit agreement following the applicable cure period, our term loan facilities, long-term senior notes, debentures, and any amounts outstanding under the revolving credit facility could</w:t>
      </w:r>
    </w:p>
    <w:p>
      <w:pPr>
        <w:sectPr>
          <w:pgSz w:w="11900" w:h="16838" w:orient="portrait"/>
          <w:cols w:equalWidth="0" w:num="2">
            <w:col w:w="5800" w:space="20"/>
            <w:col w:w="560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become due and payable if we were unable to obtain a covenant waiver or refinance our borrowings under our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3.81% Series A and 3.91% Series B Senior Notes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30, 2019, we entered into a private placement note purchase agreement with certain purchasers ("holders") pursuant to which we agreed to issue and sell an aggregate principal amount of $100.0 million of 3.81 percent Series A Senior Notes due June 15, 2029 ("Series A Senior Notes") and $100.0 million of 3.91 percent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Toro.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commencing on December 15, 2019. For the fiscal year ended October 31, 2019, we incurred interest expense of approximately $2.6 million on the outstanding borrowings under the private placement note purchase agreement. No principal is due on the Senior Notes prior to their stated due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default or event of default would exist. As of October 31, 2019, we were not limited in the amount for payments of cash dividends and stock repurchases. We were in compliance with all covenants related to the private placement note purchase agreement as of October 31, 2019 and we expect to be in compliance with all covenants during fiscal 2020. If we were out of compliance with any covenant required by this private placement note purchase agreement following the applicable cure period, our term loan facilities,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components of our total capitalization and debt-to-capitalization ratio:</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542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920" w:type="dxa"/>
            <w:vAlign w:val="bottom"/>
            <w:shd w:val="clear" w:color="auto" w:fill="D1ECFA"/>
          </w:tcPr>
          <w:p>
            <w:pPr>
              <w:ind w:left="4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700" w:type="dxa"/>
            <w:vAlign w:val="bottom"/>
            <w:shd w:val="clear" w:color="auto" w:fill="D1ECFA"/>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1ECFA"/>
          </w:tcPr>
          <w:p>
            <w:pPr>
              <w:jc w:val="right"/>
              <w:ind w:right="68"/>
              <w:spacing w:after="0"/>
              <w:rPr>
                <w:sz w:val="20"/>
                <w:szCs w:val="20"/>
                <w:color w:val="auto"/>
              </w:rPr>
            </w:pPr>
            <w:r>
              <w:rPr>
                <w:rFonts w:ascii="Times New Roman" w:cs="Times New Roman" w:eastAsia="Times New Roman" w:hAnsi="Times New Roman"/>
                <w:sz w:val="14"/>
                <w:szCs w:val="14"/>
                <w:color w:val="auto"/>
              </w:rPr>
              <w:t>700.8</w:t>
            </w:r>
          </w:p>
        </w:tc>
        <w:tc>
          <w:tcPr>
            <w:tcW w:w="360" w:type="dxa"/>
            <w:vAlign w:val="bottom"/>
            <w:shd w:val="clear" w:color="auto" w:fill="D1ECFA"/>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1ECFA"/>
          </w:tcPr>
          <w:p>
            <w:pPr>
              <w:jc w:val="right"/>
              <w:ind w:right="68"/>
              <w:spacing w:after="0"/>
              <w:rPr>
                <w:sz w:val="20"/>
                <w:szCs w:val="20"/>
                <w:color w:val="auto"/>
              </w:rPr>
            </w:pPr>
            <w:r>
              <w:rPr>
                <w:rFonts w:ascii="Times New Roman" w:cs="Times New Roman" w:eastAsia="Times New Roman" w:hAnsi="Times New Roman"/>
                <w:sz w:val="14"/>
                <w:szCs w:val="14"/>
                <w:color w:val="auto"/>
              </w:rPr>
              <w:t>312.5</w:t>
            </w:r>
          </w:p>
        </w:tc>
      </w:tr>
      <w:tr>
        <w:trPr>
          <w:trHeight w:val="260"/>
        </w:trPr>
        <w:tc>
          <w:tcPr>
            <w:tcW w:w="2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859.6</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668.9</w:t>
            </w:r>
          </w:p>
        </w:tc>
      </w:tr>
    </w:tbl>
    <w:p>
      <w:pPr>
        <w:spacing w:after="0" w:line="2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2820" w:type="dxa"/>
            <w:vAlign w:val="bottom"/>
            <w:tcBorders>
              <w:bottom w:val="single" w:sz="8" w:color="auto"/>
            </w:tcBorders>
            <w:shd w:val="clear" w:color="auto" w:fill="D1ECFA"/>
          </w:tcPr>
          <w:p>
            <w:pPr>
              <w:ind w:left="40"/>
              <w:spacing w:after="0"/>
              <w:rPr>
                <w:sz w:val="20"/>
                <w:szCs w:val="20"/>
                <w:color w:val="auto"/>
              </w:rPr>
            </w:pPr>
            <w:r>
              <w:rPr>
                <w:rFonts w:ascii="Times New Roman" w:cs="Times New Roman" w:eastAsia="Times New Roman" w:hAnsi="Times New Roman"/>
                <w:sz w:val="14"/>
                <w:szCs w:val="14"/>
                <w:color w:val="auto"/>
              </w:rPr>
              <w:t>Debt-to-capitalization ratio</w:t>
            </w:r>
          </w:p>
        </w:tc>
        <w:tc>
          <w:tcPr>
            <w:tcW w:w="1980" w:type="dxa"/>
            <w:vAlign w:val="bottom"/>
            <w:tcBorders>
              <w:bottom w:val="single" w:sz="8" w:color="auto"/>
            </w:tcBorders>
            <w:shd w:val="clear" w:color="auto" w:fill="D1ECFA"/>
          </w:tcPr>
          <w:p>
            <w:pPr>
              <w:jc w:val="right"/>
              <w:ind w:right="328"/>
              <w:spacing w:after="0"/>
              <w:rPr>
                <w:sz w:val="20"/>
                <w:szCs w:val="20"/>
                <w:color w:val="auto"/>
              </w:rPr>
            </w:pPr>
            <w:r>
              <w:rPr>
                <w:rFonts w:ascii="Times New Roman" w:cs="Times New Roman" w:eastAsia="Times New Roman" w:hAnsi="Times New Roman"/>
                <w:sz w:val="14"/>
                <w:szCs w:val="14"/>
                <w:color w:val="auto"/>
              </w:rPr>
              <w:t>44.9%</w:t>
            </w:r>
          </w:p>
        </w:tc>
        <w:tc>
          <w:tcPr>
            <w:tcW w:w="780" w:type="dxa"/>
            <w:vAlign w:val="bottom"/>
            <w:tcBorders>
              <w:bottom w:val="single" w:sz="8" w:color="auto"/>
            </w:tcBorders>
            <w:shd w:val="clear" w:color="auto" w:fill="D1ECFA"/>
          </w:tcPr>
          <w:p>
            <w:pPr>
              <w:jc w:val="right"/>
              <w:spacing w:after="0"/>
              <w:rPr>
                <w:sz w:val="20"/>
                <w:szCs w:val="20"/>
                <w:color w:val="auto"/>
              </w:rPr>
            </w:pPr>
            <w:r>
              <w:rPr>
                <w:rFonts w:ascii="Times New Roman" w:cs="Times New Roman" w:eastAsia="Times New Roman" w:hAnsi="Times New Roman"/>
                <w:sz w:val="14"/>
                <w:szCs w:val="14"/>
                <w:color w:val="auto"/>
              </w:rPr>
              <w:t>31.8%</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debt-to-capitalization ratio increased in fiscal 2019 compared to fiscal 2018 primarily due to an increase in long-term debt driven by the issuance of indebtedness under our term loan credit agreement and amounts drawn on our revolving credit facility to fund the CMW acquisition and the issuance of our private placement senior notes, partially offset by repayments of outstanding borrowings on our revolving credit facility and term loan credit agreement. Stockholders' equity also increased in fiscal 2019 compared to fiscal 2018 primarily due to increased net earnings, reduced purchases of Toro common stock, and increased exercises of stock options, partially offset by increased cash dividend payments on shares of our common stock.</w:t>
      </w:r>
    </w:p>
    <w:p>
      <w:pPr>
        <w:spacing w:after="0" w:line="191"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Toro,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220"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In each quarter of fiscal 2019, our Board of Directors declared a common stock cash dividend of $0.225 per share, which was a 12.5 percent increase over our common stock cash dividend of $0.20 per share paid each quarter in fiscal 2018. On December 3, 2019, our Board of Directors increased our fiscal 2020 first quarter common stock cash dividend by 11.1 percent to $0.25 per share from the quarterly common stock cash dividend of $0.225 per share paid in the first quarter of fiscal 2019. Future common stock cash dividends will depend upon our financial condition, capital requirements, results of operations, and other factors deemed relevant by our Board of Directors.</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During fiscal 2019, we curtailed repurchasing shares of our common stock under our Board authorized stock repurchase program after our fiscal 2019 first quarter, as we focused on repaying the outstanding borrowings issued to fund the purchase price for our acquisition of CMW. As of October 31,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2">
            <w:col w:w="5600" w:space="20"/>
            <w:col w:w="5800"/>
          </w:cols>
          <w:pgMar w:left="240" w:top="121"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2019, 7,042,256 shares remained available for repurchase under our Board authorized stock repurchase program. Our Board authorized stock repurchase program provides shares for use in connection with our equity compensation plans. We expect to repurchase shares of our common stock in fiscal 2020, depending on market conditions and other factors.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repurchases of our common stock during the past three fiscal years:</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(Dollars in millions, except share 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42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Shares of Board authorized common</w:t>
            </w:r>
          </w:p>
        </w:tc>
        <w:tc>
          <w:tcPr>
            <w:tcW w:w="3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359,758</w:t>
            </w:r>
          </w:p>
        </w:tc>
        <w:tc>
          <w:tcPr>
            <w:tcW w:w="2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2,579,864</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2,710,837</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purchased</w:t>
            </w:r>
          </w:p>
        </w:tc>
        <w:tc>
          <w:tcPr>
            <w:tcW w:w="3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to repurchase common stock</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62.19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financing agreements with the separate third-party financial institutions, we have also entered into inventory repurchase agreements with the separate third-party financial institutions, for which we have agreed to repurchase products repossessed by the separate third-party financial institutions. As of October 31, 2019, we were contingently liable to repurchase up to a maximum amount of $133.4 million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any subsequent resale of the repossessed product. We have repurchased immaterial amounts of inventory pursuant to such arrangements over the past three fiscal years. However, a decline in retail sales or financial difficulties of our distributors or dealers could cause this situation to change and thereby require us to repurchase financed product, which could have an adverse effect on our operating results.</w:t>
      </w:r>
    </w:p>
    <w:p>
      <w:pPr>
        <w:spacing w:after="0" w:line="195"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Financing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a joint venture with TCFIF, established as Red Iron, the primary purpose of which is to provide inventory financing to certain distributors and dealers of certain of our products in the U.S. that enables them to carry representative inventories of our products. In addition, TCFCFC provides inventory financing to dealers of certain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Financing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$1,924.9 million of new receivables for dealers and distributors during fiscal 2019, of which $486.8 million of net receivables were outstanding as of October 31, 2019.</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floor plan financing agreements with other third-party financial institutions to provide floor plan financing to certain dealers not financed through Red Iron, which include agreements with third-party financial institutions in the U.S. and internationally as a result of our acquisition of CMW and in Australia. These third-party financing companies financed $235.4 million of receivables for such dealers and distributors during fiscal 2019, of which $148.4 million was outstanding as of October 31,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 limited inventory repurchase agreement with Red Iron. Under such limited inventory repurchase agreement agreement, we have agreed to repurchase products repossessed by Red Iron and TCFCFC, up to a maximum aggregate amount of $7.5 million in a calendar year. Additionally, as a result of</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or other third-party financing institutions provide financing arrangements; ag-irrigation dealers and distributors; government customers; and rental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agreements with third-party financing companies to provide lease-financing options to golf course, sports fields and grounds equipment and underground construction equipment customers in the U.S., Canada, Australia, and select countries in Europe. The purpose of these agreements is to provide end-users of our products alternative financing options when purchasing our products. We have no material contingent liabilities for residual value or credit collection risk under these agreements with third-party financing companies.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enter into agreements where we provide recourse to third-party finance companies in the event of default by the customer for lease payments to the third-party finance company. Our maximum exposure for credit collection under those arrangements as of October 31, 2019 was $10.1 million.</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2104"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obligated to make future payments under various existing contracts, such as debt agreements, operating lease agreements, unconditional purchase obligations, and other long-term obligations. The following table summarizes our contractual obligations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3542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millions)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24"/>
                <w:szCs w:val="2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24"/>
                <w:szCs w:val="24"/>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24"/>
                <w:szCs w:val="24"/>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69"/>
        </w:trPr>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w:t>
            </w:r>
            <w:r>
              <w:rPr>
                <w:rFonts w:ascii="Times New Roman" w:cs="Times New Roman" w:eastAsia="Times New Roman" w:hAnsi="Times New Roman"/>
                <w:sz w:val="8"/>
                <w:szCs w:val="8"/>
                <w:color w:val="auto"/>
              </w:rPr>
              <w:t>1</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153"/>
        </w:trPr>
        <w:tc>
          <w:tcPr>
            <w:tcW w:w="10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309.2</w:t>
            </w:r>
          </w:p>
        </w:tc>
        <w:tc>
          <w:tcPr>
            <w:tcW w:w="22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31.9</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62.6</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93"/>
        </w:trPr>
        <w:tc>
          <w:tcPr>
            <w:tcW w:w="1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payments</w:t>
            </w:r>
            <w:r>
              <w:rPr>
                <w:rFonts w:ascii="Times New Roman" w:cs="Times New Roman" w:eastAsia="Times New Roman" w:hAnsi="Times New Roman"/>
                <w:sz w:val="8"/>
                <w:szCs w:val="8"/>
                <w:color w:val="auto"/>
              </w:rPr>
              <w:t>2</w:t>
            </w: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Purchase</w:t>
            </w:r>
          </w:p>
        </w:tc>
        <w:tc>
          <w:tcPr>
            <w:tcW w:w="2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obligations</w:t>
            </w:r>
            <w:r>
              <w:rPr>
                <w:rFonts w:ascii="Times New Roman" w:cs="Times New Roman" w:eastAsia="Times New Roman" w:hAnsi="Times New Roman"/>
                <w:sz w:val="8"/>
                <w:szCs w:val="8"/>
                <w:color w:val="auto"/>
              </w:rPr>
              <w:t>3</w:t>
            </w:r>
          </w:p>
        </w:tc>
        <w:tc>
          <w:tcPr>
            <w:tcW w:w="2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Operating</w:t>
            </w:r>
          </w:p>
        </w:tc>
        <w:tc>
          <w:tcPr>
            <w:tcW w:w="26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83.0</w:t>
            </w:r>
          </w:p>
        </w:tc>
        <w:tc>
          <w:tcPr>
            <w:tcW w:w="22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18.6</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93"/>
        </w:trPr>
        <w:tc>
          <w:tcPr>
            <w:tcW w:w="1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leases</w:t>
            </w:r>
            <w:r>
              <w:rPr>
                <w:rFonts w:ascii="Times New Roman" w:cs="Times New Roman" w:eastAsia="Times New Roman" w:hAnsi="Times New Roman"/>
                <w:sz w:val="8"/>
                <w:szCs w:val="8"/>
                <w:color w:val="auto"/>
              </w:rPr>
              <w:t>4</w:t>
            </w: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8"/>
                <w:szCs w:val="8"/>
                <w:color w:val="auto"/>
              </w:rPr>
              <w:t>5</w:t>
            </w: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64"/>
        </w:trPr>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605.2</w:t>
            </w: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40" w:right="20" w:hanging="332"/>
        <w:spacing w:after="0" w:line="195" w:lineRule="auto"/>
        <w:tabs>
          <w:tab w:leader="none" w:pos="34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Principal payments based on the maturity dates defined in our long-term debt agreements.</w:t>
      </w:r>
    </w:p>
    <w:p>
      <w:pPr>
        <w:spacing w:after="0" w:line="193" w:lineRule="exact"/>
        <w:rPr>
          <w:sz w:val="20"/>
          <w:szCs w:val="20"/>
          <w:color w:val="auto"/>
        </w:rPr>
      </w:pPr>
    </w:p>
    <w:p>
      <w:pPr>
        <w:ind w:left="340" w:hanging="332"/>
        <w:spacing w:after="0" w:line="195" w:lineRule="auto"/>
        <w:tabs>
          <w:tab w:leader="none" w:pos="34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Interest payments for outstanding long-term debt obligations. Interest on variable rate debt was calculated using the interest rate as of October 31, 2019.</w:t>
      </w:r>
    </w:p>
    <w:p>
      <w:pPr>
        <w:spacing w:after="0" w:line="193" w:lineRule="exact"/>
        <w:rPr>
          <w:sz w:val="20"/>
          <w:szCs w:val="20"/>
          <w:color w:val="auto"/>
        </w:rPr>
      </w:pPr>
    </w:p>
    <w:p>
      <w:pPr>
        <w:jc w:val="both"/>
        <w:ind w:left="340" w:hanging="332"/>
        <w:spacing w:after="0" w:line="208" w:lineRule="auto"/>
        <w:tabs>
          <w:tab w:leader="none" w:pos="34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Purchase obligations represent contracts or firm commitments for the purchase of commodities, components, parts, and accessories, as well as contracts or firm commitments to purchase property, plant, and equipment, as applicable.</w:t>
      </w:r>
    </w:p>
    <w:p>
      <w:pPr>
        <w:spacing w:after="0" w:line="195" w:lineRule="exact"/>
        <w:rPr>
          <w:sz w:val="20"/>
          <w:szCs w:val="20"/>
          <w:color w:val="auto"/>
        </w:rPr>
      </w:pPr>
    </w:p>
    <w:p>
      <w:pPr>
        <w:jc w:val="both"/>
        <w:ind w:left="340" w:hanging="332"/>
        <w:spacing w:after="0"/>
        <w:tabs>
          <w:tab w:leader="none" w:pos="34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Operating lease obligations represent contracts that convey our right to use certain property, plant, or equipment assets in exchange for consideration and do not include payments to property owners covering real estate taxes and common area maintenance.</w:t>
      </w:r>
    </w:p>
    <w:p>
      <w:pPr>
        <w:spacing w:after="0" w:line="286" w:lineRule="exact"/>
        <w:rPr>
          <w:sz w:val="20"/>
          <w:szCs w:val="20"/>
          <w:color w:val="auto"/>
        </w:rPr>
      </w:pPr>
    </w:p>
    <w:p>
      <w:pPr>
        <w:ind w:left="340" w:hanging="332"/>
        <w:spacing w:after="0" w:line="195" w:lineRule="auto"/>
        <w:tabs>
          <w:tab w:leader="none" w:pos="34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Payment obligations for corporate information technology software and services, as well as other miscellaneous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also have off-balance sheet arrangements with Red Iron, our joint venture with TCFIF, TCFCFC, and other third-party financial institutions in which inventory receivables for certain dealers and distributors are financed by Red Iron, TCFCFC, or the other third-party financial institutions. Additional information regarding such agreements is disclosed within the section titled "Wholesale Financing" included in Item 7, "Management's Discussion and Analysis of Financial Condition and Results of Operations" and Note 11,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and Note 12,</w:t>
      </w:r>
      <w:r>
        <w:rPr>
          <w:rFonts w:ascii="Times New Roman" w:cs="Times New Roman" w:eastAsia="Times New Roman" w:hAnsi="Times New Roman"/>
          <w:sz w:val="18"/>
          <w:szCs w:val="18"/>
          <w:i w:val="1"/>
          <w:iCs w:val="1"/>
          <w:color w:val="auto"/>
        </w:rPr>
        <w:t xml:space="preserve"> Commitments and Contingent Liabilities</w:t>
      </w:r>
      <w:r>
        <w:rPr>
          <w:rFonts w:ascii="Times New Roman" w:cs="Times New Roman" w:eastAsia="Times New Roman" w:hAnsi="Times New Roman"/>
          <w:sz w:val="18"/>
          <w:szCs w:val="18"/>
          <w:color w:val="auto"/>
        </w:rPr>
        <w:t>, of the Notes to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"Financial Statements and Supplementary Data" of this Annual Report on Form 10-K.</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use standby letters of credit under our revolving credit facility, import letters of credit, and surety bonds in the ordinary course of business to ensure the performance of contractual obligations, as required under certain contracts. As of October 31, 2019, we had $10.0 million of maximum availability and $1.9 million outstanding under the sublimit for standby letters of credit under our revolving credit facility. As of October 31, 2019, we had $13.3 million of maximum availability and $4.7 million in outstanding import letters of credit issued. As of October 31, 2019, we did not have an outstanding balance on our surety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Due to the nature and scope of our operations, we are subject to exposures that arise from fluctuations in interest rates, foreign currency exchange rates, and commodity costs. We are also exposed to equity market risk pertaining to the trading price of our common stock. Additional information regarding such market risks is disclosed in Part II, Item 7A, "Quantitative and Qualitative Disclosures about Market Risk," and Note 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of the Notes to Consolidated Financial Statements within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Item 8, "Financial Statements and Supplementary Data" of this Annual Report on Form 10-K.</w:t>
      </w:r>
    </w:p>
    <w:p>
      <w:pPr>
        <w:spacing w:after="0" w:line="87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 addition to the contractual obligations described in the preceding table,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obligated for additional net cash outflows related to $2.5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including interest and penalties. The payment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any such payments is affected by the ultimate resolution of the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that are under audit or remain subject to examination by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taxing authorities.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off-balance sheet arrangements relating to our operating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certain property, plant, or equipment assets utilized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normal course of business, such as buildings for manufacturing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space, distribution centers, and warehouse facilities; land for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testing  sites;  machinery  and  equipment  for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manufacturing and assembly processes, and administrative tasks;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vehicles for sales, marketing and distribution activities. Refer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titled "Contractual Obligations" within this MD&amp;A for our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obligations under our operating lease agreements.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provided non-GAAP financial measures, which are not calculated or presented in accordance with GAAP, as information supplemental and in addition to the most directly comparable financial measures presented in this Annual Report on Form 10-K that are calculated and presented in accordance with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Further, we believe that such non-GAAP financial measures, when considered in conjunction with our Consolidated Financial Statements prepared in accordance with U.S. GAAP, provide investors with useful supplemental financial information to better understand our core operational performance. Such non-GAAP financial measures should not be considered superior to, as a substitute for, or as an alternative to, and should be considered in conjunction with, the most directly comparable GAAP financial measures. The non-GAAP financial measures may differ from similar measures used by other companies.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measures calculated and reported in accordance with GAAP, as well as adjusted non-GAAP financial measures, for the fiscal years ended October 31, 2019 and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(Dollars in thousands, except per share data)</w:t>
            </w:r>
          </w:p>
        </w:tc>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Fiscal Years Ended</w:t>
            </w:r>
          </w:p>
        </w:tc>
        <w:tc>
          <w:tcPr>
            <w:tcW w:w="39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31, 2018</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2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1,047,963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941,011</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86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42,958</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8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10,316</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gross profit</w:t>
            </w:r>
          </w:p>
        </w:tc>
        <w:tc>
          <w:tcPr>
            <w:tcW w:w="2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1,101,237</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941,011</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0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earnings</w:t>
            </w:r>
          </w:p>
        </w:tc>
        <w:tc>
          <w:tcPr>
            <w:tcW w:w="2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325,029</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373,085</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86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62,333</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8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16,311</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operating earnings</w:t>
            </w:r>
          </w:p>
        </w:tc>
        <w:tc>
          <w:tcPr>
            <w:tcW w:w="2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403,673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373,085</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0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322,133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372,397</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86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62,333</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8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17,167</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earnings before income taxes</w:t>
            </w:r>
          </w:p>
        </w:tc>
        <w:tc>
          <w:tcPr>
            <w:tcW w:w="2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401,633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372,397</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0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earnings</w:t>
            </w:r>
          </w:p>
        </w:tc>
        <w:tc>
          <w:tcPr>
            <w:tcW w:w="2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273,983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271,939</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86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51,149</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8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13,817</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28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w:t>
            </w:r>
          </w:p>
        </w:tc>
      </w:tr>
      <w:tr>
        <w:trPr>
          <w:trHeight w:val="270"/>
        </w:trPr>
        <w:tc>
          <w:tcPr>
            <w:tcW w:w="60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28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32,702</w:t>
            </w:r>
          </w:p>
        </w:tc>
      </w:tr>
      <w:tr>
        <w:trPr>
          <w:trHeight w:val="235"/>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net earnings</w:t>
            </w:r>
          </w:p>
        </w:tc>
        <w:tc>
          <w:tcPr>
            <w:tcW w:w="2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324,260</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290,086</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8"/>
        </w:trPr>
        <w:tc>
          <w:tcPr>
            <w:tcW w:w="60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Diluted EPS</w:t>
            </w:r>
          </w:p>
        </w:tc>
        <w:tc>
          <w:tcPr>
            <w:tcW w:w="2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86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0.47</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8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0.13</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28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70"/>
        </w:trPr>
        <w:tc>
          <w:tcPr>
            <w:tcW w:w="60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28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0.30</w:t>
            </w:r>
          </w:p>
        </w:tc>
      </w:tr>
      <w:tr>
        <w:trPr>
          <w:trHeight w:val="235"/>
        </w:trPr>
        <w:tc>
          <w:tcPr>
            <w:tcW w:w="60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diluted EPS</w:t>
            </w:r>
          </w:p>
        </w:tc>
        <w:tc>
          <w:tcPr>
            <w:tcW w:w="2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3.00</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2.67</w:t>
            </w:r>
          </w:p>
        </w:tc>
      </w:tr>
      <w:tr>
        <w:trPr>
          <w:trHeight w:val="29"/>
        </w:trPr>
        <w:tc>
          <w:tcPr>
            <w:tcW w:w="6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Fiscal Years Ended</w:t>
            </w:r>
          </w:p>
        </w:tc>
        <w:tc>
          <w:tcPr>
            <w:tcW w:w="41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October 31, 2018</w:t>
            </w:r>
          </w:p>
        </w:tc>
      </w:tr>
      <w:tr>
        <w:trPr>
          <w:trHeight w:val="29"/>
        </w:trPr>
        <w:tc>
          <w:tcPr>
            <w:tcW w:w="5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Effective tax rate</w:t>
            </w:r>
          </w:p>
        </w:tc>
        <w:tc>
          <w:tcPr>
            <w:tcW w:w="4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14.9 %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27.0 %</w:t>
            </w:r>
          </w:p>
        </w:tc>
      </w:tr>
      <w:tr>
        <w:trPr>
          <w:trHeight w:val="270"/>
        </w:trPr>
        <w:tc>
          <w:tcPr>
            <w:tcW w:w="57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4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57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4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576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4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70"/>
        </w:trPr>
        <w:tc>
          <w:tcPr>
            <w:tcW w:w="576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41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5"/>
        </w:trPr>
        <w:tc>
          <w:tcPr>
            <w:tcW w:w="5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effective tax rate</w:t>
            </w:r>
          </w:p>
        </w:tc>
        <w:tc>
          <w:tcPr>
            <w:tcW w:w="4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19.3 %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r>
        <w:trPr>
          <w:trHeight w:val="29"/>
        </w:trPr>
        <w:tc>
          <w:tcPr>
            <w:tcW w:w="5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180" w:right="20" w:hanging="172"/>
        <w:spacing w:after="0" w:line="216" w:lineRule="auto"/>
        <w:tabs>
          <w:tab w:leader="none" w:pos="180" w:val="left"/>
        </w:tabs>
        <w:numPr>
          <w:ilvl w:val="0"/>
          <w:numId w:val="4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During the second quarter of fiscal 2019, we acquired CMW. Acquisition-related costs represent integration and transaction costs incurred, as well as charges incurred for the take-down of the inventory fair value step-up amount and amortization of the backlog intangible asset resulting from purchase accounting adjustments, related to our acquisition of CMW during the fiscal year ended October 31, 2019. Refer to Note 2,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of the Notes to Consolidated Financial Statements included in Part II, Item 8, "Financial Statements and Supplementary Data" of this Annual Report on Form 10-K for additional information regarding our acquisition of CMW.</w:t>
      </w:r>
    </w:p>
    <w:p>
      <w:pPr>
        <w:spacing w:after="0" w:line="194" w:lineRule="exact"/>
        <w:rPr>
          <w:sz w:val="20"/>
          <w:szCs w:val="20"/>
          <w:color w:val="auto"/>
        </w:rPr>
      </w:pPr>
    </w:p>
    <w:p>
      <w:pPr>
        <w:jc w:val="both"/>
        <w:ind w:left="180" w:hanging="172"/>
        <w:spacing w:after="0"/>
        <w:tabs>
          <w:tab w:leader="none" w:pos="18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During the third quarter of fiscal 2019, we announced the wind down our Toro-branded large horizontal directional drill and riding trencher product line. Additionally, during the fourth quarter of fiscal 2019, we incurred charges for a corporate restructuring event and a loss on the divestiture of a used underground construction equipment business. Management actions represent charges incurred during the fiscal year ended October 31, 2019 for the Toro underground wind down, including charges related to the write-down of inventory, anticipated inventory retail support activities, and accelerated depreciation on fixed assets; the corporate restructuring event, including employee severance charges; and the divestiture of a used underground construction equipment business, including the loss on the sale of the business. Refer to Note 7, </w:t>
      </w:r>
      <w:r>
        <w:rPr>
          <w:rFonts w:ascii="Times New Roman" w:cs="Times New Roman" w:eastAsia="Times New Roman" w:hAnsi="Times New Roman"/>
          <w:sz w:val="15"/>
          <w:szCs w:val="15"/>
          <w:i w:val="1"/>
          <w:iCs w:val="1"/>
          <w:color w:val="auto"/>
        </w:rPr>
        <w:t>Management Actions</w:t>
      </w:r>
      <w:r>
        <w:rPr>
          <w:rFonts w:ascii="Times New Roman" w:cs="Times New Roman" w:eastAsia="Times New Roman" w:hAnsi="Times New Roman"/>
          <w:sz w:val="15"/>
          <w:szCs w:val="15"/>
          <w:color w:val="auto"/>
        </w:rPr>
        <w:t>, of the Notes to Consolidated Financial Statements included in Part II, Item 8, "Financial Statements and Supplementary Data" of this Annual Report on Form 10-K for additional information regarding our these management actions.</w:t>
      </w:r>
    </w:p>
    <w:p>
      <w:pPr>
        <w:spacing w:after="0" w:line="291" w:lineRule="exact"/>
        <w:rPr>
          <w:sz w:val="20"/>
          <w:szCs w:val="20"/>
          <w:color w:val="auto"/>
        </w:rPr>
      </w:pPr>
    </w:p>
    <w:p>
      <w:pPr>
        <w:jc w:val="both"/>
        <w:ind w:left="180" w:hanging="172"/>
        <w:spacing w:after="0" w:line="210" w:lineRule="auto"/>
        <w:tabs>
          <w:tab w:leader="none" w:pos="18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In the first quarter of fiscal 2017, we adopted Accounting Standards Update No. 2016-09, </w:t>
      </w:r>
      <w:r>
        <w:rPr>
          <w:rFonts w:ascii="Times New Roman" w:cs="Times New Roman" w:eastAsia="Times New Roman" w:hAnsi="Times New Roman"/>
          <w:sz w:val="15"/>
          <w:szCs w:val="15"/>
          <w:i w:val="1"/>
          <w:iCs w:val="1"/>
          <w:color w:val="auto"/>
        </w:rPr>
        <w:t>Stock-based Compensation: Improvements to Employee Share-based Payment Accounting</w:t>
      </w:r>
      <w:r>
        <w:rPr>
          <w:rFonts w:ascii="Times New Roman" w:cs="Times New Roman" w:eastAsia="Times New Roman" w:hAnsi="Times New Roman"/>
          <w:sz w:val="15"/>
          <w:szCs w:val="15"/>
          <w:color w:val="auto"/>
        </w:rPr>
        <w:t>, which requires that any excess tax deduction for share-based compensation be immediately recorded within income tax expense. These amounts represent the discrete tax benefits recorded as excess tax deductions for share-based compensation during the fiscal years ended October 31, 2019 and October 31, 2018.</w:t>
      </w:r>
    </w:p>
    <w:p>
      <w:pPr>
        <w:spacing w:after="0" w:line="193" w:lineRule="exact"/>
        <w:rPr>
          <w:sz w:val="20"/>
          <w:szCs w:val="20"/>
          <w:color w:val="auto"/>
        </w:rPr>
      </w:pPr>
    </w:p>
    <w:p>
      <w:pPr>
        <w:jc w:val="both"/>
        <w:ind w:left="180" w:hanging="172"/>
        <w:spacing w:after="0" w:line="221" w:lineRule="auto"/>
        <w:tabs>
          <w:tab w:leader="none" w:pos="18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required the re-measurement of our net deferred taxes as of the date of enactment. The Tax Act also imposed a one-time deemed repatriation tax on our historical undistributed earnings and profits of foreign affiliates. During the fiscal year ended October 31, 2019, we recorded a tax benefit of $1.0 million related to a prior year true-up of the Tax Act. During the fiscal year ended October 31, 2018, the remeasurement of our net deferred taxes and the one-time deemed repatriation tax resulted in a combined charge of $32.7 million.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and other independent external third-party specialist valuations, when applicable. Actual amounts could differ from those estimated at the time the Consolidated Financial Statements are prepared.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w:t>
      </w:r>
    </w:p>
    <w:p>
      <w:pPr>
        <w:jc w:val="both"/>
        <w:ind w:firstLine="8"/>
        <w:spacing w:after="0" w:line="253" w:lineRule="auto"/>
        <w:tabs>
          <w:tab w:leader="none" w:pos="2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policies and estimates include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Reserve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Warranty coverage on our products is generally for specified periods of time and on select products' hours of usage, and generally covers parts, labor, and 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from our estimates. An unexpected increase in warranty claims or in the costs associated with servicing those claims would result in an increase in our warranty accrual and a decrease in our net earnings.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229"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At the time of sale, we record an estimate for sales promotion and incentive costs. Our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 or as a component of selling, general and administrative expense, depending on the nature of the respective program.</w:t>
      </w:r>
    </w:p>
    <w:p>
      <w:pPr>
        <w:spacing w:after="0" w:line="18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in which the related expense is classified as a reduction from gross sales are as follows:</w:t>
      </w:r>
    </w:p>
    <w:p>
      <w:pPr>
        <w:spacing w:after="0" w:line="64" w:lineRule="exact"/>
        <w:rPr>
          <w:sz w:val="20"/>
          <w:szCs w:val="20"/>
          <w:color w:val="auto"/>
        </w:rPr>
      </w:pPr>
    </w:p>
    <w:p>
      <w:pPr>
        <w:ind w:left="540" w:hanging="332"/>
        <w:spacing w:after="0" w:line="263"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Our costs for off-invoice discounts represent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the selling price of our products given at the time of sale.</w:t>
      </w:r>
    </w:p>
    <w:p>
      <w:pPr>
        <w:jc w:val="both"/>
        <w:ind w:left="540" w:hanging="332"/>
        <w:spacing w:after="0" w:line="250" w:lineRule="auto"/>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Our rebate programs are generally based on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from either our direct customers or end-users of our products, depending upon the program. The amount of the rebate varies based on the specific program and is either a dollar amount or a percentage of the purchase price and can also be based on actual retail price as compared to our selling price.</w:t>
      </w:r>
    </w:p>
    <w:p>
      <w:pPr>
        <w:spacing w:after="0" w:line="2" w:lineRule="exact"/>
        <w:rPr>
          <w:rFonts w:ascii="Times New Roman" w:cs="Times New Roman" w:eastAsia="Times New Roman" w:hAnsi="Times New Roman"/>
          <w:sz w:val="18"/>
          <w:szCs w:val="18"/>
          <w:b w:val="1"/>
          <w:bCs w:val="1"/>
          <w:color w:val="auto"/>
        </w:rPr>
      </w:pPr>
    </w:p>
    <w:p>
      <w:pPr>
        <w:jc w:val="both"/>
        <w:ind w:left="540" w:hanging="332"/>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Incentive Discounts: </w:t>
      </w:r>
      <w:r>
        <w:rPr>
          <w:rFonts w:ascii="Times New Roman" w:cs="Times New Roman" w:eastAsia="Times New Roman" w:hAnsi="Times New Roman"/>
          <w:sz w:val="18"/>
          <w:szCs w:val="18"/>
          <w:color w:val="auto"/>
        </w:rPr>
        <w:t>Our costs for incentive discount programs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our customers’ purchase or retail sales goals of certain quantities or mixes of product during a specified time period, which are tracked on an annual or quarterly basis depending on the program.</w:t>
      </w:r>
    </w:p>
    <w:p>
      <w:pPr>
        <w:spacing w:after="0" w:line="1" w:lineRule="exact"/>
        <w:rPr>
          <w:rFonts w:ascii="Times New Roman" w:cs="Times New Roman" w:eastAsia="Times New Roman" w:hAnsi="Times New Roman"/>
          <w:sz w:val="18"/>
          <w:szCs w:val="18"/>
          <w:color w:val="auto"/>
        </w:rPr>
      </w:pPr>
    </w:p>
    <w:p>
      <w:pPr>
        <w:jc w:val="both"/>
        <w:ind w:left="540" w:hanging="332"/>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Our financing programs, consist of wholesale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plan financing and end-user retail financing. Costs incurred for wholesale floor plan financing programs represent financing costs associated with programs under which we pay a portion of the interest cost to finance distributor and dealer inventories through third-party financing arrangements for a specific period of time. End-user retail financing is similar to floor planning with the difference being that retail financing programs are offered to end-user customers under which we pay a portion of interest costs on behalf of end-users for financing purchases of our equipment.</w:t>
      </w:r>
    </w:p>
    <w:p>
      <w:pPr>
        <w:spacing w:after="0" w:line="4" w:lineRule="exact"/>
        <w:rPr>
          <w:rFonts w:ascii="Times New Roman" w:cs="Times New Roman" w:eastAsia="Times New Roman" w:hAnsi="Times New Roman"/>
          <w:sz w:val="18"/>
          <w:szCs w:val="18"/>
          <w:color w:val="auto"/>
        </w:rPr>
      </w:pPr>
    </w:p>
    <w:p>
      <w:pPr>
        <w:jc w:val="both"/>
        <w:ind w:left="540" w:hanging="332"/>
        <w:spacing w:after="0" w:line="253"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Commissions Paid to Service Home Centers: </w:t>
      </w:r>
      <w:r>
        <w:rPr>
          <w:rFonts w:ascii="Times New Roman" w:cs="Times New Roman" w:eastAsia="Times New Roman" w:hAnsi="Times New Roman"/>
          <w:sz w:val="18"/>
          <w:szCs w:val="18"/>
          <w:color w:val="auto"/>
        </w:rPr>
        <w:t>We pay commissions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agencies to service home centers to ensure appropriate store sets for all Toro product. This estimated expense is recorded at point of sale. In addition, Toro dealers are paid a commission to set up and deliver riding product purchased at certain home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2">
            <w:col w:w="5600" w:space="20"/>
            <w:col w:w="580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in which the related expense is classified as a component of selling, general, and administrative expense are as follows:</w:t>
      </w:r>
    </w:p>
    <w:p>
      <w:pPr>
        <w:spacing w:after="0" w:line="64" w:lineRule="exact"/>
        <w:rPr>
          <w:sz w:val="20"/>
          <w:szCs w:val="20"/>
          <w:color w:val="auto"/>
        </w:rPr>
      </w:pPr>
    </w:p>
    <w:p>
      <w:pPr>
        <w:jc w:val="both"/>
        <w:ind w:left="340" w:hanging="332"/>
        <w:spacing w:after="0" w:line="253"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Commissions Paid to Distributors and Dealers</w:t>
      </w:r>
      <w:r>
        <w:rPr>
          <w:rFonts w:ascii="Times New Roman" w:cs="Times New Roman" w:eastAsia="Times New Roman" w:hAnsi="Times New Roman"/>
          <w:sz w:val="18"/>
          <w:szCs w:val="18"/>
          <w:color w:val="auto"/>
        </w:rPr>
        <w:t>: For certain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use a distribution network of dealers and distributors that purchase and take possession of products for sale to the end customer. In addition, we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are tested at least annually for impairment and whenever events or changes in circumstances indicate that impairment may have occurred. We test goodwill for impairment at the reporting unit level and test indefinite-lived intangible assets for impairment at the individual indefinite-lived intangible asset or asset group level, as appropriate. Our impairment testing for goodwill is performed separately from our impairment testing of indefinite-lived intangible assets, but the income approach is utilized for both to determine fair value when a quantitative analysis is required. Under the income approach, we calculate the fair value of our reporting units and indefinite-lived intangible assets using the present value of future cash flows. Assumptions utilized in determining fair value under the income approach, such as forecasted growth rates and weighted-average cost of capital ("WACC"), are consistent with internal projections and operating plans. Materially different assumptions regarding future performance of our businesses or a different WACC rate could result in impairment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Individual indefinite-lived intangible assets, or asset groups, are tested for impairment by comparing the carrying amounts of the respective asset, or asset group, to its estimated fair value. Our estimate of the fair value for an indefinite-lived intangible asset, or asset group, uses projected revenues from our forecasting process, assumed royalty rates, and a discount rate. If the fair value of the indefinite-lived intangible asset, or asset group, is less than its carrying value, an impairment loss is recognized in an amount equal to the excess.</w:t>
      </w:r>
    </w:p>
    <w:p>
      <w:pPr>
        <w:spacing w:after="0" w:line="185"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In conducting our goodwill impairment test, we may elect to first perform a qualitative assessment to determine whether changes in events or circumstances since our most recent quantitative test for goodwill impairment indicate that it is more likely than not that the fair value of a reporting unit is less than its carrying amount. However, we have an unconditional option to bypass the qualitative assessment for any reporting unit and proceed directly to performing the quantitative analysis. If elected, in conducting the initial qualitative assessment, we analyze actual and projected growth trends for net sales, gross margin, and earnings for each reporting unit, as well as historical versus planned performance. Additionally, each reporting unit is assessed for critical areas that may impact its business, including macroeconomic conditions, market-related exposures, competitive changes, new or discontinued products, changes in key personnel, or any other potential risks to projected financial results. All assumptions used in the qualitative assessment require significant judgment. If, after evaluating the weight of the changes in events and circumstances, both positive and negative, we conclude that an impairment may exist, a quantitative test for goodwill impairment is performed.</w:t>
      </w:r>
    </w:p>
    <w:p>
      <w:pPr>
        <w:spacing w:after="0" w:line="194"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If performed due to identified impairment indicators under the qualitative assessment, the duration of time since the most recent quantitative goodwill impairment test, or our election to bypass the qualitative assessment and move directly to the quantitative analysis, the quantitative goodwill impairment test is a one-step process. In performing the quantitative analysis, we compare the carrying value of a reporting unit, including goodwill, to its fair value. The carrying amount of each reporting unit is determined based on the amount of equity required for the reporting unit's activities, considering the specific assets and liabilities of the reporting unit. We do not assign corporate assets and liabilities to reporting units that do not relate to the operations of the reporting unit or are not considered in determining the fair value of the reporting unit. Our estimate of the fair value of our reporting units utilizes various inputs and assumptions, including projected operating results and growth rates from our forecasting process, applicable tax rates and a WACC rate. Where available, and as appropriate, comparable market multiples and our company's market capitalization are also used to corroborate the results of the discounted cash flow models. If the fair value of the reporting unit exceeds its carrying value, goodwill of the reporting unit is not impaired. If the carrying value of a reporting unit exceeds its fair value, an impairment charge would be recognized for the amount by which the carrying value of the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2">
            <w:col w:w="5600" w:space="20"/>
            <w:col w:w="580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reporting unit exceeds the its fair value, not to exceed the total amount of goodwill allocated to that reporting unit.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22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We value our inventories at the lower of the cost of inventory or net realizable value, with cost determined by either the first-in, first-out method for most U.S. inventories or the last-in, first-out or average cost methods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19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Though management considers reserve balances adequate and proper, changes in economic conditions in specific markets in which we operate could have an effect on the reserve balances required for excess, slow moving and obsolete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We account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85"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assets acquired and liabilities assumed requires the use of significant estimates, judgments, inputs, and assumptions regarding the fair value of intangibles assets that are separately identifiable from goodwill, inventory, and property, plant, and equipment. Such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we expect to generate subsequent to an acquisition; applying an appropriate discount rate to estimate the present value of those projected cash flows we expect to generate subsequent to an acquisition; selecting an appropriate royalty rate or estimating a customer attrition or technological obsolescence factor where necessary and appropriate given the nature of the respective asset; assigning the appropriate contributory asset charge where needed; determining an appropriate useful life and the related depreciation or amortization method for the respective asset;</w:t>
      </w: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we typically utilize the income approach, which discounts the projected future cash flows using an appropriate discount rate that reflects the risks associated with the projected cash flows. However, in certain instances, particularly in relation to developed technology or patents, we may utilize the cost approach depending on the nature of the respective intangible asset and the recency of the development or procurement of such technology. In determining the estimated fair value of acquired inventory, we typically utilize the cost approach for raw materials and the sales comparison approach for work in process, finished goods, and service parts. In determining the estimated fair value of acquired property, plant, and equipment, we typically utilize the sales comparison approach or the cost approach depending on the nature of the respective asset and the recency of the construction or procurement of such asset.</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Estimated fair values of intangible assets that are separately identifiable from goodwill, inventory, and property, plant, and equipment are based on available historical information, future expectations, and assumptions determined to be reasonable but are inherently uncertain with respect to future events, including economic conditions, competition, the useful life of the acquired assets and other factors. We may refine the estimated fair values of assets acquired and liabilities assumed, if necessary, over a period not to exceed one year from the date of acquisition by taking into consideration new information that, if known at the date of acquisition, would have affected the estimated fair values ascribed to the assets acquired and liabilities assumed. Estimates that are sensitive include judgments as to whether information gathered during the measurement period relate to information that was not yet available or whether subsequent developments have occurred that indicate the recognition of other asset or liabilities should be recorded within net earnings.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in our Notes to Consolidated Financial Statements in the sections entitled "New Accounting Pronouncements Adopted" and "New Accounting</w:t>
      </w:r>
    </w:p>
    <w:p>
      <w:pPr>
        <w:sectPr>
          <w:pgSz w:w="11900" w:h="16838" w:orient="portrait"/>
          <w:cols w:equalWidth="0" w:num="2">
            <w:col w:w="5800" w:space="20"/>
            <w:col w:w="560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Pronouncements Not Yet Adopted", included in Part II, Item 8, "Financial Statements and Supplementary Data" of this Annual Report on Form 10-K.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See further discussion on these market risks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We may also experience foreign currency exchange rate exposure as a result of the volatility and uncertainty that may arise as a result of the United Kingdom's process for exiting the European Union.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the section entitled "Derivative Instruments and Hedging Activities" within Note 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 the Notes to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8, "Financial Statements and Supplementary Data" of this Annual Report on Form 10-K.</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2020 through fiscal 2022. All items are non-trading and stated in U.S. dollars. As of October 31, 2019, the average contracted rate, notional amount, fair value, and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(loss) at fair value of outstanding derivative instruments were as follows (in thousands, except average contracted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9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Gain (Loss)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Contracted</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116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Buy U.S.</w:t>
            </w: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dollar/Sell</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Australian dollar</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0.7208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95,937.9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99,559.6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3,621.7</w:t>
            </w:r>
          </w:p>
        </w:tc>
        <w:tc>
          <w:tcPr>
            <w:tcW w:w="0" w:type="dxa"/>
            <w:vAlign w:val="bottom"/>
          </w:tcPr>
          <w:p>
            <w:pPr>
              <w:spacing w:after="0"/>
              <w:rPr>
                <w:sz w:val="1"/>
                <w:szCs w:val="1"/>
                <w:color w:val="auto"/>
              </w:rPr>
            </w:pPr>
          </w:p>
        </w:tc>
      </w:tr>
      <w:tr>
        <w:trPr>
          <w:trHeight w:val="153"/>
        </w:trPr>
        <w:tc>
          <w:tcPr>
            <w:tcW w:w="11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Buy U.S.</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dollar/Sell</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Canadian dollar</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1.3136</w:t>
            </w:r>
          </w:p>
        </w:tc>
        <w:tc>
          <w:tcPr>
            <w:tcW w:w="24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32,026.1</w:t>
            </w:r>
          </w:p>
        </w:tc>
        <w:tc>
          <w:tcPr>
            <w:tcW w:w="20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32,099.1</w:t>
            </w:r>
          </w:p>
        </w:tc>
        <w:tc>
          <w:tcPr>
            <w:tcW w:w="22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Buy U.S.</w:t>
            </w: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dollar/Sell Euro</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1.2025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119,825.0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125,997.1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6,172.1</w:t>
            </w:r>
          </w:p>
        </w:tc>
        <w:tc>
          <w:tcPr>
            <w:tcW w:w="0" w:type="dxa"/>
            <w:vAlign w:val="bottom"/>
          </w:tcPr>
          <w:p>
            <w:pPr>
              <w:spacing w:after="0"/>
              <w:rPr>
                <w:sz w:val="1"/>
                <w:szCs w:val="1"/>
                <w:color w:val="auto"/>
              </w:rPr>
            </w:pPr>
          </w:p>
        </w:tc>
      </w:tr>
      <w:tr>
        <w:trPr>
          <w:trHeight w:val="153"/>
        </w:trPr>
        <w:tc>
          <w:tcPr>
            <w:tcW w:w="11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Buy U.S.</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dollar/Sell</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British pound</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1.3376</w:t>
            </w:r>
          </w:p>
        </w:tc>
        <w:tc>
          <w:tcPr>
            <w:tcW w:w="240" w:type="dxa"/>
            <w:vAlign w:val="bottom"/>
          </w:tcPr>
          <w:p>
            <w:pPr>
              <w:spacing w:after="0"/>
              <w:rPr>
                <w:sz w:val="16"/>
                <w:szCs w:val="16"/>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43,925.5</w:t>
            </w:r>
          </w:p>
        </w:tc>
        <w:tc>
          <w:tcPr>
            <w:tcW w:w="20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44,957.1</w:t>
            </w:r>
          </w:p>
        </w:tc>
        <w:tc>
          <w:tcPr>
            <w:tcW w:w="220" w:type="dxa"/>
            <w:vAlign w:val="bottom"/>
          </w:tcPr>
          <w:p>
            <w:pPr>
              <w:spacing w:after="0"/>
              <w:rPr>
                <w:sz w:val="16"/>
                <w:szCs w:val="16"/>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1,031.6</w:t>
            </w:r>
          </w:p>
        </w:tc>
        <w:tc>
          <w:tcPr>
            <w:tcW w:w="0" w:type="dxa"/>
            <w:vAlign w:val="bottom"/>
          </w:tcPr>
          <w:p>
            <w:pPr>
              <w:spacing w:after="0"/>
              <w:rPr>
                <w:sz w:val="1"/>
                <w:szCs w:val="1"/>
                <w:color w:val="auto"/>
              </w:rPr>
            </w:pPr>
          </w:p>
        </w:tc>
      </w:tr>
      <w:tr>
        <w:trPr>
          <w:trHeight w:val="158"/>
        </w:trPr>
        <w:tc>
          <w:tcPr>
            <w:tcW w:w="11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Buy Mexican</w:t>
            </w: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peso/Sell U.S.</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dollar</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20.1367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1,489.8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1,480.3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market risk exposure for interest rates relates primarily to LIBOR-based interest rates on our revolving credit facility and term loan credit agreement, as well as the potential increase in the fair value of our fixed-rate long-term debt resulting from a potential decrease in interest rates. However, we have no earnings or cash flow exposure due to interest rate risks on our fixed-rate long-term debt obligations. We generally do not use interest rate swaps to mitigate the impact of fluctuations in interest rates.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Included in long-term debt is $423.9 million of fixed rate debt that is not subject to variable interest rate fluctuations and $280.0 million of LIBOR-based borrowings under our term loan credit agreement. As of October 31, 2019, we did not have an outstanding balance on our LIBOR-based revolving credit facility. As of October 31, 2019, the estimated fair value of long-term debt with fixed interest rates was $493.8 million compared to its carrying amount of $423.9 million. Interest rate risk for fixed-rate, long-term debt is estimated as the potential increase in fair value, resulting from a hypothetical 10 percent decrease in interest rates, and amounts to approximately $17.1 million. The fair value is estimated by discounting the projected cash flows using the rate that similar amounts and terms of debt could currently be borrowed.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including, for example, as a result of inflation, deflation, changing prices, tariffs, and/or duties. Our primary</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4619"/>
        <w:spacing w:after="0" w:line="255" w:lineRule="auto"/>
        <w:rPr>
          <w:sz w:val="20"/>
          <w:szCs w:val="20"/>
          <w:color w:val="auto"/>
        </w:rPr>
      </w:pPr>
      <w:r>
        <w:rPr>
          <w:rFonts w:ascii="Times New Roman" w:cs="Times New Roman" w:eastAsia="Times New Roman" w:hAnsi="Times New Roman"/>
          <w:sz w:val="18"/>
          <w:szCs w:val="18"/>
          <w:color w:val="auto"/>
        </w:rPr>
        <w:t>commodity cost exposures are with steel, aluminum, petroleum and natural gas-based resins, copper, lead, rubber, linerboard, and others.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189" w:lineRule="exact"/>
        <w:rPr>
          <w:sz w:val="20"/>
          <w:szCs w:val="20"/>
          <w:color w:val="auto"/>
        </w:rPr>
      </w:pPr>
    </w:p>
    <w:p>
      <w:pPr>
        <w:jc w:val="both"/>
        <w:ind w:right="4619"/>
        <w:spacing w:after="0" w:line="252" w:lineRule="auto"/>
        <w:rPr>
          <w:sz w:val="20"/>
          <w:szCs w:val="20"/>
          <w:color w:val="auto"/>
        </w:rPr>
      </w:pPr>
      <w:r>
        <w:rPr>
          <w:rFonts w:ascii="Times New Roman" w:cs="Times New Roman" w:eastAsia="Times New Roman" w:hAnsi="Times New Roman"/>
          <w:sz w:val="18"/>
          <w:szCs w:val="18"/>
          <w:color w:val="auto"/>
        </w:rPr>
        <w:t>We strategically work to mitigate any unfavorable impact as a result of changes to the cost of commodities, components, parts, and accessories that affect our product lines.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and component costs increase, as a result of inflation, tariffs, duties,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 parts, and accessories costs. In fiscal 2019, the average cost of commodities, components, parts, and accessories purchased, including the impact of inflation and tariff costs, was higher compared to the average cost of commodities, components, parts, and accessories purchased in fiscal 2018.</w:t>
      </w:r>
    </w:p>
    <w:p>
      <w:pPr>
        <w:spacing w:after="0" w:line="191" w:lineRule="exact"/>
        <w:rPr>
          <w:sz w:val="20"/>
          <w:szCs w:val="20"/>
          <w:color w:val="auto"/>
        </w:rPr>
      </w:pPr>
    </w:p>
    <w:p>
      <w:pPr>
        <w:jc w:val="both"/>
        <w:ind w:right="4619"/>
        <w:spacing w:after="0" w:line="261" w:lineRule="auto"/>
        <w:rPr>
          <w:sz w:val="20"/>
          <w:szCs w:val="20"/>
          <w:color w:val="auto"/>
        </w:rPr>
      </w:pPr>
      <w:r>
        <w:rPr>
          <w:rFonts w:ascii="Times New Roman" w:cs="Times New Roman" w:eastAsia="Times New Roman" w:hAnsi="Times New Roman"/>
          <w:sz w:val="18"/>
          <w:szCs w:val="18"/>
          <w:color w:val="auto"/>
        </w:rPr>
        <w:t>Further information regarding changing costs of commodities is presented in Part II, Item 7, "Management's Discussion and Analysis of Financial Condition and Results of Operations," of this Annual Report on Form 10-K in the section entitled "Inflation".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Risk</w:t>
      </w:r>
    </w:p>
    <w:p>
      <w:pPr>
        <w:spacing w:after="0" w:line="229" w:lineRule="exact"/>
        <w:rPr>
          <w:sz w:val="20"/>
          <w:szCs w:val="20"/>
          <w:color w:val="auto"/>
        </w:rPr>
      </w:pPr>
    </w:p>
    <w:p>
      <w:pPr>
        <w:jc w:val="both"/>
        <w:ind w:right="4619"/>
        <w:spacing w:after="0" w:line="256" w:lineRule="auto"/>
        <w:rPr>
          <w:sz w:val="20"/>
          <w:szCs w:val="20"/>
          <w:color w:val="auto"/>
        </w:rPr>
      </w:pPr>
      <w:r>
        <w:rPr>
          <w:rFonts w:ascii="Times New Roman" w:cs="Times New Roman" w:eastAsia="Times New Roman" w:hAnsi="Times New Roman"/>
          <w:sz w:val="18"/>
          <w:szCs w:val="18"/>
          <w:color w:val="auto"/>
        </w:rPr>
        <w:t xml:space="preserve">The trading price volatility of our common stock impacts compensation expense related to our stock-based compensation plans. Refer to Note 9, </w:t>
      </w:r>
      <w:r>
        <w:rPr>
          <w:rFonts w:ascii="Times New Roman" w:cs="Times New Roman" w:eastAsia="Times New Roman" w:hAnsi="Times New Roman"/>
          <w:sz w:val="18"/>
          <w:szCs w:val="18"/>
          <w:i w:val="1"/>
          <w:iCs w:val="1"/>
          <w:color w:val="auto"/>
        </w:rPr>
        <w:t>Stock-Based Compensation Plans</w:t>
      </w:r>
      <w:r>
        <w:rPr>
          <w:rFonts w:ascii="Times New Roman" w:cs="Times New Roman" w:eastAsia="Times New Roman" w:hAnsi="Times New Roman"/>
          <w:sz w:val="18"/>
          <w:szCs w:val="18"/>
          <w:color w:val="auto"/>
        </w:rPr>
        <w:t>, in the Notes to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Part II, Item 8, "Financial Statements and Supplementary Data" of this Annual Report on Form 10-K for additional information regarding our stock-based compensation plans.</w:t>
      </w:r>
    </w:p>
    <w:p>
      <w:pPr>
        <w:spacing w:after="0" w:line="29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219"/>
          </w:cols>
          <w:pgMar w:left="240" w:top="121" w:right="1440"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system of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company's Chairman of the Board, President and Chief Executive Officer and Vice President, Treasurer and Chief Financial Officer, evaluated the effectiveness of the company's internal control over financial reporting as of October 31, 2019. In making this evaluation,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this assessment, management concluded that the company's internal control over financial reporting was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2019. As permitted by guidance issued by the SEC, management excluded from its assessment of its system of internal control over financial reporting the operations of The Charles Machine Works, Inc., which was acquired on April 1, 2019 and accounted for approximately 35.0 percent of consolidated total assets and 14.8 percent of consolidated net sales of The Toro Company as of October 31, 2019.</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October 31, 2019, has been audited by KPMG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59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59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discussion of the company's internal controls and procedures is included in Part II, Item 9A, "Controls and Procedures" of this report.</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Opinions on the Consolidated Financial Statements and Internal Control Over Financial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The Toro Company and subsidiaries (the Company) as of October 31, 2019 and 2018, the related consolidated statements of earnings, comprehensive income, stockholders’ equity, and cash flows for each of the years in the three-year period ended October 31, 2019, and the related notes and financial statement schedule listed in 15 (a) 2 (collectively, the consolidated financial statements). We also have audited the Company’s internal control over financial reporting as of October 31, 2019,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October 31, 2019 and 2018, and the results of its operations and its cash flows for each of the years in the three-year period ended October 31, 2019, in conformity with U.S. generally accepted accounting principles. Also in our opinion, the Company maintained, in all material respects, effective internal control over financial reporting as of October 31, 2019,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excluded from its assessment of its system of internal control over financial reporting the operations of The Charles Machine Works, Inc. (”CMW”), which was acquired on April 1, 2019 and accounted for approximately 35.0 percent of total assets and 14.8 percent of net sales included in the consolidated financial statements of the Company as of and for the year ended October 31, 2019. Our audit of internal control over financial reporting of the Company also excluded an evaluation of the internal control over financial reporting of CMW.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Evaluation of the Acquisition Date Fair Value of Customer-related and Trade Name Intangible Assets</w:t>
      </w:r>
    </w:p>
    <w:p>
      <w:pPr>
        <w:spacing w:after="0" w:line="225" w:lineRule="exact"/>
        <w:rPr>
          <w:sz w:val="20"/>
          <w:szCs w:val="20"/>
          <w:color w:val="auto"/>
        </w:rPr>
      </w:pPr>
    </w:p>
    <w:p>
      <w:pPr>
        <w:jc w:val="both"/>
        <w:ind w:left="180"/>
        <w:spacing w:after="0" w:line="267"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on April 1, 2019, the Company acquired CMW in a business combination. As a result of the transaction, the Company acquired customer-related and trade name intangible assets with acquisition date fair values of $130.8 million and $108.9 million, respectively.</w:t>
      </w:r>
    </w:p>
    <w:p>
      <w:pPr>
        <w:spacing w:after="0" w:line="17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7"/>
          <w:szCs w:val="17"/>
          <w:color w:val="auto"/>
        </w:rPr>
        <w:t>We identified the evaluation of the acquisition date fair values of the customer-related and trade name intangible assets as a critical audit matter. Testing the assumptions regarding future revenue growth rates, attrition rates, future earnings before interest, taxes, depreciation and amortization (EBITDA), and discount rates, which were used to determine the fair values, involved a high degree of subjectivity. In addition, the fair values of these intangible assets were challenging to test due to the sensitivity of the fair value determination to changes in these assumptions.</w:t>
      </w:r>
    </w:p>
    <w:p>
      <w:pPr>
        <w:spacing w:after="0" w:line="176"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 the following. We tested certain internal controls over the Company’s acquisition-date valuation process, including controls over the development of the relevant assumptions as listed above. We performed sensitivity analyses over the relevant assumptions to assess the impact of changes in those assumptions on the Company’s determination of the fair value of the intangible assets. We evaluated the Company’s revenue growth rates by comparing them to historical results and those of the Company’s peers and industry reports. To assess the Company’s attrition rates, we compared the Company’s estimates of attrition to CMW’s historical customer attrition data. We also compared the Company’s estimates of future EBITDA to CMW’s historical actual results. In addition, we involved valuation professionals with specialized skills and knowledge, who assisted in:</w:t>
      </w:r>
    </w:p>
    <w:p>
      <w:pPr>
        <w:spacing w:after="0" w:line="388" w:lineRule="exact"/>
        <w:rPr>
          <w:sz w:val="20"/>
          <w:szCs w:val="20"/>
          <w:color w:val="auto"/>
        </w:rPr>
      </w:pPr>
    </w:p>
    <w:p>
      <w:pPr>
        <w:ind w:left="660" w:hanging="328"/>
        <w:spacing w:after="0" w:line="287" w:lineRule="auto"/>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Company’s discount rates, by comparing them against a discount rate range that was independently developed using publicly available market data for comparable entities; and</w:t>
      </w:r>
    </w:p>
    <w:p>
      <w:pPr>
        <w:spacing w:after="0" w:line="153" w:lineRule="exact"/>
        <w:rPr>
          <w:rFonts w:ascii="Times New Roman" w:cs="Times New Roman" w:eastAsia="Times New Roman" w:hAnsi="Times New Roman"/>
          <w:sz w:val="17"/>
          <w:szCs w:val="17"/>
          <w:color w:val="auto"/>
        </w:rPr>
      </w:pPr>
    </w:p>
    <w:p>
      <w:pPr>
        <w:ind w:left="660" w:right="20" w:hanging="328"/>
        <w:spacing w:after="0" w:line="287" w:lineRule="auto"/>
        <w:tabs>
          <w:tab w:leader="none" w:pos="6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 estimate of the fair values of the customer-related and trade name intangible assets acquired using the Company’s cash flow and revenue forecasts, respectively, and an independently developed discount rate and compared the results of our estimates to the Company’s fair value estimates.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Evaluation of Accrued Sales Promotions and Incentives</w:t>
      </w:r>
    </w:p>
    <w:p>
      <w:pPr>
        <w:spacing w:after="0" w:line="22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7"/>
          <w:szCs w:val="17"/>
          <w:color w:val="auto"/>
        </w:rPr>
        <w:t>As reported in the balance sheet and as further discussed in Note 1 to the consolidated financial statements, the Company recorded an accrual of $103.4 million for sales promotions and incentives as of October 31, 2019. At the time of sale, the Company records an estimate for sales promotion and incentive costs. The Company’s estimates for sales promotion and incentive costs are based on the terms of the arrangements with customers, historical payment experience, field inventory levels, volume purchases, and expectations for changes in relevant trends in the future.</w:t>
      </w:r>
    </w:p>
    <w:p>
      <w:pPr>
        <w:spacing w:after="0" w:line="17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7"/>
          <w:szCs w:val="17"/>
          <w:color w:val="auto"/>
        </w:rPr>
        <w:t>We identified the evaluation of accrued sales promotions and incentives as a critical audit matter. A high degree of auditor judgment was required to evaluate the Company’s expectations for changes in relevant trends in the future that were used to develop the estimate. Historical experience was an input used to develop expectations for changes in relevant trends in the future. Changes in the expected future trends could have a significant impact to the accrual for sales promotions and incentives.</w:t>
      </w:r>
    </w:p>
    <w:p>
      <w:pPr>
        <w:spacing w:after="0" w:line="176"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 the following. We tested certain internal controls over the Company’s sales promotions and incentives process, including controls over the evaluation of the inputs described above. We evaluated the Company’s ability to accurately estimate the sales promotions and incentives accruals through retrospective comparison of historic accruals with subsequent payments. We developed an independent expectation of the Company’s accrual considering historical experience and current year field inventory levels. Additionally, we tested sales promotion and incentives paid subsequent to the balance sheet date by tracing a sample of payments to underlying documentation including program term sheets to evaluate the accrual estimate.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 2019</w:t>
      </w:r>
    </w:p>
    <w:p>
      <w:pPr>
        <w:sectPr>
          <w:pgSz w:w="11900" w:h="16838" w:orient="portrait"/>
          <w:cols w:equalWidth="0" w:num="1">
            <w:col w:w="11420"/>
          </w:cols>
          <w:pgMar w:left="240" w:top="121"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Earnings</w:t>
      </w:r>
    </w:p>
    <w:p>
      <w:pPr>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Ended October 31</w:t>
            </w:r>
          </w:p>
        </w:tc>
        <w:tc>
          <w:tcPr>
            <w:tcW w:w="11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3,138,084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2,618,650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2,505,176</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2,090,121</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1,677,639</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1,584,339</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1,047,963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941,011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920,837</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722,934</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567,926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565,727</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325,029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373,085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355,110</w:t>
            </w: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(28,835)</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(19,096)</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25,939</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18,408</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17,187</w:t>
            </w:r>
          </w:p>
        </w:tc>
      </w:tr>
      <w:tr>
        <w:trPr>
          <w:trHeight w:val="237"/>
        </w:trPr>
        <w:tc>
          <w:tcPr>
            <w:tcW w:w="6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322,133</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372,397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353,184</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48,150</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100,458</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85,467</w:t>
            </w:r>
          </w:p>
        </w:tc>
      </w:tr>
      <w:tr>
        <w:trPr>
          <w:trHeight w:val="237"/>
        </w:trPr>
        <w:tc>
          <w:tcPr>
            <w:tcW w:w="6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273,983</w:t>
            </w:r>
          </w:p>
        </w:tc>
        <w:tc>
          <w:tcPr>
            <w:tcW w:w="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271,939</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267,717</w:t>
            </w:r>
          </w:p>
        </w:tc>
      </w:tr>
      <w:tr>
        <w:trPr>
          <w:trHeight w:val="67"/>
        </w:trPr>
        <w:tc>
          <w:tcPr>
            <w:tcW w:w="6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Basic</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106,773</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106,369</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108,312</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 Diluted</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108,090</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108,657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111,252</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Ended October 31</w:t>
            </w:r>
          </w:p>
        </w:tc>
        <w:tc>
          <w:tcPr>
            <w:tcW w:w="5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6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273,983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271,939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267,717</w:t>
            </w:r>
          </w:p>
        </w:tc>
      </w:tr>
      <w:tr>
        <w:trPr>
          <w:trHeight w:val="243"/>
        </w:trPr>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$(16), $(222), and $0, respectively</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10,127</w:t>
            </w:r>
          </w:p>
        </w:tc>
      </w:tr>
      <w:tr>
        <w:trPr>
          <w:trHeight w:val="243"/>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 net of tax of $(862), $2,899, and $(1,123), respectively</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(2,498)</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7,415</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retiree medical benefits, net of tax of $(1,305), $254, and $2,536, respectively</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1,035</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4,347</w:t>
            </w:r>
          </w:p>
        </w:tc>
      </w:tr>
      <w:tr>
        <w:trPr>
          <w:trHeight w:val="237"/>
        </w:trPr>
        <w:tc>
          <w:tcPr>
            <w:tcW w:w="69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(8,112)</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14,316</w:t>
            </w:r>
          </w:p>
        </w:tc>
      </w:tr>
      <w:tr>
        <w:trPr>
          <w:trHeight w:val="27"/>
        </w:trPr>
        <w:tc>
          <w:tcPr>
            <w:tcW w:w="6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265,871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271,981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282,033</w:t>
            </w:r>
          </w:p>
        </w:tc>
      </w:tr>
      <w:tr>
        <w:trPr>
          <w:trHeight w:val="20"/>
        </w:trPr>
        <w:tc>
          <w:tcPr>
            <w:tcW w:w="6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4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8480" w:type="dxa"/>
            <w:vAlign w:val="bottom"/>
            <w:gridSpan w:val="5"/>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151,828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289,124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Customers, net of allowances (2019 - $3,270; 2018 - $2,228)</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242,196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185,128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26,572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8,050</w:t>
            </w:r>
          </w:p>
        </w:tc>
      </w:tr>
      <w:tr>
        <w:trPr>
          <w:trHeight w:val="237"/>
        </w:trPr>
        <w:tc>
          <w:tcPr>
            <w:tcW w:w="40" w:type="dxa"/>
            <w:vAlign w:val="bottom"/>
            <w:tcBorders>
              <w:top w:val="single" w:sz="8" w:color="auto"/>
            </w:tcBorders>
          </w:tcPr>
          <w:p>
            <w:pPr>
              <w:spacing w:after="0"/>
              <w:rPr>
                <w:sz w:val="20"/>
                <w:szCs w:val="20"/>
                <w:color w:val="auto"/>
              </w:rPr>
            </w:pPr>
          </w:p>
        </w:tc>
        <w:tc>
          <w:tcPr>
            <w:tcW w:w="844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receivables, net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268,768</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193,178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651,663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358,259</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50,632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54,076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1,122,891</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894,637</w:t>
            </w:r>
          </w:p>
        </w:tc>
      </w:tr>
      <w:tr>
        <w:trPr>
          <w:trHeight w:val="237"/>
        </w:trPr>
        <w:tc>
          <w:tcPr>
            <w:tcW w:w="84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437,317</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271,459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6,251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38,252</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362,253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225,290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352,374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105,649</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49,461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35,697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2,330,547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1,570,984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03"/>
        </w:trPr>
        <w:tc>
          <w:tcPr>
            <w:tcW w:w="84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auto"/>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79,914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319,230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256,575</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96,604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76,214</w:t>
            </w: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Advertising and marketing programs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103,417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89,450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76,862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50,850</w:t>
            </w: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11,164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9,903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7,249</w:t>
            </w: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59,876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44,388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756,970</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532,635</w:t>
            </w:r>
          </w:p>
        </w:tc>
      </w:tr>
      <w:tr>
        <w:trPr>
          <w:trHeight w:val="237"/>
        </w:trPr>
        <w:tc>
          <w:tcPr>
            <w:tcW w:w="84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620,899</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312,549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50,579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42,521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55,487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848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47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25"/>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Preferred stock, par value $1.00 per share, authorized 1,000,000 voting and 850,000 non-voting shares, none issued</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and outstanding</w:t>
            </w:r>
          </w:p>
        </w:tc>
        <w:tc>
          <w:tcPr>
            <w:tcW w:w="4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84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par value $1.00 per share, authorized 175,000,000 shares; issued and outstanding 106,742,082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as of October 31, 2019 and 105,600,652 shares as of October 31, 2018</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106,742</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105,601</w:t>
            </w:r>
          </w:p>
        </w:tc>
      </w:tr>
      <w:tr>
        <w:trPr>
          <w:trHeight w:val="243"/>
        </w:trPr>
        <w:tc>
          <w:tcPr>
            <w:tcW w:w="8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784,885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587,252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4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(32,049)</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w:t>
            </w:r>
          </w:p>
        </w:tc>
      </w:tr>
      <w:tr>
        <w:trPr>
          <w:trHeight w:val="237"/>
        </w:trPr>
        <w:tc>
          <w:tcPr>
            <w:tcW w:w="40" w:type="dxa"/>
            <w:vAlign w:val="bottom"/>
            <w:tcBorders>
              <w:top w:val="single" w:sz="8" w:color="auto"/>
            </w:tcBorders>
          </w:tcPr>
          <w:p>
            <w:pPr>
              <w:spacing w:after="0"/>
              <w:rPr>
                <w:sz w:val="20"/>
                <w:szCs w:val="20"/>
                <w:color w:val="auto"/>
              </w:rPr>
            </w:pPr>
          </w:p>
        </w:tc>
        <w:tc>
          <w:tcPr>
            <w:tcW w:w="844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859,578</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668,916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2,330,547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1,570,984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Years Ended October 31</w:t>
            </w:r>
          </w:p>
        </w:tc>
        <w:tc>
          <w:tcPr>
            <w:tcW w:w="76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1"/>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273,983</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271,939</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267,717</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(11,948)</w:t>
            </w: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(11,143)</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10,343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9,228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8,050</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69,314</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53,484</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54,679</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18,384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7,793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10,307</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step-up adjustment to acquired inventory</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39,368</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13,429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12,161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13,517</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(6,190)</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25,255</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6,357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r>
      <w:tr>
        <w:trPr>
          <w:trHeight w:val="241"/>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(10,365)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(104,832)</w:t>
            </w: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(29,770)</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9,747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(11,744)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30,458</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47,460</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59,859</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337,371</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364,805</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360,748</w:t>
            </w:r>
          </w:p>
        </w:tc>
      </w:tr>
      <w:tr>
        <w:trPr>
          <w:trHeight w:val="235"/>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(92,881)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(90,124)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(58,276)</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4,669</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12,941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(6,750)</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(697,471)</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(31,202)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r>
      <w:tr>
        <w:trPr>
          <w:trHeight w:val="235"/>
        </w:trPr>
        <w:tc>
          <w:tcPr>
            <w:tcW w:w="6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(772,942)</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(127,925)</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(83,758)</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debt arrangements</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900,000</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under debt arrangements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(511,000)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(19,757)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6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29,336</w:t>
            </w:r>
          </w:p>
        </w:tc>
        <w:tc>
          <w:tcPr>
            <w:tcW w:w="380" w:type="dxa"/>
            <w:vAlign w:val="bottom"/>
          </w:tcPr>
          <w:p>
            <w:pPr>
              <w:spacing w:after="0"/>
              <w:rPr>
                <w:sz w:val="20"/>
                <w:szCs w:val="20"/>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17,243</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10,274</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withholding taxes for stock awards</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(20,043)</w:t>
            </w: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(160,435)</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(159,354)</w:t>
            </w: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(96,133)</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(85,031)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(75,758)</w:t>
            </w:r>
          </w:p>
        </w:tc>
      </w:tr>
      <w:tr>
        <w:trPr>
          <w:trHeight w:val="235"/>
        </w:trPr>
        <w:tc>
          <w:tcPr>
            <w:tcW w:w="6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299,498</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(252,075)</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(245,268)</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15"/>
        </w:trPr>
        <w:tc>
          <w:tcPr>
            <w:tcW w:w="66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r>
      <w:tr>
        <w:trPr>
          <w:trHeight w:val="235"/>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7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(1,223)</w:t>
            </w:r>
          </w:p>
        </w:tc>
        <w:tc>
          <w:tcPr>
            <w:tcW w:w="38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w:t>
            </w:r>
          </w:p>
        </w:tc>
        <w:tc>
          <w:tcPr>
            <w:tcW w:w="3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4,979</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7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(137,296)</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(21,132)</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36,701</w:t>
            </w:r>
          </w:p>
        </w:tc>
      </w:tr>
      <w:tr>
        <w:trPr>
          <w:trHeight w:val="235"/>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7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289,124</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310,256</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273,555</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151,828</w:t>
            </w:r>
          </w:p>
        </w:tc>
        <w:tc>
          <w:tcPr>
            <w:tcW w:w="3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289,124</w:t>
            </w: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310,256</w:t>
            </w: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6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1"/>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fiscal year for:</w:t>
            </w: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
        </w:trPr>
        <w:tc>
          <w:tcPr>
            <w:tcW w:w="6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30,167</w:t>
            </w:r>
          </w:p>
        </w:tc>
        <w:tc>
          <w:tcPr>
            <w:tcW w:w="3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19,979</w:t>
            </w: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19,457</w:t>
            </w:r>
          </w:p>
        </w:tc>
      </w:tr>
      <w:tr>
        <w:trPr>
          <w:trHeight w:val="241"/>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54,738</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75,805</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97,057</w:t>
            </w:r>
          </w:p>
        </w:tc>
      </w:tr>
      <w:tr>
        <w:trPr>
          <w:trHeight w:val="29"/>
        </w:trPr>
        <w:tc>
          <w:tcPr>
            <w:tcW w:w="6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5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5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108,427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480,044</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550,035</w:t>
            </w:r>
          </w:p>
        </w:tc>
      </w:tr>
      <w:tr>
        <w:trPr>
          <w:trHeight w:val="237"/>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 - $0.70 per share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(75,758)</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(75,758)</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1,185,601 shares for stock options exercised and restricted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units vested</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8,268</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9,454</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13,517</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13,517</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of stock to a deferred compensation trust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2,730,022 shares of common stock</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(157,918)</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(160,648)</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effect adjustment ASU 2016-16</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14,316</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14,316</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267,717</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267,717</w:t>
            </w:r>
          </w:p>
        </w:tc>
      </w:tr>
      <w:tr>
        <w:trPr>
          <w:trHeight w:val="237"/>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as of October 31, 2017</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106,883</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534,329</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(24,120)</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617,092</w:t>
            </w:r>
          </w:p>
        </w:tc>
      </w:tr>
      <w:tr>
        <w:trPr>
          <w:trHeight w:val="27"/>
        </w:trPr>
        <w:tc>
          <w:tcPr>
            <w:tcW w:w="5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 - $0.80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(85,031)</w:t>
            </w:r>
          </w:p>
        </w:tc>
      </w:tr>
      <w:tr>
        <w:trPr>
          <w:trHeight w:val="225"/>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1,495,367 shares for stock options exercised and restricted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units vested</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14,310</w:t>
            </w:r>
          </w:p>
        </w:tc>
        <w:tc>
          <w:tcPr>
            <w:tcW w:w="24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12,161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12,161</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 of stock to a deferred compensation trust</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1,437</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1,437</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2,777,687 shares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(164,530)</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due to the adoption of ASU 2018-02</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271,939</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271,939</w:t>
            </w:r>
          </w:p>
        </w:tc>
      </w:tr>
      <w:tr>
        <w:trPr>
          <w:trHeight w:val="27"/>
        </w:trPr>
        <w:tc>
          <w:tcPr>
            <w:tcW w:w="5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October 31, 2018</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105,601</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587,252</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(23,937)</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668,916</w:t>
            </w:r>
          </w:p>
        </w:tc>
      </w:tr>
      <w:tr>
        <w:trPr>
          <w:trHeight w:val="237"/>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dividends paid on common stock - $0.90 per share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(96,133)</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(96,133)</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1,544,962 shares for stock options exercised and restricted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units vested</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26,387</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27,932</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13,429</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13,429</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of stock to a deferred compensation trust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403,532 shares of common stock</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transition adjustment due to the adoption of ASU 2014-09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(8,112)</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273,983</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273,983</w:t>
            </w:r>
          </w:p>
        </w:tc>
      </w:tr>
      <w:tr>
        <w:trPr>
          <w:trHeight w:val="237"/>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as of October 31, 2019</w:t>
            </w: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106,742</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784,885</w:t>
            </w: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(32,049)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859,578</w:t>
            </w:r>
          </w:p>
        </w:tc>
      </w:tr>
      <w:tr>
        <w:trPr>
          <w:trHeight w:val="27"/>
        </w:trPr>
        <w:tc>
          <w:tcPr>
            <w:tcW w:w="5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should be read in conjunction with the Notes to Consolidated Financial Statements.</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NOTES TO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THE TORO COMPANY AND SUBSIDIARIES •</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80" w:right="1300" w:hanging="545"/>
        <w:spacing w:after="0" w:line="183" w:lineRule="auto"/>
        <w:tabs>
          <w:tab w:leader="none" w:pos="580" w:val="left"/>
        </w:tabs>
        <w:numPr>
          <w:ilvl w:val="0"/>
          <w:numId w:val="57"/>
        </w:numPr>
        <w:rPr>
          <w:rFonts w:ascii="Times New Roman" w:cs="Times New Roman" w:eastAsia="Times New Roman" w:hAnsi="Times New Roman"/>
          <w:sz w:val="38"/>
          <w:szCs w:val="38"/>
          <w:b w:val="1"/>
          <w:bCs w:val="1"/>
          <w:color w:val="auto"/>
        </w:rPr>
      </w:pPr>
      <w:r>
        <w:rPr>
          <w:rFonts w:ascii="Times New Roman" w:cs="Times New Roman" w:eastAsia="Times New Roman" w:hAnsi="Times New Roman"/>
          <w:sz w:val="18"/>
          <w:szCs w:val="18"/>
          <w:b w:val="1"/>
          <w:bCs w:val="1"/>
          <w:color w:val="auto"/>
        </w:rPr>
        <w:t>Summary of Significant Accounting Policies and Related Data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Toro Company and its wholly-owned subsidiaries (the "company" or "Toro"). The company uses the equity method to account for equity investments in unconsolidated entities over which it has the ability to exercise significant influence over operating and financial policies. Consolidated net earnings include the company's share of the net earnings (losses) of these equity method investments. Equity investments in unconsolidated entities that the company does not control and for which it does not have the ability to exercise significant influence over operating and financial policies are recorded at cost, less impairment, as applicable, within the Consolidated Balance Sheets. All intercompany accounts and transactions have been eliminated from the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United States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reserves, allowance for doubtful accounts, pension and post-retirement accruals, self-insurance accruals, useful lives for tangible and definite-lived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Statements are prepared. Changes in those estimates will be reflected in the Consolidated Financial Statements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Assigning estimated fair values to the assets acquired and liabilities assumed requires the use of significant estimates, judgments, inputs, and assumptions regarding the fair value of the assets acquired and liabilities assumed. Estimated fair values of assets acquired and liabilities assumed are based on available historical information, future expectations, and assumptions determined to be reasonable but are inherently uncertain with respect to future events, including economic conditions, competition, the useful life of the acquired assets and other factors. The company may refine the estimated fair values of assets acquired and liabilities assumed, if necessary, over a period not to exceed one year from the date of acquisition by taking into consideration new information that, if known at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the acquisition through depreciation and amortization, and in certain instances through impairment charges, if the asset becomes impaired in the future. During the measurement period, any purchase price allocation changes that impact the carrying value of goodwill affects any measurement of goodwill impairment taken during the measurement period, if applicable.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 regarding the company's accounting for recent business combinations.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are stated at cost, which approximates fair value. As of October 31, 2019 and 2018, cash and cash equivalents held by the company's foreign subsidiaries were approximately $97.5 million and $104.3 million, respectively.</w:t>
      </w:r>
    </w:p>
    <w:p>
      <w:pPr>
        <w:spacing w:after="0" w:line="654"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7"/>
          <w:szCs w:val="17"/>
          <w:b w:val="1"/>
          <w:bCs w:val="1"/>
          <w:color w:val="auto"/>
        </w:rPr>
        <w:t>Receivables</w:t>
      </w:r>
      <w:r>
        <w:rPr>
          <w:sz w:val="20"/>
          <w:szCs w:val="20"/>
          <w:color w:val="auto"/>
        </w:rPr>
        <w:tab/>
      </w:r>
      <w:r>
        <w:rPr>
          <w:rFonts w:ascii="Times New Roman" w:cs="Times New Roman" w:eastAsia="Times New Roman" w:hAnsi="Times New Roman"/>
          <w:sz w:val="17"/>
          <w:szCs w:val="17"/>
          <w:b w:val="1"/>
          <w:bCs w:val="1"/>
          <w:color w:val="auto"/>
        </w:rPr>
        <w:t>Property and Depreciation</w:t>
      </w: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exposure to collection of accounts receivable is primarily reduced due to its Red Iron Acceptance, LLC ("Red Iron") joint venture with TCF Inventory Finance, Inc. ("TCFIF"), as further discussed in Note 11,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The company also has floor plan financing agreements with separate third-party financial institutions to provide inventory financing to certain dealers not financed through Red Iron, which include agreements with third-party financial institutions as a result of the company's acquisition of The Charles Machine Works, Inc. ("CMW"). For receivables not serviced through Red Iron or other third-party floor plan financing agreements, the company grants credit to customers in the normal course of business and performs on-going credit evaluations of customers. Receivables are recorded at original carrying amount less estimated allowance for doubtful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balance of allowance for doubtful accounts by analyzing the age of accounts and notes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first-in, first-out ("FIFO") method for 54.0 percent and 31.0 percent of total inventories as of October 31, 2019 and 2018, respectively. The last-in, first-out ("LIFO") and average cost methods are used for all other inventories. The company's percentage of inventories valued under the FIFO method of accounting increased as a result of the company's acquisition of CMW on April 1, 2019. During fiscal 2019 and fiscal 2018, LIFO layers were not materially reduced. Additionally,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Raw materials and work in process</w:t>
            </w: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179,967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115,280</w:t>
            </w:r>
          </w:p>
        </w:tc>
      </w:tr>
      <w:tr>
        <w:trPr>
          <w:trHeight w:val="265"/>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Finished goods and service parts</w:t>
            </w:r>
          </w:p>
        </w:tc>
        <w:tc>
          <w:tcPr>
            <w:tcW w:w="9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553,767</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315,179</w:t>
            </w:r>
          </w:p>
        </w:tc>
      </w:tr>
      <w:tr>
        <w:trPr>
          <w:trHeight w:val="269"/>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FIFO value</w:t>
            </w:r>
          </w:p>
        </w:tc>
        <w:tc>
          <w:tcPr>
            <w:tcW w:w="9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733,734</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430,459</w:t>
            </w:r>
          </w:p>
        </w:tc>
      </w:tr>
      <w:tr>
        <w:trPr>
          <w:trHeight w:val="265"/>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adjustment to LIFO value</w:t>
            </w:r>
          </w:p>
        </w:tc>
        <w:tc>
          <w:tcPr>
            <w:tcW w:w="9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82,071</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72,200</w:t>
            </w:r>
          </w:p>
        </w:tc>
      </w:tr>
      <w:tr>
        <w:trPr>
          <w:trHeight w:val="264"/>
        </w:trPr>
        <w:tc>
          <w:tcPr>
            <w:tcW w:w="28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inventories, net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651,663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358,259</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The company provides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 During the fiscal years ended October 31, 2019, 2018, and 2017, the company capitalized $1.3 million, $0.9 million, and $0.3 million of interest,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542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7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55,613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39,607</w:t>
            </w:r>
          </w:p>
        </w:tc>
      </w:tr>
      <w:tr>
        <w:trPr>
          <w:trHeight w:val="265"/>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7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276,556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209,686</w:t>
            </w:r>
          </w:p>
        </w:tc>
      </w:tr>
      <w:tr>
        <w:trPr>
          <w:trHeight w:val="27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Machinery and equipment</w:t>
            </w: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453,314</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349,550</w:t>
            </w:r>
          </w:p>
        </w:tc>
      </w:tr>
      <w:tr>
        <w:trPr>
          <w:trHeight w:val="265"/>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Tooling</w:t>
            </w:r>
          </w:p>
        </w:tc>
        <w:tc>
          <w:tcPr>
            <w:tcW w:w="7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226,870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211,756</w:t>
            </w:r>
          </w:p>
        </w:tc>
      </w:tr>
      <w:tr>
        <w:trPr>
          <w:trHeight w:val="27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94,409</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83,338</w:t>
            </w:r>
          </w:p>
        </w:tc>
      </w:tr>
      <w:tr>
        <w:trPr>
          <w:trHeight w:val="26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Construction in process</w:t>
            </w:r>
          </w:p>
        </w:tc>
        <w:tc>
          <w:tcPr>
            <w:tcW w:w="7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34,937</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35,044</w:t>
            </w:r>
          </w:p>
        </w:tc>
      </w:tr>
      <w:tr>
        <w:trPr>
          <w:trHeight w:val="26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Subtotal</w:t>
            </w: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1,141,699</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928,981</w:t>
            </w:r>
          </w:p>
        </w:tc>
      </w:tr>
      <w:tr>
        <w:trPr>
          <w:trHeight w:val="265"/>
        </w:trPr>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7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704,382</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657,522</w:t>
            </w:r>
          </w:p>
        </w:tc>
      </w:tr>
      <w:tr>
        <w:trPr>
          <w:trHeight w:val="264"/>
        </w:trPr>
        <w:tc>
          <w:tcPr>
            <w:tcW w:w="29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437,317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271,459</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years 2019, 2018, and 2017, the company recorded depreciation expense of $69.3 million, $53.5 million, and $54.7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cost of business combinations in excess of the fair values assigned to identifiable net assets acquired. Goodwill is assigned to reporting units based upon the expected benefit of the synergies of the acquisition. Goodwill and certain trade names, which are considered to have indefinite lives, are not amortized; however, the company reviews them for impairment annually during the fourth quarter of each fiscal year or more frequently if changes in circumstances or the occurrence of events indicate that the fair value may not be recoverable.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2019, the company performed its annual goodwill impairment test. In performing the annual goodwill impairment test, the company first reviewed its reporting units and determined that it has ten reporting units, which are the same as its ten operating segments. Eight reporting units contain goodwill on their respective balance sheets. Next, the company elected to bypass the qualitative assessment and move directly to the quantitative goodwill impairment analysis. In performing the quantitative goodwill impairment analysis, the company compared the</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carrying value of each reporting unit, including goodwill, to its fair value. The carrying value of each reporting unit was determined based on the amount of equity required for the reporting unit's activities, considering the specific assets and liabilities of the reporting unit. The company did not assign corporate assets and liabilities that do not relate to the operations of the reporting unit, or are not considered in determining the fair value of the reporting unit, to the reporting units. The company's estimate of the respective fair values of its reporting units was determined under the income approach, which utilized various inputs and assumptions, including projected operating results and growth rates from the company's forecasting process, applicable tax rates, and a weighted-average cost of capital rate. Where available, and as appropriate, comparable market multiples and the company's market capitalization were also utilized to corroborate the results of the discounted cash flow models under the income approach. Based on the quantitative goodwill impairment analysis, the company determined there was no impairment of goodwill during fiscal 2019 for any of its reporting units as the fair values of the reporting units exceeded their carrying values, including goodwill. Further, no impairment of goodwill was recorded during fiscal years 2018 and 2017.</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2019, the company also performed a quantitative impairment analysis for its indefinite-lived intangible assets, which consist of certain trade names. The company's estimate of the fair values of its trade names are based on a discounted cash flow model, which utilized various inputs and assumptions, including: projected revenues from the company's forecasting process; assumed royalty rates that could be payable if the company did not own the trade name; and a discount rate. Based on this quantitative impairment analysis, which was also performed in prior fiscal years, the company concluded its indefinite-lived intangible assets were not impaired during fiscal 2019, 2018, or 2017.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long-lived assets consist of property, plant, and equipment; capitalized implementation costs for hosted cloud-computing arrangements; and definite-lived intangible assets. The company's definite-lived intangible assets are identifiable assets that were acquired as a result of business combinations and primarily consist of patents, non-compete agreements, customer relationships and lists, backlog, trade names, and developed technology and are amortized on a straight-line basis over periods ranging from one to 20 years.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measured using a discounted cash flow model or independent appraisals,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appropriate. Based on the company's impairment analysis for other long-lived assets, the company did not have any impairment losses for fiscal 2019, 2018 and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other long-lived assets to be abandoned, the company tests for potential impairment. If the company commits to a plan to abandon or dispose of an other long-lived asset before the end of its previously estimated useful life, depreciation or amortization estimates are revised.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service agreement with a third-party financial institution to provide a web-based platform that facilitates participating suppliers' ability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arrangement. As of October 31, 2019 and 2018, $46.7 million and $33.0 million, respectively, of the company's outstanding payment obligations had been placed on the accounts payable web-based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net earnings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w:t>
      </w:r>
    </w:p>
    <w:p>
      <w:pPr>
        <w:sectPr>
          <w:pgSz w:w="11900" w:h="16838" w:orient="portrait"/>
          <w:cols w:equalWidth="0" w:num="3">
            <w:col w:w="5600" w:space="20"/>
            <w:col w:w="180" w:space="20"/>
            <w:col w:w="560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76,214</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74,155</w:t>
            </w:r>
          </w:p>
        </w:tc>
      </w:tr>
      <w:tr>
        <w:trPr>
          <w:trHeight w:val="265"/>
        </w:trPr>
        <w:tc>
          <w:tcPr>
            <w:tcW w:w="2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Warranty provisions</w:t>
            </w: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57,277</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49,160</w:t>
            </w:r>
          </w:p>
        </w:tc>
      </w:tr>
      <w:tr>
        <w:trPr>
          <w:trHeight w:val="275"/>
        </w:trPr>
        <w:tc>
          <w:tcPr>
            <w:tcW w:w="2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Acquisitions</w:t>
            </w:r>
          </w:p>
        </w:tc>
        <w:tc>
          <w:tcPr>
            <w:tcW w:w="9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18,418</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2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Warranty claims</w:t>
            </w:r>
          </w:p>
        </w:tc>
        <w:tc>
          <w:tcPr>
            <w:tcW w:w="9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(58,878)</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currencies are included in other income, net in the Consolidated Statements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future taxable income, future reversals of existing taxable temporary differences, and carryback to taxable income in prior years.</w:t>
      </w:r>
    </w:p>
    <w:p>
      <w:pPr>
        <w:spacing w:after="0" w:line="2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estimates</w:t>
            </w:r>
          </w:p>
        </w:tc>
        <w:tc>
          <w:tcPr>
            <w:tcW w:w="1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3,573</w:t>
            </w: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r>
      <w:tr>
        <w:trPr>
          <w:trHeight w:val="264"/>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Ending balance</w:t>
            </w:r>
          </w:p>
        </w:tc>
        <w:tc>
          <w:tcPr>
            <w:tcW w:w="14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96,604</w:t>
            </w:r>
          </w:p>
        </w:tc>
        <w:tc>
          <w:tcPr>
            <w:tcW w:w="4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76,214</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Derivative instruments, consisting primarily of forward currency contracts, are used to hedge most foreign currency transactions, including forecasted sales and purchases denominated in foreign currencies. All derivative instruments are recognized on the Consolidated Balance Sheets at fair value as either assets or liabilities. If the derivative instrument is designated as a cash flow hedging instrument, changes in the fair values of the spot rate component of outstanding, highly effective cash flow hedging instruments included in the assessment of hedge effectiveness are recorded in other comprehensive income within accumulated other comprehensive loss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Derivatives that are not designated as cash flow hedging instruments are adjusted to fair value through other income, net, on the Consolidated Statements of Earnings.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within the Consolidated Statements of Comprehensive Income and the Consolidated Statements of Stockholders' Equity. Gains or losses resulting from transactions denominated in foreign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to be realized. Changes in recognition or measurement are reflected in the period in which the change in judgment occurs. The company also records interest and penalties related to unrecognized tax benefits within income tax expense.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The company's primary source of revenue is generated through the sale of equipment and irrigation products and services to its customers, which primarily consist of a worldwide network of distributors, dealers, mass retailers, hardware retailers, home centers, as well as online (direct to end-users). 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variable consideration, consisting primarily of expected product returns, rebates, floor plan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2">
            <w:col w:w="5600" w:space="20"/>
            <w:col w:w="5800"/>
          </w:cols>
          <w:pgMar w:left="240" w:top="121"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company ships some of its products to a key retailer's distribution centers on a consignment basis. The company retains control of its products stored at the distribution centers. As the company's products are removed from the distribution centers by the key retailer and shipped to the key retailer's stores, control is transferred from the company to the key retailer. At that time, the company invoices the key retailer and recognizes revenue for these consignment transactions. The company does not offer a right of return for products shipped to the key retailer's stores from the distribution centers. The value of consignment inventory as of October 31, 2019 and 2018 was $19.9 million and $22.7 million, respectively.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Promotions and Incentives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time of sale, the company records an estimate for sales promotion and incentive costs. The company's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 or as a component of selling, general and administrative expense, depending on the nature of the respective program.</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in which the related expense is classified as a reduction from gross sales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program. The amount of the rebate varies based on the specific program and is either a dollar amount or a percentage of the purchase price and can also be based on actual retail price as compared to the company's selling price.</w:t>
      </w:r>
    </w:p>
    <w:p>
      <w:pPr>
        <w:spacing w:after="0" w:line="3" w:lineRule="exact"/>
        <w:rPr>
          <w:sz w:val="20"/>
          <w:szCs w:val="20"/>
          <w:color w:val="auto"/>
        </w:rPr>
      </w:pPr>
    </w:p>
    <w:p>
      <w:pPr>
        <w:jc w:val="both"/>
        <w:ind w:left="340" w:hanging="332"/>
        <w:spacing w:after="0" w:line="250"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Discounts: </w:t>
      </w:r>
      <w:r>
        <w:rPr>
          <w:rFonts w:ascii="Times New Roman" w:cs="Times New Roman" w:eastAsia="Times New Roman" w:hAnsi="Times New Roman"/>
          <w:sz w:val="18"/>
          <w:szCs w:val="18"/>
          <w:color w:val="auto"/>
        </w:rPr>
        <w:t>The company's costs for incentive discount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are based on its customers’ purchase or retail sales goals of certain quantities or mixes of product during a specified time period, which are tracked on an annual or quarterly basis depending on the program.</w:t>
      </w:r>
    </w:p>
    <w:p>
      <w:pPr>
        <w:spacing w:after="0" w:line="2" w:lineRule="exact"/>
        <w:rPr>
          <w:rFonts w:ascii="Times New Roman" w:cs="Times New Roman" w:eastAsia="Times New Roman" w:hAnsi="Times New Roman"/>
          <w:sz w:val="18"/>
          <w:szCs w:val="18"/>
          <w:b w:val="1"/>
          <w:bCs w:val="1"/>
          <w:color w:val="auto"/>
        </w:rPr>
      </w:pPr>
    </w:p>
    <w:p>
      <w:pPr>
        <w:jc w:val="both"/>
        <w:ind w:left="340" w:hanging="332"/>
        <w:spacing w:after="0" w:line="250"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Programs: </w:t>
      </w:r>
      <w:r>
        <w:rPr>
          <w:rFonts w:ascii="Times New Roman" w:cs="Times New Roman" w:eastAsia="Times New Roman" w:hAnsi="Times New Roman"/>
          <w:sz w:val="18"/>
          <w:szCs w:val="18"/>
          <w:color w:val="auto"/>
        </w:rPr>
        <w:t>The company's financing programs,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wholesale floor plan financing and end-user retail financing. Costs incurred for wholesale floor plan financing programs represent financing costs associated with programs under which the company pays a portion of the interest cost to finance distributor and dealer inventories through third-party financing arrangements for a specific period of time. End-user retail financing is similar to floor planning with the difference being that retail financing programs are offered to end-user customers under which the company pays a portion of interest costs on behalf of end-users for financing purchases of the company's equipment.</w:t>
      </w:r>
    </w:p>
    <w:p>
      <w:pPr>
        <w:spacing w:after="0" w:line="4"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Commissions Paid to Service Home Centers: </w:t>
      </w:r>
      <w:r>
        <w:rPr>
          <w:rFonts w:ascii="Times New Roman" w:cs="Times New Roman" w:eastAsia="Times New Roman" w:hAnsi="Times New Roman"/>
          <w:sz w:val="18"/>
          <w:szCs w:val="18"/>
          <w:color w:val="auto"/>
        </w:rPr>
        <w:t>The company pays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to representative agencies to service home center customers to ensure appropriate store sets for all Toro product. This estimated expense is recorded at point of sale. In addition, Toro dealers are paid a commission to set up and deliver riding product purchased at certain home centers.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Examples of significant sales promotions and incentive programs in which the related expense is classified as a component of selling, general, and administrative expense are as follows:</w:t>
      </w:r>
    </w:p>
    <w:p>
      <w:pPr>
        <w:spacing w:after="0" w:line="64" w:lineRule="exact"/>
        <w:rPr>
          <w:sz w:val="20"/>
          <w:szCs w:val="20"/>
          <w:color w:val="auto"/>
        </w:rPr>
      </w:pPr>
    </w:p>
    <w:p>
      <w:pPr>
        <w:jc w:val="both"/>
        <w:ind w:left="340" w:hanging="332"/>
        <w:spacing w:after="0" w:line="253" w:lineRule="auto"/>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Commissions Paid to Distributors and Dealers: </w:t>
      </w:r>
      <w:r>
        <w:rPr>
          <w:rFonts w:ascii="Times New Roman" w:cs="Times New Roman" w:eastAsia="Times New Roman" w:hAnsi="Times New Roman"/>
          <w:sz w:val="18"/>
          <w:szCs w:val="18"/>
          <w:color w:val="auto"/>
        </w:rPr>
        <w:t>For certain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uses a distribution network of dealers and distributors that purchase and take possession of products for sale to the end customer. In addition, the company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w:t>
      </w:r>
    </w:p>
    <w:p>
      <w:pPr>
        <w:spacing w:after="0" w:line="1"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Cooperative Advertising: </w:t>
      </w:r>
      <w:r>
        <w:rPr>
          <w:rFonts w:ascii="Times New Roman" w:cs="Times New Roman" w:eastAsia="Times New Roman" w:hAnsi="Times New Roman"/>
          <w:sz w:val="18"/>
          <w:szCs w:val="18"/>
          <w:color w:val="auto"/>
        </w:rPr>
        <w:t>Cooperative advertising programs are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advertising costs incurred by distributors and 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third-party invoices or receipts.</w:t>
      </w:r>
    </w:p>
    <w:p>
      <w:pPr>
        <w:spacing w:after="0" w:line="401"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jc w:val="both"/>
        <w:ind w:left="340" w:right="5840" w:hanging="332"/>
        <w:spacing w:after="0" w:line="259" w:lineRule="auto"/>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Off-Invoice Discounts: </w:t>
      </w:r>
      <w:r>
        <w:rPr>
          <w:rFonts w:ascii="Times New Roman" w:cs="Times New Roman" w:eastAsia="Times New Roman" w:hAnsi="Times New Roman"/>
          <w:sz w:val="18"/>
          <w:szCs w:val="18"/>
          <w:color w:val="auto"/>
        </w:rPr>
        <w:t>The company's costs for off-invoice discounts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a reduction in the selling price of its products given at the time of sale.</w:t>
      </w:r>
    </w:p>
    <w:p>
      <w:pPr>
        <w:jc w:val="both"/>
        <w:ind w:left="340" w:right="5820" w:hanging="332"/>
        <w:spacing w:after="0" w:line="255" w:lineRule="auto"/>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Rebate Programs: </w:t>
      </w:r>
      <w:r>
        <w:rPr>
          <w:rFonts w:ascii="Times New Roman" w:cs="Times New Roman" w:eastAsia="Times New Roman" w:hAnsi="Times New Roman"/>
          <w:sz w:val="18"/>
          <w:szCs w:val="18"/>
          <w:color w:val="auto"/>
        </w:rPr>
        <w:t>The company's rebate programs are generally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claims submitted from either its direct customers or end-users of its products, depending upon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Cost of Sales</w:t>
      </w:r>
      <w:r>
        <w:rPr>
          <w:sz w:val="20"/>
          <w:szCs w:val="20"/>
          <w:color w:val="auto"/>
        </w:rPr>
        <w:tab/>
      </w:r>
      <w:r>
        <w:rPr>
          <w:rFonts w:ascii="Times New Roman" w:cs="Times New Roman" w:eastAsia="Times New Roman" w:hAnsi="Times New Roman"/>
          <w:sz w:val="18"/>
          <w:szCs w:val="18"/>
          <w:b w:val="1"/>
          <w:bCs w:val="1"/>
          <w:color w:val="auto"/>
        </w:rPr>
        <w:t>Engineering and Research</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sales is primarily comprised of direct materials and supplies consumed to manufacture the company's products, as well as manufacturing labor and direct overhead expense necessary to convert direct materials and supplies into finished product. Cost of sales also includes inbound freight costs for direct materials and supplies, outbound freight costs for shipping products to customers, obsolescence expense, cost of services provided, and cash discounts on payments to vendors.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engineering and research costs are expensed as incurred and are primarily incurred in connection with the development of new products that may have additional applications or represent extensions of existing product lines, improvements to existing products, and cost reduction efforts. Costs incurred for engineering and research activities were $109.1 million, $83.5 million, and $80.4 million for the fiscal years ended October 31, 2019, 2018, and 2017, respectively.</w:t>
      </w:r>
    </w:p>
    <w:p>
      <w:pPr>
        <w:spacing w:after="0" w:line="185"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Selling, General and Administrative Expense</w:t>
      </w:r>
      <w:r>
        <w:rPr>
          <w:sz w:val="20"/>
          <w:szCs w:val="20"/>
          <w:color w:val="auto"/>
        </w:rPr>
        <w:tab/>
      </w:r>
      <w:r>
        <w:rPr>
          <w:rFonts w:ascii="Times New Roman" w:cs="Times New Roman" w:eastAsia="Times New Roman" w:hAnsi="Times New Roman"/>
          <w:sz w:val="18"/>
          <w:szCs w:val="18"/>
          <w:b w:val="1"/>
          <w:bCs w:val="1"/>
          <w:color w:val="auto"/>
        </w:rPr>
        <w:t>Stock-Based Compensation</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payroll and benefits costs, occupancy and operating costs of distribution and corporate facilities, warranty expense, depreciation and amortization expense on non-manufacturing tangible and intangible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Financing Distributor and Dealer Inventory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 Iron and separate third-party financial institutions provide inventory financing for certain distributors and dealers of the company. These financing arrangements are used by the company to assist customers in financing inventory and are structured as an advance in the form of a payment by Red Iron or the separate third-party financial institution to the company on behalf of a distributor or dealer with respect to invoices financed by Red Iron or the separate third-party financial institution. These payments extinguish the obligation of the dealer or distributor to make payment to the company under the terms of the applicable invoice.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Included as a reduction to gross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Red Iron or the a separate third-party financial institution to finance distributor and dealer inventory purchases. The financing costs for distributor and dealer inventories were $44.5 million, $37.1 million, and $30.1 million for the fiscal years ended October 31, 2019, 2018 and 2017,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$43.5 million, $46.4 million, and $43.0 million for the fiscal years ended October 31, 2019, 2018, and 2017, respectively.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and restricted stock units. Generally, compensation expense equal to the grant date fair value is recognized for these awards over the vesting period and is classified in selling, general and administrative expense. Stock options granted to executive officers and other employees are subject to accelerated expensing if the option holder meets the retirement definition set forth in The Toro Company Amended and Restated 2010 Equity and Incentive Plan, as amended and restated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3222"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28"/>
        </w:trPr>
        <w:tc>
          <w:tcPr>
            <w:tcW w:w="3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60" w:type="dxa"/>
            <w:vAlign w:val="bottom"/>
            <w:gridSpan w:val="4"/>
          </w:tcPr>
          <w:p>
            <w:pPr>
              <w:ind w:left="40"/>
              <w:spacing w:after="0" w:line="153" w:lineRule="exact"/>
              <w:rPr>
                <w:sz w:val="20"/>
                <w:szCs w:val="20"/>
                <w:color w:val="auto"/>
              </w:rPr>
            </w:pPr>
            <w:r>
              <w:rPr>
                <w:rFonts w:ascii="Times New Roman" w:cs="Times New Roman" w:eastAsia="Times New Roman" w:hAnsi="Times New Roman"/>
                <w:sz w:val="14"/>
                <w:szCs w:val="14"/>
                <w:color w:val="auto"/>
              </w:rPr>
              <w:t>Weighted-average number of shares of common</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106,762</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106,356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108,299</w:t>
            </w:r>
          </w:p>
        </w:tc>
        <w:tc>
          <w:tcPr>
            <w:tcW w:w="0" w:type="dxa"/>
            <w:vAlign w:val="bottom"/>
          </w:tcPr>
          <w:p>
            <w:pPr>
              <w:spacing w:after="0"/>
              <w:rPr>
                <w:sz w:val="1"/>
                <w:szCs w:val="1"/>
                <w:color w:val="auto"/>
              </w:rPr>
            </w:pPr>
          </w:p>
        </w:tc>
      </w:tr>
      <w:tr>
        <w:trPr>
          <w:trHeight w:val="193"/>
        </w:trPr>
        <w:tc>
          <w:tcPr>
            <w:tcW w:w="30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Assumed issuance of contingent shares</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1"/>
        </w:trPr>
        <w:tc>
          <w:tcPr>
            <w:tcW w:w="306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rPr>
              <w:t>Weighted-average number of shares of common</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106,773</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106,369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108,312</w:t>
            </w:r>
          </w:p>
        </w:tc>
        <w:tc>
          <w:tcPr>
            <w:tcW w:w="0" w:type="dxa"/>
            <w:vAlign w:val="bottom"/>
          </w:tcPr>
          <w:p>
            <w:pPr>
              <w:spacing w:after="0"/>
              <w:rPr>
                <w:sz w:val="1"/>
                <w:szCs w:val="1"/>
                <w:color w:val="auto"/>
              </w:rPr>
            </w:pPr>
          </w:p>
        </w:tc>
      </w:tr>
      <w:tr>
        <w:trPr>
          <w:trHeight w:val="193"/>
        </w:trPr>
        <w:tc>
          <w:tcPr>
            <w:tcW w:w="3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stock and assumed issuance of contingent shares</w:t>
            </w:r>
          </w:p>
        </w:tc>
        <w:tc>
          <w:tcPr>
            <w:tcW w:w="9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w:t>
            </w:r>
          </w:p>
        </w:tc>
        <w:tc>
          <w:tcPr>
            <w:tcW w:w="9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060" w:type="dxa"/>
            <w:vAlign w:val="bottom"/>
            <w:gridSpan w:val="4"/>
          </w:tcPr>
          <w:p>
            <w:pPr>
              <w:ind w:left="40"/>
              <w:spacing w:after="0" w:line="147" w:lineRule="exact"/>
              <w:rPr>
                <w:sz w:val="20"/>
                <w:szCs w:val="20"/>
                <w:color w:val="auto"/>
              </w:rPr>
            </w:pPr>
            <w:r>
              <w:rPr>
                <w:rFonts w:ascii="Times New Roman" w:cs="Times New Roman" w:eastAsia="Times New Roman" w:hAnsi="Times New Roman"/>
                <w:sz w:val="14"/>
                <w:szCs w:val="14"/>
                <w:color w:val="auto"/>
              </w:rPr>
              <w:t>Weighted-average number of shares of common</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106,773</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106,369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108,312</w:t>
            </w:r>
          </w:p>
        </w:tc>
        <w:tc>
          <w:tcPr>
            <w:tcW w:w="0" w:type="dxa"/>
            <w:vAlign w:val="bottom"/>
          </w:tcPr>
          <w:p>
            <w:pPr>
              <w:spacing w:after="0"/>
              <w:rPr>
                <w:sz w:val="1"/>
                <w:szCs w:val="1"/>
                <w:color w:val="auto"/>
              </w:rPr>
            </w:pPr>
          </w:p>
        </w:tc>
      </w:tr>
      <w:tr>
        <w:trPr>
          <w:trHeight w:val="193"/>
        </w:trPr>
        <w:tc>
          <w:tcPr>
            <w:tcW w:w="30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stock and assumed issuance of contingent shares</w:t>
            </w:r>
          </w:p>
        </w:tc>
        <w:tc>
          <w:tcPr>
            <w:tcW w:w="9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6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1,317</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2,288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0" w:type="dxa"/>
            <w:vAlign w:val="bottom"/>
          </w:tcPr>
          <w:p>
            <w:pPr>
              <w:spacing w:after="0"/>
              <w:rPr>
                <w:sz w:val="1"/>
                <w:szCs w:val="1"/>
                <w:color w:val="auto"/>
              </w:rPr>
            </w:pPr>
          </w:p>
        </w:tc>
      </w:tr>
      <w:tr>
        <w:trPr>
          <w:trHeight w:val="151"/>
        </w:trPr>
        <w:tc>
          <w:tcPr>
            <w:tcW w:w="306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rPr>
              <w:t>Weighted-average number of shares of common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assumed issuance of contingent shares,</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108,090</w:t>
            </w:r>
          </w:p>
        </w:tc>
        <w:tc>
          <w:tcPr>
            <w:tcW w:w="8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108,657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111,252</w:t>
            </w:r>
          </w:p>
        </w:tc>
        <w:tc>
          <w:tcPr>
            <w:tcW w:w="0" w:type="dxa"/>
            <w:vAlign w:val="bottom"/>
          </w:tcPr>
          <w:p>
            <w:pPr>
              <w:spacing w:after="0"/>
              <w:rPr>
                <w:sz w:val="1"/>
                <w:szCs w:val="1"/>
                <w:color w:val="auto"/>
              </w:rPr>
            </w:pPr>
          </w:p>
        </w:tc>
      </w:tr>
      <w:tr>
        <w:trPr>
          <w:trHeight w:val="193"/>
        </w:trPr>
        <w:tc>
          <w:tcPr>
            <w:tcW w:w="3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color w:val="auto"/>
              </w:rPr>
              <w:t>and effect of dilutive securities</w:t>
            </w:r>
          </w:p>
        </w:tc>
        <w:tc>
          <w:tcPr>
            <w:tcW w:w="9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shares from options and restricted stock units are computed by the treasury stock method. Options for the purchase of 716,343, 424,089, and 353,897 shares of common stock during fiscal 2019, 2018, and 2017, respectively, were excluded from the computation of diluted net earnings per share because they were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Adopted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Updates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that updates the principles for recognizing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The core principle of the guidance is 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deferred the effective date of this standard by one year. The company adopted ASU 2014-09 effective November 1, 2018, during the first quarter of fiscal 2019, using the modified retrospective method of adoption, which was applied to all contracts for which the company's performance obligations were not completed as of October 31, 2018. In adopting ASU 2014-09, the company elected the following allowable exemptions or practical expedients:</w:t>
      </w:r>
    </w:p>
    <w:p>
      <w:pPr>
        <w:spacing w:after="0" w:line="86" w:lineRule="exact"/>
        <w:rPr>
          <w:sz w:val="20"/>
          <w:szCs w:val="20"/>
          <w:color w:val="auto"/>
        </w:rPr>
      </w:pPr>
    </w:p>
    <w:p>
      <w:pPr>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approach practical expedient relative to the estimation of variable consideration.</w:t>
      </w:r>
    </w:p>
    <w:p>
      <w:pPr>
        <w:jc w:val="both"/>
        <w:ind w:left="340" w:hanging="332"/>
        <w:spacing w:after="0" w:line="25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practical expedient to account for shipping and handling activities that occur after control of the related good transfers as fulfillment activities.</w:t>
      </w:r>
    </w:p>
    <w:p>
      <w:pPr>
        <w:spacing w:after="0" w:line="1"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 contract practical expedient to recognize the incremental costs of obtaining a contract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 expense when incurred if the amortization period of the asset is one year or less.</w:t>
      </w:r>
    </w:p>
    <w:p>
      <w:pPr>
        <w:jc w:val="both"/>
        <w:ind w:left="540" w:hanging="332"/>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Immaterial goods or services practical expedient to not assess whether promised goods or services are performance obligations if they are immaterial in the context of the contract with the customer.</w:t>
      </w:r>
    </w:p>
    <w:p>
      <w:pPr>
        <w:spacing w:after="0" w:line="1" w:lineRule="exact"/>
        <w:rPr>
          <w:rFonts w:ascii="Times New Roman" w:cs="Times New Roman" w:eastAsia="Times New Roman" w:hAnsi="Times New Roman"/>
          <w:sz w:val="18"/>
          <w:szCs w:val="18"/>
          <w:color w:val="auto"/>
        </w:rPr>
      </w:pPr>
    </w:p>
    <w:p>
      <w:pPr>
        <w:ind w:left="540" w:right="20" w:hanging="332"/>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taxes practical expedient to exclude sales taxes and other similar taxes from the transaction price.</w:t>
      </w:r>
    </w:p>
    <w:p>
      <w:pPr>
        <w:ind w:left="540" w:right="20" w:hanging="332"/>
        <w:spacing w:after="0" w:line="261"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to not disclose the unfulfilled performance obligation balance for contracts with an original length of one year or less.</w:t>
      </w:r>
    </w:p>
    <w:p>
      <w:pPr>
        <w:spacing w:after="0" w:line="72" w:lineRule="exact"/>
        <w:rPr>
          <w:sz w:val="20"/>
          <w:szCs w:val="20"/>
          <w:color w:val="auto"/>
        </w:rPr>
      </w:pPr>
    </w:p>
    <w:p>
      <w:pPr>
        <w:jc w:val="both"/>
        <w:ind w:left="200"/>
        <w:spacing w:after="0" w:line="252" w:lineRule="auto"/>
        <w:rPr>
          <w:sz w:val="20"/>
          <w:szCs w:val="20"/>
          <w:color w:val="auto"/>
        </w:rPr>
      </w:pPr>
      <w:r>
        <w:rPr>
          <w:rFonts w:ascii="Times New Roman" w:cs="Times New Roman" w:eastAsia="Times New Roman" w:hAnsi="Times New Roman"/>
          <w:sz w:val="18"/>
          <w:szCs w:val="18"/>
          <w:color w:val="auto"/>
        </w:rPr>
        <w:t xml:space="preserve">Upon adoption of ASU 2014-09, the company recognized an immaterial transition adjustment within the company's fiscal 2019 beginning retained earnings balance on the Consolidated Balance Sheets for the cumulative effect of the change in accounting standard. Results for reporting periods beginning after November 1, 2018 are presented under the guidelines of Accounting Standards Codification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while prior reporting period amounts have not been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continue to be reported under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The adoption of ASU 2014-09 did not materially impact the amount of revenue recognized or any other financial statement line item as of and for the fiscal year ended October 31, 2019. Additionally, the company identified and implemented the appropriate changes to its business processes, information systems, and internal controls to support the preparation of financial information, which did not materially affect the company's internal controls over financial reporting.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 for the additional disclosures required under ASC 606.</w:t>
      </w:r>
    </w:p>
    <w:p>
      <w:pPr>
        <w:spacing w:after="0" w:line="194" w:lineRule="exact"/>
        <w:rPr>
          <w:sz w:val="20"/>
          <w:szCs w:val="20"/>
          <w:color w:val="auto"/>
        </w:rPr>
      </w:pPr>
    </w:p>
    <w:p>
      <w:pPr>
        <w:jc w:val="both"/>
        <w:ind w:left="200"/>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 (Topic 715)</w:t>
      </w:r>
      <w:r>
        <w:rPr>
          <w:rFonts w:ascii="Times New Roman" w:cs="Times New Roman" w:eastAsia="Times New Roman" w:hAnsi="Times New Roman"/>
          <w:sz w:val="18"/>
          <w:szCs w:val="18"/>
          <w:color w:val="auto"/>
        </w:rPr>
        <w:t>, which requires entities to disaggregate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separately the current service cost component from the other components of net periodic benefit cost within the income statement. The amended guidance was adopted in the first quarter of fiscal 2019 and did not have a material impact on the company's Consolidated Financial Statements.</w:t>
      </w:r>
    </w:p>
    <w:p>
      <w:pPr>
        <w:spacing w:after="0" w:line="183"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Scope of Modification Accounting</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guidance on the types of changes to the terms or conditions of share-based payment awards to which an entity would be required to apply modification accounting under Topic 718. The amended guidance was adopted in the first quarter of fiscal 2019 and did not have a material impact on the company's Consolidated Financial Statements.</w:t>
      </w:r>
    </w:p>
    <w:p>
      <w:pPr>
        <w:spacing w:after="0" w:line="183"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 xml:space="preserve">In July 2019, the FASB issued ASU No. 2019-07, </w:t>
      </w:r>
      <w:r>
        <w:rPr>
          <w:rFonts w:ascii="Times New Roman" w:cs="Times New Roman" w:eastAsia="Times New Roman" w:hAnsi="Times New Roman"/>
          <w:sz w:val="18"/>
          <w:szCs w:val="18"/>
          <w:i w:val="1"/>
          <w:iCs w:val="1"/>
          <w:color w:val="auto"/>
        </w:rPr>
        <w:t>Codification Updates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 Sections - Amendments to SEC Paragraphs Pursuant to SEC Final Rule Releases No. 33-10532, Disclosure Update and Simplification, and Nos. 33-10231 and 33-10442, Investment Company Reporting Modernization, and Miscellaneous Updates</w:t>
      </w:r>
      <w:r>
        <w:rPr>
          <w:rFonts w:ascii="Times New Roman" w:cs="Times New Roman" w:eastAsia="Times New Roman" w:hAnsi="Times New Roman"/>
          <w:sz w:val="18"/>
          <w:szCs w:val="18"/>
          <w:color w:val="auto"/>
        </w:rPr>
        <w:t>, which aligns the guidance in various SEC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FASB ASC with the requirements of certain already effective SEC final rules. ASU 2019-07 was effective immediately during the company's third quarter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2">
            <w:col w:w="5600" w:space="20"/>
            <w:col w:w="580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among other things, requires lessees to recognize most leases on-balance sheet. The standard requires the recognition of right-of-use assets ("ROU assets") and lease liabilities by lessees for those leases classified as operating leases under previous U.S. GAAP. The standard also requires a greater level of quantitative and qualitative disclosures regarding the nature of the entity’s leasing activities than were previously required under U.S. GAAP. In January 2018, the FASB issued ASU No. 2018-01, </w:t>
      </w:r>
      <w:r>
        <w:rPr>
          <w:rFonts w:ascii="Times New Roman" w:cs="Times New Roman" w:eastAsia="Times New Roman" w:hAnsi="Times New Roman"/>
          <w:sz w:val="18"/>
          <w:szCs w:val="18"/>
          <w:i w:val="1"/>
          <w:iCs w:val="1"/>
          <w:color w:val="auto"/>
        </w:rPr>
        <w:t>Leases (Topic 842): 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Easement Practical Expedient for Transition to Topic 842</w:t>
      </w:r>
      <w:r>
        <w:rPr>
          <w:rFonts w:ascii="Times New Roman" w:cs="Times New Roman" w:eastAsia="Times New Roman" w:hAnsi="Times New Roman"/>
          <w:sz w:val="18"/>
          <w:szCs w:val="18"/>
          <w:color w:val="auto"/>
        </w:rPr>
        <w:t>, which provides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optional transition practical expedient to not evaluate existing or expired land easements under the amended lease guidance.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which provides narrow amendments to clarify how to apply certain aspects of the new lease standard. Additionally, in July 2018,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which provides an alternative 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No. 2016-02, as augmented by ASU No. 2018-01, ASU No. 2018-10, and ASU No. 2018-11 (the "amended guidance"), will become effective for the company in the first quarter of fiscal 2020.</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identify and evaluate the impact of the amended guidance on the company's Consolidated Financial Statements, Notes to Consolidated Financial Statements, business processes, internal controls, and information systems, the company established a cross-functional project management team. This cross-functional project management team is tasked with evaluating the potential implications of the amended guidance, including compiling and analyzing existing explicit lease agreements, reviewing contractual agreements for embedded leases, determining the discount rate to be used in valuing ROU assets and lease liabilities under new and existing leases, and assessing the changes to the company's accounting policies, business processes, internal controls, and information systems that may be necessary to comply with the provisions and all applicable financial statement disclosures required by the amended guidance. As of October 31, 2019, the company's cross-functional project management team has completed its evaluation process, whereby it has compiled and analyzed existing explicit lease agreements; reviewed contractual agreements for embedded leases; completed its assessment of the company's business and system requirements; selected and implemented the company's third-party lease accounting software solution; developed the company's business process for determining the discount rate to be utilized in valuing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and lease liabilities for the company's operating leases; evaluated the impact of the amended guidance on the company's accounting policies, business processes and procedures, and information systems; designed internal controls regarding the completeness and accuracy of the company's lease population and, where applicable, reviewed new or amended contractual agreements for leases, including embedded leases, through the adoption date of the amended guidance.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will adopt the amended guidance on November 1, 2019, the first quarter of fiscal 2020, under the alternative cumulative effect transition method. The company will elect the transition package of practical expedients permitted within the amended guidance, which among other things, allows the company to carryforward the historical lease classification determined under previous U.S. GAAP. Additionally, the company will elect the transition practical expedient to not reassess the company's accounting for land easements that exist as of the adoption of the amended guidance. The company will also make an accounting policy election that will keep leases with an initial term of 12 months or less off of its Consolidated Balance Sheets, which will result in recognizing those lease payments in its Consolidated Statements of Earnings on a straight-line basis over the lease term. The company will not elect the practical expedient to use hindsight in determining the lease term and in assessing impairment of right-of-use assets.</w:t>
      </w: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adoption, the company estimates it will recognize $77.1 million of ROU assets and $76.0 million of corresponding lease liabilities within its Consolidated Balance Sheets related to the company's operating lease agreements that convey our right to direct the use of, and obtain substantially all of the economic benefits from, the identified asset for a defined period of time in exchange for consideration. Changes in the company's lease population may impact these estimated amounts. Based on the results of the company's evaluation process, the company believes the adoption of the amended guidance will have a material impact on its Consolidated Balance Sheets and Notes to Consolidated Financial Statements. However, the company does not believe the adoption of the amended guidance will have a material impact on its Consolidated Statements of Earnings, Consolidated Statements of Cash Flows, business processes, internal controls, and information systems.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2016-03,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which modifies the measurement approach for credit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will affect trade receivables, off-balance-sheet</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credit exposures, and any other financial assets not excluded from the scope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43"/>
                <w:szCs w:val="43"/>
                <w:b w:val="1"/>
                <w:bCs w:val="1"/>
                <w:color w:val="auto"/>
              </w:rPr>
              <w:t>2</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of this amendment that have the contractual right to receive cash. The</w:t>
            </w:r>
          </w:p>
        </w:tc>
        <w:tc>
          <w:tcPr>
            <w:tcW w:w="520" w:type="dxa"/>
            <w:vAlign w:val="bottom"/>
            <w:vMerge w:val="continue"/>
          </w:tcPr>
          <w:p>
            <w:pPr>
              <w:spacing w:after="0"/>
              <w:rPr>
                <w:sz w:val="18"/>
                <w:szCs w:val="18"/>
                <w:color w:val="auto"/>
              </w:rPr>
            </w:pPr>
          </w:p>
        </w:tc>
        <w:tc>
          <w:tcPr>
            <w:tcW w:w="21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Business Combinations</w:t>
            </w:r>
          </w:p>
        </w:tc>
        <w:tc>
          <w:tcPr>
            <w:tcW w:w="0" w:type="dxa"/>
            <w:vAlign w:val="bottom"/>
          </w:tcPr>
          <w:p>
            <w:pPr>
              <w:spacing w:after="0"/>
              <w:rPr>
                <w:sz w:val="1"/>
                <w:szCs w:val="1"/>
                <w:color w:val="auto"/>
              </w:rPr>
            </w:pPr>
          </w:p>
        </w:tc>
      </w:tr>
      <w:tr>
        <w:trPr>
          <w:trHeight w:val="23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amended guidance will become effective in the first quarter of fiscal 2021.</w:t>
            </w:r>
          </w:p>
        </w:tc>
        <w:tc>
          <w:tcPr>
            <w:tcW w:w="520" w:type="dxa"/>
            <w:vAlign w:val="bottom"/>
            <w:vMerge w:val="continue"/>
          </w:tcPr>
          <w:p>
            <w:pPr>
              <w:spacing w:after="0"/>
              <w:rPr>
                <w:sz w:val="20"/>
                <w:szCs w:val="20"/>
                <w:color w:val="auto"/>
              </w:rPr>
            </w:pPr>
          </w:p>
        </w:tc>
        <w:tc>
          <w:tcPr>
            <w:tcW w:w="2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this new standard on 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Nonemployee Share-Based Payment Accounting</w:t>
      </w:r>
      <w:r>
        <w:rPr>
          <w:rFonts w:ascii="Times New Roman" w:cs="Times New Roman" w:eastAsia="Times New Roman" w:hAnsi="Times New Roman"/>
          <w:sz w:val="18"/>
          <w:szCs w:val="18"/>
          <w:color w:val="auto"/>
        </w:rPr>
        <w:t>, which expands the scope of ASC Topic 718 to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payments granted to nonemployees in exchange for goods or services used or consumed in an entity's own operations and supersedes the guidance in ASC Topic 505-50. The amended guidance will become effective in the first quarter of fiscal 2020 and will not have a material impact on the company's Consolidated Financial Statements.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(Topic 820) - Changes to the Disclosure Requirements for Fair Value Measurement</w:t>
      </w:r>
      <w:r>
        <w:rPr>
          <w:rFonts w:ascii="Times New Roman" w:cs="Times New Roman" w:eastAsia="Times New Roman" w:hAnsi="Times New Roman"/>
          <w:sz w:val="18"/>
          <w:szCs w:val="18"/>
          <w:color w:val="auto"/>
        </w:rPr>
        <w:t>, which modifies the disclosure requirements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by removing, modifying, or adding certain disclosures. The amended guidance will become effective in the first quarter of fiscal 2021. Early adoption is permitted for any removed or modified disclosures. The company is currently evaluating the impact of this new standard on its Consolidated Financial Statements.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 - Defined Benefit Plans (Topic 715)</w:t>
      </w:r>
      <w:r>
        <w:rPr>
          <w:rFonts w:ascii="Times New Roman" w:cs="Times New Roman" w:eastAsia="Times New Roman" w:hAnsi="Times New Roman"/>
          <w:sz w:val="18"/>
          <w:szCs w:val="18"/>
          <w:color w:val="auto"/>
        </w:rPr>
        <w:t>, which modifies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defined benefit pension plans and other post-retirement plans. The amended guidance will become effective in the first quarter of fiscal 2021. Early adoption is permitted. The company is currently evaluating the impact of this new standard on its Consolidated Financial Statements.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all other recently issued accounting pronouncements from the FASB that the company has not noted above, will not have a material impact on its Consolidated Financial Statements or do not apply to its operations.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Charles Machine Works, Inc.</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April 1, 2019 ("closing date"), pursuant to the Agreement and Plan of Merger dated February 14, 2019 ("merger agreement"), the company completed the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 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merger agreement. At the closing date, we paid preliminary merger consideration of $679.3 million that was subject to customary adjustments based on, among other things, the amount of actual cash, debt, and working capital in the business of CMW at the closing date. During the fourth quarter of fiscal 2019, we finalized such customary adjustments that resulted in an additional $5.7 million of merger consideration being paid and an aggregate merger consideration of $685.0 million ("purchase price"). The company funded the purchase price for the acquisition by using a combination of cash proceeds from the issuance of borrowings under the company's unsecured senior term loan credit agreement and borrowings from the company's unsecured senior revolving credit facility. For additional information regarding the financing agreements utilized to fund the purchase price,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The company has incurred approximately $10.2 million of acquisition-related transaction costs during the fiscal year ended October 31, 2019. These acquisition-related transaction costs are recorded within selling, general and administrative expense within the Consolidated Statements of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in accordance with the accounting standards codification guidance for business combinations, whereby the total purchase price was allocated to the acquired net tangible and intangible assets of CMW based on their estimated fair values as of the closing date. As of October 31, 2019, the company has substantially completed its process for measuring the fair values of the assets acquired and liabilities assumed based on information available as of the closing date, with the exception of the company's valuation of income taxes as the company requires additional information to finalize its valuation of income taxes. Thus, the preliminary measurements of fair value reflected for income taxes are</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change as additional information becomes available and as additional analysis is performed. The company expects to finalize its preliminary valuation of income taxes and complete the allocation of the purchase price as soon as practicable, but no later than one year from the closing date of the acquisition, as required.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fair values assigned to the CMW assets acquired and liabilities assumed. These fair values are based on internal company and independent external third-party valuations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April 1, 2019</w:t>
            </w: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16,341</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Receivables</w:t>
            </w:r>
          </w:p>
        </w:tc>
        <w:tc>
          <w:tcPr>
            <w:tcW w:w="102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65,674</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241,429</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9,218</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142,779</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02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135,521</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intangible assets</w:t>
            </w:r>
          </w:p>
        </w:tc>
        <w:tc>
          <w:tcPr>
            <w:tcW w:w="10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264,190</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assets</w:t>
            </w:r>
          </w:p>
        </w:tc>
        <w:tc>
          <w:tcPr>
            <w:tcW w:w="102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7,971</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(36,655)</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liabilities</w:t>
            </w:r>
          </w:p>
        </w:tc>
        <w:tc>
          <w:tcPr>
            <w:tcW w:w="10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(52,258)</w:t>
            </w:r>
          </w:p>
        </w:tc>
        <w:tc>
          <w:tcPr>
            <w:tcW w:w="0" w:type="dxa"/>
            <w:vAlign w:val="bottom"/>
          </w:tcPr>
          <w:p>
            <w:pPr>
              <w:spacing w:after="0"/>
              <w:rPr>
                <w:sz w:val="1"/>
                <w:szCs w:val="1"/>
                <w:color w:val="auto"/>
              </w:rPr>
            </w:pPr>
          </w:p>
        </w:tc>
      </w:tr>
      <w:tr>
        <w:trPr>
          <w:trHeight w:val="73"/>
        </w:trPr>
        <w:tc>
          <w:tcPr>
            <w:tcW w:w="3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0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(86,231)</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0" w:type="dxa"/>
            <w:vAlign w:val="bottom"/>
          </w:tcPr>
          <w:p>
            <w:pPr>
              <w:spacing w:after="0"/>
              <w:rPr>
                <w:sz w:val="1"/>
                <w:szCs w:val="1"/>
                <w:color w:val="auto"/>
              </w:rPr>
            </w:pPr>
          </w:p>
        </w:tc>
      </w:tr>
      <w:tr>
        <w:trPr>
          <w:trHeight w:val="73"/>
        </w:trPr>
        <w:tc>
          <w:tcPr>
            <w:tcW w:w="3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fair value of net assets acquired</w:t>
            </w:r>
          </w:p>
        </w:tc>
        <w:tc>
          <w:tcPr>
            <w:tcW w:w="10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701,314</w:t>
            </w:r>
          </w:p>
        </w:tc>
        <w:tc>
          <w:tcPr>
            <w:tcW w:w="0" w:type="dxa"/>
            <w:vAlign w:val="bottom"/>
          </w:tcPr>
          <w:p>
            <w:pPr>
              <w:spacing w:after="0"/>
              <w:rPr>
                <w:sz w:val="1"/>
                <w:szCs w:val="1"/>
                <w:color w:val="auto"/>
              </w:rPr>
            </w:pPr>
          </w:p>
        </w:tc>
      </w:tr>
      <w:tr>
        <w:trPr>
          <w:trHeight w:val="78"/>
        </w:trPr>
        <w:tc>
          <w:tcPr>
            <w:tcW w:w="3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cash and cash equivalents acquired</w:t>
            </w:r>
          </w:p>
        </w:tc>
        <w:tc>
          <w:tcPr>
            <w:tcW w:w="10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(16,341)</w:t>
            </w:r>
          </w:p>
        </w:tc>
        <w:tc>
          <w:tcPr>
            <w:tcW w:w="0" w:type="dxa"/>
            <w:vAlign w:val="bottom"/>
          </w:tcPr>
          <w:p>
            <w:pPr>
              <w:spacing w:after="0"/>
              <w:rPr>
                <w:sz w:val="1"/>
                <w:szCs w:val="1"/>
                <w:color w:val="auto"/>
              </w:rPr>
            </w:pPr>
          </w:p>
        </w:tc>
      </w:tr>
      <w:tr>
        <w:trPr>
          <w:trHeight w:val="73"/>
        </w:trPr>
        <w:tc>
          <w:tcPr>
            <w:tcW w:w="3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purchase price</w:t>
            </w: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684,973</w:t>
            </w:r>
          </w:p>
        </w:tc>
        <w:tc>
          <w:tcPr>
            <w:tcW w:w="0" w:type="dxa"/>
            <w:vAlign w:val="bottom"/>
          </w:tcPr>
          <w:p>
            <w:pPr>
              <w:spacing w:after="0"/>
              <w:rPr>
                <w:sz w:val="1"/>
                <w:szCs w:val="1"/>
                <w:color w:val="auto"/>
              </w:rPr>
            </w:pPr>
          </w:p>
        </w:tc>
      </w:tr>
      <w:tr>
        <w:trPr>
          <w:trHeight w:val="73"/>
        </w:trPr>
        <w:tc>
          <w:tcPr>
            <w:tcW w:w="3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goodwill recognized is primarily attributable to the value of the workforce, the reputation of CMW and its family of brands, customer and dealer growth opportunities, and expected synergies. Key areas of expected cost synergies include increased purchasing power for commodities, components, parts, and accessories, supply chain consolidation, and administrative efficiencies. The goodwill resulting from the acquisition of CMW was recognized within the company's Professional segment and increased Professional segment goodwill to $350.3 million as of October 31, 2019 from $214.8 million as of October 31, 2018. Goodwill is expected to be mostly non-deductible for tax purposes. As permitted under the accounting standards codification guidance for business combinations, the company recorded a change in the carrying amount of goodwill as of October 31, 2019 as a result of purchase accounting adjustments due to finalizing certain inputs and assumptions related to the fair value calculations of other intangible assets, deferred income tax liabilities, warranty accruals, and inventories. Such purchase accounting adjustments did not have a material impact on the company's Consolidated Statements of Earnings for the fiscal year ended October 31, 2019.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Acquired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the purchase price to the net assets acquired resulted in the recognition of $264.2 million of other intangible assets as of the closing date. The fair values of the acquired trade name, customer-related, developed technology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backlog intangible assets were determined using the income approach. Under the income approach, an intangible asset's fair value is equal to the present value of future economic benefits to be derived from ownership of the asset. The fair values of the trade names were determined using the relief from royalty method, which is based on the hypothetical royalty stream that would be received if the company were to license the trade name and was based on expected future revenues. The fair values of the customer-related, developed technology, and backlog intangible assets were determined using the excess earnings method and were based on the expected operating cash flows attributable to the respective other intangible asset, which were determined by deducting expected economic costs, including operating expenses and contributory asset charges, from revenue expected to be generated from the respective other intangible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the other intangible assets acquired on the closing date, related accumulated amortization from the closing date through October 31, 2019, and weighted-average useful lives were as follows (in thousands, except weighted-average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3"/>
                <w:szCs w:val="13"/>
                <w:color w:val="auto"/>
              </w:rPr>
            </w:pPr>
          </w:p>
        </w:tc>
        <w:tc>
          <w:tcPr>
            <w:tcW w:w="8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8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2"/>
                <w:szCs w:val="12"/>
                <w:color w:val="auto"/>
              </w:rPr>
            </w:pPr>
          </w:p>
        </w:tc>
        <w:tc>
          <w:tcPr>
            <w:tcW w:w="1080" w:type="dxa"/>
            <w:vAlign w:val="bottom"/>
          </w:tcPr>
          <w:p>
            <w:pPr>
              <w:jc w:val="right"/>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70"/>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Customer-related</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130,800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(4,981)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125,819</w:t>
            </w:r>
          </w:p>
        </w:tc>
        <w:tc>
          <w:tcPr>
            <w:tcW w:w="0" w:type="dxa"/>
            <w:vAlign w:val="bottom"/>
          </w:tcPr>
          <w:p>
            <w:pPr>
              <w:spacing w:after="0"/>
              <w:rPr>
                <w:sz w:val="1"/>
                <w:szCs w:val="1"/>
                <w:color w:val="auto"/>
              </w:rPr>
            </w:pPr>
          </w:p>
        </w:tc>
      </w:tr>
      <w:tr>
        <w:trPr>
          <w:trHeight w:val="153"/>
        </w:trPr>
        <w:tc>
          <w:tcPr>
            <w:tcW w:w="1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Developed</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tcPr>
          <w:p>
            <w:pPr>
              <w:spacing w:after="0"/>
              <w:rPr>
                <w:sz w:val="13"/>
                <w:szCs w:val="13"/>
                <w:color w:val="auto"/>
              </w:rPr>
            </w:pPr>
          </w:p>
        </w:tc>
        <w:tc>
          <w:tcPr>
            <w:tcW w:w="8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20,900</w:t>
            </w:r>
          </w:p>
        </w:tc>
        <w:tc>
          <w:tcPr>
            <w:tcW w:w="200" w:type="dxa"/>
            <w:vAlign w:val="bottom"/>
          </w:tcPr>
          <w:p>
            <w:pPr>
              <w:spacing w:after="0"/>
              <w:rPr>
                <w:sz w:val="13"/>
                <w:szCs w:val="13"/>
                <w:color w:val="auto"/>
              </w:rPr>
            </w:pPr>
          </w:p>
        </w:tc>
        <w:tc>
          <w:tcPr>
            <w:tcW w:w="10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(2,019)</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18,881</w:t>
            </w:r>
          </w:p>
        </w:tc>
        <w:tc>
          <w:tcPr>
            <w:tcW w:w="0" w:type="dxa"/>
            <w:vAlign w:val="bottom"/>
          </w:tcPr>
          <w:p>
            <w:pPr>
              <w:spacing w:after="0"/>
              <w:rPr>
                <w:sz w:val="1"/>
                <w:szCs w:val="1"/>
                <w:color w:val="auto"/>
              </w:rPr>
            </w:pPr>
          </w:p>
        </w:tc>
      </w:tr>
      <w:tr>
        <w:trPr>
          <w:trHeight w:val="193"/>
        </w:trPr>
        <w:tc>
          <w:tcPr>
            <w:tcW w:w="1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5,200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0" w:type="dxa"/>
            <w:vAlign w:val="bottom"/>
          </w:tcPr>
          <w:p>
            <w:pPr>
              <w:spacing w:after="0"/>
              <w:rPr>
                <w:sz w:val="1"/>
                <w:szCs w:val="1"/>
                <w:color w:val="auto"/>
              </w:rPr>
            </w:pPr>
          </w:p>
        </w:tc>
      </w:tr>
      <w:tr>
        <w:trPr>
          <w:trHeight w:val="265"/>
        </w:trPr>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Backlog</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3,590</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(3,590)</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9"/>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amortizable</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16.6</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160,490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(10,742)</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149,748</w:t>
            </w:r>
          </w:p>
        </w:tc>
        <w:tc>
          <w:tcPr>
            <w:tcW w:w="0" w:type="dxa"/>
            <w:vAlign w:val="bottom"/>
          </w:tcPr>
          <w:p>
            <w:pPr>
              <w:spacing w:after="0"/>
              <w:rPr>
                <w:sz w:val="1"/>
                <w:szCs w:val="1"/>
                <w:color w:val="auto"/>
              </w:rPr>
            </w:pPr>
          </w:p>
        </w:tc>
      </w:tr>
      <w:tr>
        <w:trPr>
          <w:trHeight w:val="153"/>
        </w:trPr>
        <w:tc>
          <w:tcPr>
            <w:tcW w:w="13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Non-amortizable -</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103,700</w:t>
            </w:r>
          </w:p>
        </w:tc>
        <w:tc>
          <w:tcPr>
            <w:tcW w:w="200" w:type="dxa"/>
            <w:vAlign w:val="bottom"/>
          </w:tcPr>
          <w:p>
            <w:pPr>
              <w:spacing w:after="0"/>
              <w:rPr>
                <w:sz w:val="13"/>
                <w:szCs w:val="13"/>
                <w:color w:val="auto"/>
              </w:rPr>
            </w:pPr>
          </w:p>
        </w:tc>
        <w:tc>
          <w:tcPr>
            <w:tcW w:w="10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103,700</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34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other</w:t>
            </w: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264,190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(10,742)</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253,448</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w:t>
            </w:r>
          </w:p>
        </w:tc>
        <w:tc>
          <w:tcPr>
            <w:tcW w:w="9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the definite-lived intangible assets resulting from the acquisition of CMW for the fiscal year ended October 31, 2019 was $10.7 million. Estimated amortization expense for the succeeding fiscal years is as follows: fiscal 2020, $12.6 million; fiscal 2021, $12.6 million; fiscal 2022, $11.5 million; fiscal 2023, $10.1 million; fiscal 2024, $9.4 million; and after fiscal 2024, $93.5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CMW's results of operations have been included within the Professional segment in the company's Consolidated Financial Statements from the closing date. During the fiscal year ended October 31, 2019, the company recognized $465.2 million of net sales and $5.4 million of segment loss from CMW's operations. Segment loss for the fiscal year ended October 31, 2019 includes charges of $43.0 million, for the take-down of</w:t>
      </w:r>
    </w:p>
    <w:p>
      <w:pPr>
        <w:spacing w:after="0" w:line="1099"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inventory fair value step-up amount and amortization of the backlog intangible asset resulting from purchase accounting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Unaudited pro forma financial information has been prepared as if the acquisition had taken place on November 1, 2017 and has been prepared for comparative purposes only. The unaudited pro forma financial information is not necessarily indicative of the results that would have been achieved had the acquisition actually taken place on November 1, 2017 and the unaudited pro forma financial information does not purport to be indicative of future Consolidated Results of Operations. The unaudited pro forma financial information does not reflect any synergies, operating efficiencies, and/or cost savings that may be realized from the integration of the acquisition. The unaudited pro forma results for the fiscal years ended October 31, 2019 and October 31, 2018 have been adjusted to exclude the pro forma impact of the take-down of the inventory fair value step-up amount and amortization of the backlog intangible asset; include the pro forma impact of amortization of other intangible assets, excluding backlog, based on the purchase price allocations and useful lives; include the pro forma impact of the depreciation of property, plant, and equipment based on the purchase price allocations and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unaudited pro forma financial information for fiscal 2019 and 2018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2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October 31, 2018</w:t>
            </w:r>
          </w:p>
        </w:tc>
      </w:tr>
      <w:tr>
        <w:trPr>
          <w:trHeight w:val="269"/>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3,437,335</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3,332,636</w:t>
            </w:r>
          </w:p>
        </w:tc>
      </w:tr>
      <w:tr>
        <w:trPr>
          <w:trHeight w:val="265"/>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w:t>
            </w:r>
            <w:r>
              <w:rPr>
                <w:rFonts w:ascii="Times New Roman" w:cs="Times New Roman" w:eastAsia="Times New Roman" w:hAnsi="Times New Roman"/>
                <w:sz w:val="8"/>
                <w:szCs w:val="8"/>
                <w:color w:val="auto"/>
              </w:rPr>
              <w:t>1</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363,452</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276,722</w:t>
            </w:r>
          </w:p>
        </w:tc>
      </w:tr>
      <w:tr>
        <w:trPr>
          <w:trHeight w:val="275"/>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net earnings per share of common stock</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65"/>
        </w:trPr>
        <w:tc>
          <w:tcPr>
            <w:tcW w:w="2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Diluted net earnings per share of common stock</w:t>
            </w:r>
            <w:r>
              <w:rPr>
                <w:rFonts w:ascii="Times New Roman" w:cs="Times New Roman" w:eastAsia="Times New Roman" w:hAnsi="Times New Roman"/>
                <w:sz w:val="8"/>
                <w:szCs w:val="8"/>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3.36</w:t>
            </w:r>
          </w:p>
        </w:tc>
        <w:tc>
          <w:tcPr>
            <w:tcW w:w="4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r>
    </w:tbl>
    <w:p>
      <w:pPr>
        <w:spacing w:after="0" w:line="199" w:lineRule="exact"/>
        <w:rPr>
          <w:sz w:val="20"/>
          <w:szCs w:val="20"/>
          <w:color w:val="auto"/>
        </w:rPr>
      </w:pPr>
    </w:p>
    <w:p>
      <w:pPr>
        <w:jc w:val="both"/>
        <w:ind w:left="340" w:hanging="332"/>
        <w:spacing w:after="0"/>
        <w:tabs>
          <w:tab w:leader="none" w:pos="340" w:val="left"/>
        </w:tabs>
        <w:numPr>
          <w:ilvl w:val="0"/>
          <w:numId w:val="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January 1, 2019, CMW amended its retiree medical plans so that no employee hired, or rehired, after that date would be eligible for such retiree medical plans. CMW further amended its retiree medical plans on February 14, 2019 so that no employee who terminates employment after February 14, 2019 is eligible to participate in the retiree medical plans and to terminate its retiree medical plans effective December 31, 2019. The amendments and resulting termination of CMW's retiree medical plans resulted in a gain of approximately $45.8 million. This gain is reflected within net earnings in the unaudited pro forma financial information for the fiscal year ended October 31, 2019. The impact on diluted net earnings per share of common stock for the fiscal year ended October 31, 2019 was $0.42 per diluted share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Northeastern U.S. Distribution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 Rich Products,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March 19, 2018, during the second quarter of fiscal 2018, the company completed the acquisition of substantially all of the assets of, and assumed certain liabilities of, L.T. Rich Products, Inc., a manufacturer of professional zero-turn spreader/sprayers, aerators, and snow and ice management equipment. The addition of these products broadened and strengthened the company’s Professional segment solutions for landscape contractors and grounds professionals. The purchase price of this acquisition was allocated to the identifiable assets acquired and liabilities assumed based on estimates of their fair value, with the excess purchase price recorded as goodwill. As of October 31, 2019, the company has finalized the purchase accounting for this acquisition. This acquisition was immaterial based on the company's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Regnerbau Calw GmbH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broadened and strengthened the company's irrigation solutions for the sport, agricultural, and industrial markets. The acquisition was funded with existing foreign cash and cash equivalents.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w:t>
      </w:r>
    </w:p>
    <w:p>
      <w:pPr>
        <w:spacing w:after="0" w:line="1382"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580" w:hanging="545"/>
        <w:spacing w:after="0"/>
        <w:tabs>
          <w:tab w:leader="none" w:pos="580" w:val="left"/>
        </w:tabs>
        <w:numPr>
          <w:ilvl w:val="0"/>
          <w:numId w:val="6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ten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Professional business segment consists of turf and landscape equipment; rental, specialty, and underground construction equipment; snow and ice management equipment; and irrigation products. Turf and landscape equipment products include sports fields and grounds maintenance equipment, golf course mowing and maintenance equipment, landscape contractor mowing equipment, landscape creation and renovation equipment, and other maintenance equipment. Rental, specialty, and underground construction equipment products include horizontal directional drills, walk and ride trenchers, compact utility loaders/skid steers, vacuum excavators, stump grinders, turf renovation products, asset locators, pipe rehabilitation solutions, materials handling equipment, and other after-market tools. Snow and ice management equipment products include snowplows, salt and sand spreaders, and related parts and accessories for light and medium duty trucks, utility task vehicles, skid steers, and front-end loaders. Irrigation products consist of sprinkler heads, electric and hydraulic valves, controllers, computer irrigation central control systems, coupling systems, and ag-irrigation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residential and commercial landscapes, and removing snow and ice, as well as directly to government customers, rental companies, and large retailers.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Residential business segment consists of walk power mowers, riding mowers, snow throwers, replacement parts, and home solutions products, including trimmers, blowers, blower-vacuums, and underground, hose, and hose-end retail irrigation products sold in Australia and New Zealand. Residential business segment products are sold to homeowners through a network of distributors and dealers, and through a broad array of home centers, hardware retailers, and mass retailers, as well as online.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Other activities consist of the company's wholly-owned domestic distribution companies, the company's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activities, and the elimination of intersegment revenues and expenses. Corporate activities include general corporate expenditures (finance, human resources, legal, information services, public relations, business development, and similar activities) and other unallocated corporate assets and liabilities, such as corporate facilities and deferred tax assets and liabilities.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the summary of significant accounting policies in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Related Data</w:t>
      </w:r>
      <w:r>
        <w:rPr>
          <w:rFonts w:ascii="Times New Roman" w:cs="Times New Roman" w:eastAsia="Times New Roman" w:hAnsi="Times New Roman"/>
          <w:sz w:val="18"/>
          <w:szCs w:val="18"/>
          <w:color w:val="auto"/>
        </w:rPr>
        <w:t>.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of its Professional and Residential business segment results based on earnings from operations plus other income, net.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Operating loss for the company's Other activities includes earnings (loss) from the company's domestic wholly-owned distribution companies, corporate activities, other income, and interest expense. The company accounts for intersegment gross sales at current market prices.</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segments and Other activities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2,443,448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661,274</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33,362</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3,138,084</w:t>
            </w:r>
          </w:p>
        </w:tc>
      </w:tr>
      <w:tr>
        <w:trPr>
          <w:trHeight w:val="1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Intersegment gross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(eliminations)</w:t>
            </w:r>
          </w:p>
        </w:tc>
        <w:tc>
          <w:tcPr>
            <w:tcW w:w="22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59,453</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310</w:t>
            </w:r>
          </w:p>
        </w:tc>
        <w:tc>
          <w:tcPr>
            <w:tcW w:w="2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(59,763)</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before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8"/>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380,914</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65,151</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(123,932)</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322,133</w:t>
            </w:r>
          </w:p>
        </w:tc>
      </w:tr>
      <w:tr>
        <w:trPr>
          <w:trHeight w:val="2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1,592,065</w:t>
            </w:r>
          </w:p>
        </w:tc>
        <w:tc>
          <w:tcPr>
            <w:tcW w:w="20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430,495</w:t>
            </w:r>
          </w:p>
        </w:tc>
        <w:tc>
          <w:tcPr>
            <w:tcW w:w="2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307,987</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2,330,547</w:t>
            </w:r>
          </w:p>
        </w:tc>
      </w:tr>
      <w:tr>
        <w:trPr>
          <w:trHeight w:val="277"/>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57,246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16,970</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18,665</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92,881</w:t>
            </w:r>
          </w:p>
        </w:tc>
      </w:tr>
      <w:tr>
        <w:trPr>
          <w:trHeight w:val="1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2"/>
        </w:trPr>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63,885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11,897</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11,916</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87,698</w:t>
            </w:r>
          </w:p>
        </w:tc>
      </w:tr>
      <w:tr>
        <w:trPr>
          <w:trHeight w:val="351"/>
        </w:trPr>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52"/>
        </w:trPr>
        <w:tc>
          <w:tcPr>
            <w:tcW w:w="13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6"/>
        </w:trPr>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1,946,999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654,413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17,238</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2,618,650</w:t>
            </w:r>
          </w:p>
        </w:tc>
      </w:tr>
      <w:tr>
        <w:trPr>
          <w:trHeight w:val="1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Intersegment gross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(eliminations)</w:t>
            </w:r>
          </w:p>
        </w:tc>
        <w:tc>
          <w:tcPr>
            <w:tcW w:w="22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29,798</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312</w:t>
            </w:r>
          </w:p>
        </w:tc>
        <w:tc>
          <w:tcPr>
            <w:tcW w:w="2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(30,110)</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before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8"/>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399,806</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64,807</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(92,216)</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372,397</w:t>
            </w:r>
          </w:p>
        </w:tc>
      </w:tr>
      <w:tr>
        <w:trPr>
          <w:trHeight w:val="2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916,106</w:t>
            </w:r>
          </w:p>
        </w:tc>
        <w:tc>
          <w:tcPr>
            <w:tcW w:w="20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199,273</w:t>
            </w:r>
          </w:p>
        </w:tc>
        <w:tc>
          <w:tcPr>
            <w:tcW w:w="2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455,605</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1,570,984</w:t>
            </w:r>
          </w:p>
        </w:tc>
      </w:tr>
      <w:tr>
        <w:trPr>
          <w:trHeight w:val="277"/>
        </w:trPr>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58,109</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16,014</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16,001</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90,124</w:t>
            </w:r>
          </w:p>
        </w:tc>
      </w:tr>
      <w:tr>
        <w:trPr>
          <w:trHeight w:val="163"/>
        </w:trPr>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2"/>
        </w:trPr>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38,585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9,999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12,693</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61,277</w:t>
            </w:r>
          </w:p>
        </w:tc>
      </w:tr>
    </w:tbl>
    <w:p>
      <w:pPr>
        <w:spacing w:after="0" w:line="89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309245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2017</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1,811,705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673,247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20,224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2,505,176</w:t>
            </w:r>
          </w:p>
        </w:tc>
      </w:tr>
      <w:tr>
        <w:trPr>
          <w:trHeight w:val="16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gross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1"/>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(eliminations)</w:t>
            </w:r>
          </w:p>
        </w:tc>
        <w:tc>
          <w:tcPr>
            <w:tcW w:w="22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27,893</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(28,225)</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379,496</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74,704</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(101,016)</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353,184</w:t>
            </w:r>
          </w:p>
        </w:tc>
      </w:tr>
      <w:tr>
        <w:trPr>
          <w:trHeight w:val="26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836,600</w:t>
            </w:r>
          </w:p>
        </w:tc>
        <w:tc>
          <w:tcPr>
            <w:tcW w:w="20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189,578</w:t>
            </w:r>
          </w:p>
        </w:tc>
        <w:tc>
          <w:tcPr>
            <w:tcW w:w="2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467,609</w:t>
            </w: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1,493,787</w:t>
            </w:r>
          </w:p>
        </w:tc>
      </w:tr>
      <w:tr>
        <w:trPr>
          <w:trHeight w:val="277"/>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29,786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10,605</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17,885</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58,276</w:t>
            </w:r>
          </w:p>
        </w:tc>
      </w:tr>
      <w:tr>
        <w:trPr>
          <w:trHeight w:val="163"/>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41,313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10,308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13,365</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64,986</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2019 and fiscal 2018 , no customer accounted for 10 percent or more of total consolidated gross sales. Sales to one customer in the Residential segment accounted for 10.0 percent of total consolidated gross sales in fiscal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details of operating loss before income taxes for the company's Other activities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20" w:type="dxa"/>
            <w:vAlign w:val="bottom"/>
          </w:tcPr>
          <w:p>
            <w:pPr>
              <w:spacing w:after="0"/>
              <w:rPr>
                <w:sz w:val="13"/>
                <w:szCs w:val="13"/>
                <w:color w:val="auto"/>
              </w:rPr>
            </w:pPr>
          </w:p>
        </w:tc>
        <w:tc>
          <w:tcPr>
            <w:tcW w:w="96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3"/>
                <w:szCs w:val="13"/>
                <w:color w:val="auto"/>
              </w:rPr>
            </w:pPr>
          </w:p>
        </w:tc>
        <w:tc>
          <w:tcPr>
            <w:tcW w:w="9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3"/>
                <w:szCs w:val="13"/>
                <w:color w:val="auto"/>
              </w:rPr>
            </w:pPr>
          </w:p>
        </w:tc>
        <w:tc>
          <w:tcPr>
            <w:tcW w:w="88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expenses</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(124,422)</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(92,541)</w:t>
            </w:r>
          </w:p>
        </w:tc>
        <w:tc>
          <w:tcPr>
            <w:tcW w:w="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(100,928)</w:t>
            </w:r>
          </w:p>
        </w:tc>
        <w:tc>
          <w:tcPr>
            <w:tcW w:w="0" w:type="dxa"/>
            <w:vAlign w:val="bottom"/>
          </w:tcPr>
          <w:p>
            <w:pPr>
              <w:spacing w:after="0"/>
              <w:rPr>
                <w:sz w:val="1"/>
                <w:szCs w:val="1"/>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(28,835)</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(19,096)</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(19,113)</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29,325</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19,421</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19,025</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operating loss</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(123,932)</w:t>
            </w:r>
          </w:p>
        </w:tc>
        <w:tc>
          <w:tcPr>
            <w:tcW w:w="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(92,216)</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(101,016)</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for groups of similar products and services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340" w:type="dxa"/>
            <w:vAlign w:val="bottom"/>
          </w:tcPr>
          <w:p>
            <w:pPr>
              <w:spacing w:after="0"/>
              <w:rPr>
                <w:sz w:val="13"/>
                <w:szCs w:val="13"/>
                <w:color w:val="auto"/>
              </w:rPr>
            </w:pPr>
          </w:p>
        </w:tc>
        <w:tc>
          <w:tcPr>
            <w:tcW w:w="9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3"/>
                <w:szCs w:val="13"/>
                <w:color w:val="auto"/>
              </w:rPr>
            </w:pPr>
          </w:p>
        </w:tc>
        <w:tc>
          <w:tcPr>
            <w:tcW w:w="9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w:t>
            </w:r>
          </w:p>
        </w:tc>
        <w:tc>
          <w:tcPr>
            <w:tcW w:w="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2,747,935</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2,210,047</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2,060,354</w:t>
            </w:r>
          </w:p>
        </w:tc>
        <w:tc>
          <w:tcPr>
            <w:tcW w:w="0" w:type="dxa"/>
            <w:vAlign w:val="bottom"/>
          </w:tcPr>
          <w:p>
            <w:pPr>
              <w:spacing w:after="0"/>
              <w:rPr>
                <w:sz w:val="1"/>
                <w:szCs w:val="1"/>
                <w:color w:val="auto"/>
              </w:rPr>
            </w:pPr>
          </w:p>
        </w:tc>
      </w:tr>
      <w:tr>
        <w:trPr>
          <w:trHeight w:val="265"/>
        </w:trPr>
        <w:tc>
          <w:tcPr>
            <w:tcW w:w="1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Irrigation and lighting</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390,149</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408,603</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444,822</w:t>
            </w:r>
          </w:p>
        </w:tc>
        <w:tc>
          <w:tcPr>
            <w:tcW w:w="0" w:type="dxa"/>
            <w:vAlign w:val="bottom"/>
          </w:tcPr>
          <w:p>
            <w:pPr>
              <w:spacing w:after="0"/>
              <w:rPr>
                <w:sz w:val="1"/>
                <w:szCs w:val="1"/>
                <w:color w:val="auto"/>
              </w:rPr>
            </w:pPr>
          </w:p>
        </w:tc>
      </w:tr>
      <w:tr>
        <w:trPr>
          <w:trHeight w:val="264"/>
        </w:trPr>
        <w:tc>
          <w:tcPr>
            <w:tcW w:w="18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net sales</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3,138,084</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2,618,650</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2,505,176</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geographic area data includes net sales based on product shipment destination and long-lived assets, which consist of net property, plant, and equipment, and is based on physical location in addition to allocated capital tooling from U.S. plant facilities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3542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 w:type="dxa"/>
            <w:vAlign w:val="bottom"/>
          </w:tcPr>
          <w:p>
            <w:pPr>
              <w:spacing w:after="0"/>
              <w:rPr>
                <w:sz w:val="13"/>
                <w:szCs w:val="13"/>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24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2019</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2,413,153</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724,931</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3,138,084</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Long-lived assets</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395,937</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41,380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437,317</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2018</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1,975,562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643,088</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2,618,650</w:t>
            </w:r>
          </w:p>
        </w:tc>
        <w:tc>
          <w:tcPr>
            <w:tcW w:w="0" w:type="dxa"/>
            <w:vAlign w:val="bottom"/>
          </w:tcPr>
          <w:p>
            <w:pPr>
              <w:spacing w:after="0"/>
              <w:rPr>
                <w:sz w:val="1"/>
                <w:szCs w:val="1"/>
                <w:color w:val="auto"/>
              </w:rPr>
            </w:pPr>
          </w:p>
        </w:tc>
      </w:tr>
      <w:tr>
        <w:trPr>
          <w:trHeight w:val="265"/>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Long-lived assets</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230,246</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41,213</w:t>
            </w:r>
          </w:p>
        </w:tc>
        <w:tc>
          <w:tcPr>
            <w:tcW w:w="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271,459</w:t>
            </w:r>
          </w:p>
        </w:tc>
        <w:tc>
          <w:tcPr>
            <w:tcW w:w="0" w:type="dxa"/>
            <w:vAlign w:val="bottom"/>
          </w:tcPr>
          <w:p>
            <w:pPr>
              <w:spacing w:after="0"/>
              <w:rPr>
                <w:sz w:val="1"/>
                <w:szCs w:val="1"/>
                <w:color w:val="auto"/>
              </w:rPr>
            </w:pPr>
          </w:p>
        </w:tc>
      </w:tr>
      <w:tr>
        <w:trPr>
          <w:trHeight w:val="269"/>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2017</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1,893,249</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611,927</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2,505,176</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Long-lived assets</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194,338</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40,892</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hanging="545"/>
        <w:spacing w:after="0"/>
        <w:tabs>
          <w:tab w:leader="none" w:pos="580" w:val="left"/>
        </w:tabs>
        <w:numPr>
          <w:ilvl w:val="0"/>
          <w:numId w:val="6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3805"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by product</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type: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2,097,965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628,521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21,449</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2,747,935</w:t>
            </w:r>
          </w:p>
        </w:tc>
      </w:tr>
      <w:tr>
        <w:trPr>
          <w:trHeight w:val="271"/>
        </w:trPr>
        <w:tc>
          <w:tcPr>
            <w:tcW w:w="1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Irrigation</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345,483</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32,753</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11,913</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390,149</w:t>
            </w:r>
          </w:p>
        </w:tc>
      </w:tr>
      <w:tr>
        <w:trPr>
          <w:trHeight w:val="264"/>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2,443,448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661,274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33,362</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3,138,084</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by</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geographic market: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1,853,054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526,737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33,362</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2,413,153</w:t>
            </w:r>
          </w:p>
        </w:tc>
      </w:tr>
      <w:tr>
        <w:trPr>
          <w:trHeight w:val="271"/>
        </w:trPr>
        <w:tc>
          <w:tcPr>
            <w:tcW w:w="1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Countries</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590,394</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134,537</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724,931</w:t>
            </w:r>
          </w:p>
        </w:tc>
      </w:tr>
      <w:tr>
        <w:trPr>
          <w:trHeight w:val="264"/>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2,443,448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661,274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33,362</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3,138,084</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2"/>
        </w:trPr>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152"/>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8"/>
              </w:rPr>
              <w:t>Residential</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by product</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type: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1,582,024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617,827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10,196</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2,210,047</w:t>
            </w:r>
          </w:p>
        </w:tc>
      </w:tr>
      <w:tr>
        <w:trPr>
          <w:trHeight w:val="271"/>
        </w:trPr>
        <w:tc>
          <w:tcPr>
            <w:tcW w:w="1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Irrigation</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364,975</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36,586</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7,042</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408,603</w:t>
            </w:r>
          </w:p>
        </w:tc>
      </w:tr>
      <w:tr>
        <w:trPr>
          <w:trHeight w:val="264"/>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1,946,999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654,413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17,238</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2,618,650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9"/>
        </w:trPr>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3"/>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 by</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geographic market: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3"/>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1,441,815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516,509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17,238</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1,975,562</w:t>
            </w:r>
          </w:p>
        </w:tc>
      </w:tr>
      <w:tr>
        <w:trPr>
          <w:trHeight w:val="271"/>
        </w:trPr>
        <w:tc>
          <w:tcPr>
            <w:tcW w:w="1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Countries</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505,184</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137,904</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643,088</w:t>
            </w:r>
          </w:p>
        </w:tc>
      </w:tr>
      <w:tr>
        <w:trPr>
          <w:trHeight w:val="264"/>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net sales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1,946,999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654,413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17,238</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2,618,650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product revenues are generated through sales of manufactured equipment and irrigation products, including related replacement parts and accessories. For the majority of the company's products, control is transferred and revenue is recognized when the product is shipped from the company's manufacturing facilities or distribution centers to the company's customers, which primarily consist of distributors, dealers, and mass retailers. In certain situations, the company transfers control and recognizes revenue when delivery to the customer has occurred. Additionally, the company ships some of its products to a key retailer's distribution centers on a consignment basis. The company retains control of its products stored at the key retailer's distribution centers. As the company's products are removed from the distribution centers by the key retailer and shipped to the key retailer's stores, control is transferred from the company to the key retailer. At that time, the company invoices the key retailer and recognizes revenue for these consignment transactions. The company does not offer a right of return for products shipped to the key retailer's stores from the distribution centers.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 Iron primarily provides inventory financing to certain dealers and distributors of the company's equipment and irrigation products. The company also has floor plan financing arrangements with separate third-party financial institutions to provide floor plan financing to certain dealers not financed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through Red Iron. When product sales are financed by Red Iron or other third-party financial institutions, the transactions are structured as an advance in the form of a payment to the company on behalf of a dealer or distributor with respect to invoices financed by the financial institutions. These payments extinguish the obligation of such dealer or distributor to make payment to the company under the terms of the applicable invoice. Under a separate agreement between each financial institution and such dealer or distributor, the financial institution provides a loan to such dealer or distributor for the advances paid by the financial institutions to the company. The company's sales of product to customers that do not elect to finance purchases through Red Iron or the third-party financial institutions are generally on open account with terms that generally approximate 30 to 120 days and the resulting receivables are included within receivables, net on the Consolidated Balance Sheets.</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Product revenue is recognized based on the transaction price, which is measured as the amount of consideration the company expects to receive in exchange for transferring control of a product to a customer. When determining the transaction price, the company estimates variable consideration by applying the portfolio approach practical expedient under ASC 606. The primary sources of variable consideration for the company are rebate programs, volume incentive programs, floor plan and retail financing programs, cash discounts, and product returns. These sales promotions and incentives are recorded as a reduction to revenue at the time of the initial sale. The company estimates variable consideration related to equipment and irrigation products sold under its sales promotion and incentive programs using the expected value method, which is based on sales terms with customers, historical experience, field inventory levels, volume purchases, and known changes in relevant trends. There are no material instances where variable consideration is constrained and not recorded at the initial time of sale. Additionally, the company may offer to its customers the right to return eligible equipment and irrigation products, replacement parts, and accessories. Returns are recorded as a reduction to revenue based on anticipated sales returns estimated from sales terms, historical experience, and trend analysis. The company records obligations for returns within accrued liabilities in the Consolidated Balance Sheets and the right-of-return asset in prepaid expenses and other current assets in the Consolidated Balance Sheets. The refund liability and right-of-return asset are remeasured for changes in the estimate at each reporting date with a corresponding adjustment to net sales and cost of sales within the Consolidated Statements of Earnings.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cases, the company renders service contracts to customers, which typically range from 12 to 36 months. The company receives payment at the inception of the service contract and recognizes revenue over the term of the agreement in proportion to the costs expected to be incurred in satisfying the performance obligations under the service contract.</w:t>
      </w:r>
    </w:p>
    <w:p>
      <w:pPr>
        <w:spacing w:after="0" w:line="2414"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standard warranties offered by the company on its equipment and irrigation products intended to provide assurance that the product will function as expected, the company also sells separately priced extended warranty coverage on select products for a prescribed period after the standard warranty period expires, which typically range from 12 to 24 months. The company receives payment at the inception of the separately priced extended warranty contract and recognizes revenue over the term of the agreement in proportion to the costs expected to be incurred in satisfying the performance obligations under the separately priced extended warranty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payments received at contract inception in advance of the company's performance under the contract and generally relate to the sale of separately priced extended warranty contracts, service contracts, and non-refundable customer deposits. The company recognizes revenue over the term of the agreement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October 31, 2019 and October 31, 2018, $22.0 million and $14.0 million, respectively, of deferred revenue associated with outstanding separately priced extended warranty contracts, service contracts, and non-refundable customer deposits was reported within accrued liabilities and other long-term liabilities in the Consolidated Balance Sheets. The increase in the October 31, 2019 balance as compared to the October 31, 2018 balance is primarily related to the company's acquisition of CMW on April 1, 2019, which resulted in the assumption of $7.0 million of deferred revenue contract liabilities related to separately priced extended warranty contracts, service contracts, and non-refundable customer deposits. For the fiscal year ended October 31, 2019, the company recognized $5.8 million of the October 31, 2018 deferred revenue balance and $4.4 million of the April 1, 2019 assumed deferred revenue balance related to the CMW acquisition within net sales in the Consolidated Statements of Earnings. The company expects to recognize approximately $10.6 million of the October 31, 2019 deferred revenue balance within net sales in the Consolidated Statements of Earnings in fiscal 2020 and $11.4 million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hanging="545"/>
        <w:spacing w:after="0"/>
        <w:tabs>
          <w:tab w:leader="none" w:pos="580" w:val="left"/>
        </w:tabs>
        <w:numPr>
          <w:ilvl w:val="0"/>
          <w:numId w:val="6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acquisition of CMW on April 1, 2019 resulted in the recognition of $135.5 million and $264.2 million of goodwill and other intangible assets, respectively, within the company's Professional segment. For additional information on the company's acquisition of CMW,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fiscal 2019 and 2018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2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Balance as of</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194,464</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10,565</w:t>
            </w:r>
          </w:p>
        </w:tc>
        <w:tc>
          <w:tcPr>
            <w:tcW w:w="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205,029</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2017</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 acquired</w:t>
            </w: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20,739</w:t>
            </w:r>
          </w:p>
        </w:tc>
        <w:tc>
          <w:tcPr>
            <w:tcW w:w="20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20,739</w:t>
            </w:r>
          </w:p>
        </w:tc>
        <w:tc>
          <w:tcPr>
            <w:tcW w:w="0" w:type="dxa"/>
            <w:vAlign w:val="bottom"/>
          </w:tcPr>
          <w:p>
            <w:pPr>
              <w:spacing w:after="0"/>
              <w:rPr>
                <w:sz w:val="1"/>
                <w:szCs w:val="1"/>
                <w:color w:val="auto"/>
              </w:rPr>
            </w:pPr>
          </w:p>
        </w:tc>
      </w:tr>
      <w:tr>
        <w:trPr>
          <w:trHeight w:val="158"/>
        </w:trPr>
        <w:tc>
          <w:tcPr>
            <w:tcW w:w="12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w:t>
            </w: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Balance as of</w:t>
            </w:r>
          </w:p>
        </w:tc>
        <w:tc>
          <w:tcPr>
            <w:tcW w:w="22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214,827</w:t>
            </w:r>
          </w:p>
        </w:tc>
        <w:tc>
          <w:tcPr>
            <w:tcW w:w="20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10,463</w:t>
            </w:r>
          </w:p>
        </w:tc>
        <w:tc>
          <w:tcPr>
            <w:tcW w:w="2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225,290</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October 31, 2018</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 acquired</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135,524</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1,534</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137,058</w:t>
            </w:r>
          </w:p>
        </w:tc>
        <w:tc>
          <w:tcPr>
            <w:tcW w:w="0" w:type="dxa"/>
            <w:vAlign w:val="bottom"/>
          </w:tcPr>
          <w:p>
            <w:pPr>
              <w:spacing w:after="0"/>
              <w:rPr>
                <w:sz w:val="1"/>
                <w:szCs w:val="1"/>
                <w:color w:val="auto"/>
              </w:rPr>
            </w:pPr>
          </w:p>
        </w:tc>
      </w:tr>
      <w:tr>
        <w:trPr>
          <w:trHeight w:val="153"/>
        </w:trPr>
        <w:tc>
          <w:tcPr>
            <w:tcW w:w="12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Translation</w:t>
            </w:r>
          </w:p>
        </w:tc>
        <w:tc>
          <w:tcPr>
            <w:tcW w:w="22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Balance as of</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350,250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10,469</w:t>
            </w:r>
          </w:p>
        </w:tc>
        <w:tc>
          <w:tcPr>
            <w:tcW w:w="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1,534</w:t>
            </w: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362,253</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2019</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other intangible assets were as follows (in thousands, except for weighted-average useful life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0" w:type="dxa"/>
            <w:vAlign w:val="bottom"/>
          </w:tcPr>
          <w:p>
            <w:pPr>
              <w:spacing w:after="0"/>
              <w:rPr>
                <w:sz w:val="13"/>
                <w:szCs w:val="13"/>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78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200" w:type="dxa"/>
            <w:vAlign w:val="bottom"/>
          </w:tcPr>
          <w:p>
            <w:pPr>
              <w:spacing w:after="0"/>
              <w:rPr>
                <w:sz w:val="12"/>
                <w:szCs w:val="12"/>
                <w:color w:val="auto"/>
              </w:rPr>
            </w:pPr>
          </w:p>
        </w:tc>
        <w:tc>
          <w:tcPr>
            <w:tcW w:w="1080" w:type="dxa"/>
            <w:vAlign w:val="bottom"/>
          </w:tcPr>
          <w:p>
            <w:pPr>
              <w:jc w:val="right"/>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Patents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18,230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(13,102)</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Non-compete</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3"/>
                <w:szCs w:val="13"/>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6,868</w:t>
            </w:r>
          </w:p>
        </w:tc>
        <w:tc>
          <w:tcPr>
            <w:tcW w:w="200" w:type="dxa"/>
            <w:vAlign w:val="bottom"/>
          </w:tcPr>
          <w:p>
            <w:pPr>
              <w:spacing w:after="0"/>
              <w:rPr>
                <w:sz w:val="13"/>
                <w:szCs w:val="13"/>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(6,786)</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3"/>
        </w:trPr>
        <w:tc>
          <w:tcPr>
            <w:tcW w:w="1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agreements</w:t>
            </w: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Customer-related</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220,390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(33,547)</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186,843</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Developed</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3"/>
                <w:szCs w:val="13"/>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51,911</w:t>
            </w:r>
          </w:p>
        </w:tc>
        <w:tc>
          <w:tcPr>
            <w:tcW w:w="200" w:type="dxa"/>
            <w:vAlign w:val="bottom"/>
          </w:tcPr>
          <w:p>
            <w:pPr>
              <w:spacing w:after="0"/>
              <w:rPr>
                <w:sz w:val="13"/>
                <w:szCs w:val="13"/>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(31,289)</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88"/>
        </w:trPr>
        <w:tc>
          <w:tcPr>
            <w:tcW w:w="1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tbl>
      <w:tblPr>
        <w:tblLayout w:type="fixed"/>
        <w:tblInd w:w="5820" w:type="dxa"/>
        <w:tblCellMar>
          <w:top w:w="0" w:type="dxa"/>
          <w:left w:w="0" w:type="dxa"/>
          <w:bottom w:w="0" w:type="dxa"/>
          <w:right w:w="0" w:type="dxa"/>
        </w:tblCellMar>
      </w:tblPr>
      <w:tr>
        <w:trPr>
          <w:trHeight w:val="260"/>
        </w:trPr>
        <w:tc>
          <w:tcPr>
            <w:tcW w:w="1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15.4</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7,496</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(2,109)</w:t>
            </w: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0" w:type="dxa"/>
            <w:vAlign w:val="bottom"/>
          </w:tcPr>
          <w:p>
            <w:pPr>
              <w:spacing w:after="0"/>
              <w:rPr>
                <w:sz w:val="1"/>
                <w:szCs w:val="1"/>
                <w:color w:val="auto"/>
              </w:rPr>
            </w:pPr>
          </w:p>
        </w:tc>
      </w:tr>
      <w:tr>
        <w:trPr>
          <w:trHeight w:val="265"/>
        </w:trPr>
        <w:tc>
          <w:tcPr>
            <w:tcW w:w="1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Backlog and other</w:t>
            </w:r>
          </w:p>
        </w:tc>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0.6</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4,390</w:t>
            </w: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(4,390)</w:t>
            </w: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amortizable</w:t>
            </w:r>
          </w:p>
        </w:tc>
        <w:tc>
          <w:tcPr>
            <w:tcW w:w="100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15.5</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309,285</w:t>
            </w:r>
          </w:p>
        </w:tc>
        <w:tc>
          <w:tcPr>
            <w:tcW w:w="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(91,223)</w:t>
            </w:r>
          </w:p>
        </w:tc>
        <w:tc>
          <w:tcPr>
            <w:tcW w:w="2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218,062</w:t>
            </w:r>
          </w:p>
        </w:tc>
        <w:tc>
          <w:tcPr>
            <w:tcW w:w="0" w:type="dxa"/>
            <w:vAlign w:val="bottom"/>
          </w:tcPr>
          <w:p>
            <w:pPr>
              <w:spacing w:after="0"/>
              <w:rPr>
                <w:sz w:val="1"/>
                <w:szCs w:val="1"/>
                <w:color w:val="auto"/>
              </w:rPr>
            </w:pPr>
          </w:p>
        </w:tc>
      </w:tr>
      <w:tr>
        <w:trPr>
          <w:trHeight w:val="151"/>
        </w:trPr>
        <w:tc>
          <w:tcPr>
            <w:tcW w:w="16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Non-amortizable -</w:t>
            </w:r>
          </w:p>
        </w:tc>
        <w:tc>
          <w:tcPr>
            <w:tcW w:w="100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134,312</w:t>
            </w:r>
          </w:p>
        </w:tc>
        <w:tc>
          <w:tcPr>
            <w:tcW w:w="44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134,312</w:t>
            </w:r>
          </w:p>
        </w:tc>
        <w:tc>
          <w:tcPr>
            <w:tcW w:w="0" w:type="dxa"/>
            <w:vAlign w:val="bottom"/>
          </w:tcPr>
          <w:p>
            <w:pPr>
              <w:spacing w:after="0"/>
              <w:rPr>
                <w:sz w:val="1"/>
                <w:szCs w:val="1"/>
                <w:color w:val="auto"/>
              </w:rPr>
            </w:pPr>
          </w:p>
        </w:tc>
      </w:tr>
      <w:tr>
        <w:trPr>
          <w:trHeight w:val="193"/>
        </w:trPr>
        <w:tc>
          <w:tcPr>
            <w:tcW w:w="1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8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other intangible</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443,597</w:t>
            </w:r>
          </w:p>
        </w:tc>
        <w:tc>
          <w:tcPr>
            <w:tcW w:w="4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(91,223)</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352,374</w:t>
            </w:r>
          </w:p>
        </w:tc>
        <w:tc>
          <w:tcPr>
            <w:tcW w:w="0" w:type="dxa"/>
            <w:vAlign w:val="bottom"/>
          </w:tcPr>
          <w:p>
            <w:pPr>
              <w:spacing w:after="0"/>
              <w:rPr>
                <w:sz w:val="1"/>
                <w:szCs w:val="1"/>
                <w:color w:val="auto"/>
              </w:rPr>
            </w:pPr>
          </w:p>
        </w:tc>
      </w:tr>
      <w:tr>
        <w:trPr>
          <w:trHeight w:val="193"/>
        </w:trPr>
        <w:tc>
          <w:tcPr>
            <w:tcW w:w="1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 net</w:t>
            </w: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3542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0" w:type="dxa"/>
            <w:vAlign w:val="bottom"/>
          </w:tcPr>
          <w:p>
            <w:pPr>
              <w:spacing w:after="0"/>
              <w:rPr>
                <w:sz w:val="13"/>
                <w:szCs w:val="13"/>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78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200" w:type="dxa"/>
            <w:vAlign w:val="bottom"/>
          </w:tcPr>
          <w:p>
            <w:pPr>
              <w:spacing w:after="0"/>
              <w:rPr>
                <w:sz w:val="12"/>
                <w:szCs w:val="12"/>
                <w:color w:val="auto"/>
              </w:rPr>
            </w:pPr>
          </w:p>
        </w:tc>
        <w:tc>
          <w:tcPr>
            <w:tcW w:w="1080" w:type="dxa"/>
            <w:vAlign w:val="bottom"/>
          </w:tcPr>
          <w:p>
            <w:pPr>
              <w:jc w:val="right"/>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Patents</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(12,297)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Non-compete</w:t>
            </w:r>
          </w:p>
        </w:tc>
        <w:tc>
          <w:tcPr>
            <w:tcW w:w="9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rPr>
                <w:sz w:val="13"/>
                <w:szCs w:val="13"/>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6,872</w:t>
            </w:r>
          </w:p>
        </w:tc>
        <w:tc>
          <w:tcPr>
            <w:tcW w:w="200" w:type="dxa"/>
            <w:vAlign w:val="bottom"/>
          </w:tcPr>
          <w:p>
            <w:pPr>
              <w:spacing w:after="0"/>
              <w:rPr>
                <w:sz w:val="13"/>
                <w:szCs w:val="13"/>
                <w:color w:val="auto"/>
              </w:rPr>
            </w:pPr>
          </w:p>
        </w:tc>
        <w:tc>
          <w:tcPr>
            <w:tcW w:w="10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(6,771)</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3"/>
        </w:trPr>
        <w:tc>
          <w:tcPr>
            <w:tcW w:w="1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agreements</w:t>
            </w: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Customer-related</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89,622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(23,653)</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65,969</w:t>
            </w:r>
          </w:p>
        </w:tc>
        <w:tc>
          <w:tcPr>
            <w:tcW w:w="0" w:type="dxa"/>
            <w:vAlign w:val="bottom"/>
          </w:tcPr>
          <w:p>
            <w:pPr>
              <w:spacing w:after="0"/>
              <w:rPr>
                <w:sz w:val="1"/>
                <w:szCs w:val="1"/>
                <w:color w:val="auto"/>
              </w:rPr>
            </w:pPr>
          </w:p>
        </w:tc>
      </w:tr>
      <w:tr>
        <w:trPr>
          <w:trHeight w:val="153"/>
        </w:trPr>
        <w:tc>
          <w:tcPr>
            <w:tcW w:w="144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Developed</w:t>
            </w:r>
          </w:p>
        </w:tc>
        <w:tc>
          <w:tcPr>
            <w:tcW w:w="9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3"/>
                <w:szCs w:val="13"/>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31,029</w:t>
            </w:r>
          </w:p>
        </w:tc>
        <w:tc>
          <w:tcPr>
            <w:tcW w:w="200" w:type="dxa"/>
            <w:vAlign w:val="bottom"/>
          </w:tcPr>
          <w:p>
            <w:pPr>
              <w:spacing w:after="0"/>
              <w:rPr>
                <w:sz w:val="13"/>
                <w:szCs w:val="13"/>
                <w:color w:val="auto"/>
              </w:rPr>
            </w:pPr>
          </w:p>
        </w:tc>
        <w:tc>
          <w:tcPr>
            <w:tcW w:w="10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(28,471)</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3"/>
        </w:trPr>
        <w:tc>
          <w:tcPr>
            <w:tcW w:w="1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(1,805)</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65"/>
        </w:trPr>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800</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(800)</w:t>
            </w: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1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amortizable</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w:t>
            </w: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148,865</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(73,797)</w:t>
            </w:r>
          </w:p>
        </w:tc>
        <w:tc>
          <w:tcPr>
            <w:tcW w:w="2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75,068</w:t>
            </w:r>
          </w:p>
        </w:tc>
        <w:tc>
          <w:tcPr>
            <w:tcW w:w="0" w:type="dxa"/>
            <w:vAlign w:val="bottom"/>
          </w:tcPr>
          <w:p>
            <w:pPr>
              <w:spacing w:after="0"/>
              <w:rPr>
                <w:sz w:val="1"/>
                <w:szCs w:val="1"/>
                <w:color w:val="auto"/>
              </w:rPr>
            </w:pPr>
          </w:p>
        </w:tc>
      </w:tr>
      <w:tr>
        <w:trPr>
          <w:trHeight w:val="151"/>
        </w:trPr>
        <w:tc>
          <w:tcPr>
            <w:tcW w:w="144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Non-amortizable -</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30,581</w:t>
            </w:r>
          </w:p>
        </w:tc>
        <w:tc>
          <w:tcPr>
            <w:tcW w:w="200" w:type="dxa"/>
            <w:vAlign w:val="bottom"/>
          </w:tcPr>
          <w:p>
            <w:pPr>
              <w:spacing w:after="0"/>
              <w:rPr>
                <w:sz w:val="13"/>
                <w:szCs w:val="13"/>
                <w:color w:val="auto"/>
              </w:rPr>
            </w:pPr>
          </w:p>
        </w:tc>
        <w:tc>
          <w:tcPr>
            <w:tcW w:w="10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30,581</w:t>
            </w:r>
          </w:p>
        </w:tc>
        <w:tc>
          <w:tcPr>
            <w:tcW w:w="0" w:type="dxa"/>
            <w:vAlign w:val="bottom"/>
          </w:tcPr>
          <w:p>
            <w:pPr>
              <w:spacing w:after="0"/>
              <w:rPr>
                <w:sz w:val="1"/>
                <w:szCs w:val="1"/>
                <w:color w:val="auto"/>
              </w:rPr>
            </w:pPr>
          </w:p>
        </w:tc>
      </w:tr>
      <w:tr>
        <w:trPr>
          <w:trHeight w:val="193"/>
        </w:trPr>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trade names</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other intangible</w:t>
            </w:r>
          </w:p>
        </w:tc>
        <w:tc>
          <w:tcPr>
            <w:tcW w:w="9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179,446</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(73,797)</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105,649</w:t>
            </w:r>
          </w:p>
        </w:tc>
        <w:tc>
          <w:tcPr>
            <w:tcW w:w="0" w:type="dxa"/>
            <w:vAlign w:val="bottom"/>
          </w:tcPr>
          <w:p>
            <w:pPr>
              <w:spacing w:after="0"/>
              <w:rPr>
                <w:sz w:val="1"/>
                <w:szCs w:val="1"/>
                <w:color w:val="auto"/>
              </w:rPr>
            </w:pPr>
          </w:p>
        </w:tc>
      </w:tr>
      <w:tr>
        <w:trPr>
          <w:trHeight w:val="193"/>
        </w:trPr>
        <w:tc>
          <w:tcPr>
            <w:tcW w:w="1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 net</w:t>
            </w:r>
          </w:p>
        </w:tc>
        <w:tc>
          <w:tcPr>
            <w:tcW w:w="9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definite-lived intangible assets for the fiscal years ended October 31, 2019, 2018, and 2017 was $18.4 million, $7.3 million, and $9.9 million, respectively. Estimated amortization expense for the succeeding fiscal years is as follows: 2020, $18.7 million; 2021, $18.3 million; 2022, $17.1 million; 2023, $15.3 million; 2024, $14.3 million; and after 2024, $134.4 million.</w:t>
      </w:r>
    </w:p>
    <w:p>
      <w:pPr>
        <w:spacing w:after="0" w:line="380" w:lineRule="exact"/>
        <w:rPr>
          <w:sz w:val="20"/>
          <w:szCs w:val="20"/>
          <w:color w:val="auto"/>
        </w:rPr>
      </w:pPr>
    </w:p>
    <w:p>
      <w:pPr>
        <w:ind w:left="580" w:hanging="545"/>
        <w:spacing w:after="0"/>
        <w:tabs>
          <w:tab w:leader="none" w:pos="580" w:val="left"/>
        </w:tabs>
        <w:numPr>
          <w:ilvl w:val="0"/>
          <w:numId w:val="6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4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91,000</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$200 million term loan</w:t>
            </w:r>
          </w:p>
        </w:tc>
        <w:tc>
          <w:tcPr>
            <w:tcW w:w="4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100,000</w:t>
            </w:r>
          </w:p>
        </w:tc>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$300 million term loan</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180,000</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3.81% series A senior notes</w:t>
            </w:r>
          </w:p>
        </w:tc>
        <w:tc>
          <w:tcPr>
            <w:tcW w:w="4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100,000</w:t>
            </w:r>
          </w:p>
        </w:tc>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3.91% series B senior notes</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100,000</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7.800% debentures</w:t>
            </w:r>
          </w:p>
        </w:tc>
        <w:tc>
          <w:tcPr>
            <w:tcW w:w="4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100,000</w:t>
            </w:r>
          </w:p>
        </w:tc>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6.625% senior notes</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123,916</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123,854</w:t>
            </w:r>
          </w:p>
        </w:tc>
        <w:tc>
          <w:tcPr>
            <w:tcW w:w="0" w:type="dxa"/>
            <w:vAlign w:val="bottom"/>
          </w:tcPr>
          <w:p>
            <w:pPr>
              <w:spacing w:after="0"/>
              <w:rPr>
                <w:sz w:val="1"/>
                <w:szCs w:val="1"/>
                <w:color w:val="auto"/>
              </w:rPr>
            </w:pPr>
          </w:p>
        </w:tc>
      </w:tr>
      <w:tr>
        <w:trPr>
          <w:trHeight w:val="153"/>
        </w:trPr>
        <w:tc>
          <w:tcPr>
            <w:tcW w:w="33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Less: unamortized discounts, debt issuance costs, and</w:t>
            </w:r>
          </w:p>
        </w:tc>
        <w:tc>
          <w:tcPr>
            <w:tcW w:w="40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(3,103)</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93"/>
        </w:trPr>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deferred charges</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debt</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700,813</w:t>
            </w:r>
          </w:p>
        </w:tc>
        <w:tc>
          <w:tcPr>
            <w:tcW w:w="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312,549</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79,914</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4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620,899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312,549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in each of the next five fiscal years, based on the maturity dates defined within the company's debt arrangements indebtedness, are as follows: fiscal 2020, $0.0 million; fiscal 2021, $0.0 million; fiscal 2022, $115.0 million; fiscal 2023, $30.0 million; fiscal 2024, $135.0 million; and after fiscal 2024, $425.0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company replaced its prior revolving credit facility and term loan, which were scheduled to mature in October 2019, with an unsecured senior five-year revolving credit facility that, among other things, increased the company's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to $600.0 million, from $150.0 million, and expires in June 2023. Included in the company's $600.0 million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 In connection with the entry into the new revolving credit facility during June 2018, the company incurred approximately $1.9 million of debt issuance costs, which are being amortized over the life of the revolving credit facility under the straight-line method as the results obtained are not materially different from those that would result from the use of the effective interest method. The company classifies the debt issuance costs related to its revolving credit facility within other assets on the Consolidated Balance Sheets, regardless of whether the company has any outstanding borrowings on the revolving credit facility.</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October 31, 2019, the company had no borrowings under the revolving credit facility but did have $1.9 million outstanding under the sublimit for standby letters of credit, which resulted in $598.1 million of unutilized availability under the revolving credit facility. As of October 31, 2018, the company had $91.0 million outstanding under the revolving credit facility, $1.5 million outstanding under the sublimit for standby letters of credit, and $507.5 million of unutilized availability under the revolving credit facility. Typically, the company's revolving credit facility is classified as long-term debt within the company's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that portion of outstanding borrowings under the revolving credit facility to current portion of long-term debt within the Consolidated Balance Sheets. As of October 31, 2018, the $91.0 million of outstanding borrowings under the company's revolving credit facility was classified as long-term debt within the company's Consolidated Balance Sheets.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October 31, 2019 and October 31, 2018.</w:t>
      </w:r>
    </w:p>
    <w:p>
      <w:pPr>
        <w:spacing w:after="0" w:line="3501" w:lineRule="exact"/>
        <w:rPr>
          <w:sz w:val="20"/>
          <w:szCs w:val="20"/>
          <w:color w:val="auto"/>
        </w:rPr>
      </w:pPr>
    </w:p>
    <w:p>
      <w:pPr>
        <w:sectPr>
          <w:pgSz w:w="11900" w:h="16838" w:orient="portrait"/>
          <w:cols w:equalWidth="0" w:num="2">
            <w:col w:w="5600" w:space="220"/>
            <w:col w:w="5600"/>
          </w:cols>
          <w:pgMar w:left="240" w:top="121" w:right="239" w:bottom="981"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981"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if applicable,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fiscal years ended October 31, 2019 and October 31, 2018, the company incurred interest expense of approximately $1.9 million and $1.3 million, respectively. For the fiscal year ended October 31, 2017, the company did not incur interest expense under the revolving credit facility that was in place at that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22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In March 2019, the company entered into a term loan agreement with a syndicate of financial institutions for the purpose of partially funding the purchase price of the company's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The funds under both term loan facilities were received on April 1, 2019 in connection with the closing of the company's acquisition of CMW. There are no scheduled principal amortization payments prior to maturity on the $200.0 million three year unsecured senior term loan facility. For the $300.0 million five year unsecured senior term loan facility, the company is required to make quarterly principal amortization payments of 2.5 percent of the aggregate principal balance beginning with the last business day of the thirteenth calendar quarter ending after April 1, 2019, with the remainder of the unpaid principal balance due at maturity. No principal payments are required during the first three and one quarter (3.25) years of the $300.0 million five year unsecured senior term loan facility. The term loan facilities may be prepaid and terminated at the company's election at any time without penalty or premium.</w:t>
      </w:r>
    </w:p>
    <w:p>
      <w:pPr>
        <w:spacing w:after="0" w:line="191"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As of October 31, 2019, the company has prepaid $100.0 million and $120.0 million against the outstanding principal balances of the $200.0 million three year unsecured senior term loan facility and $300.0 million five year unsecured senior term loan facility, respectively, and has reclassified $79.9 million of the remaining outstanding principal balance under the term loan credit agreement, net of the related proportionate share of debt issuance costs, to current portion of long-term debt within the Consolidated Balance Sheets as the company intends to prepay such amount utilizing cash flows from operations within the next twelve months. Thus, as of October 31, 2019, there were $100.0 million and $180.0 million of outstanding borrowings under the term loan credit agreement for the $200.0 million three year unsecured senior term loan facility and the $300.0</w:t>
      </w: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five year unsecured senior term loan facility, respectively.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entry into the term loan credit agreement in March 2019, the company incurred approximately $0.6 million of debt issuance costs, which are being amortized over the life of the respective term loans under the straight-line method as the results obtained are not materially different from those that would result from the use of the effective interest method. Unamortized deferred debt issuance costs are netted against the outstanding borrowings under the term loan credit agreement on the company's Consolidated Balance Sheets.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loan credit agreement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term loan credit agreement as of October 31, 2019. Outstanding borrowings under the term loan credit agreement bear interest at a variable rate based on LIBOR or an alternative variable rate, subject to an additional basis point spread as defined in the term credit loan agreement. Interest is payable quarterly in arrears. For the fiscal year ended October 31, 2019, the company incurred interest expense of approximately $7.5 million on the outstanding borrowings under the term loan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3.81% Series A and 3.91% Series B Senior Notes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("holders") pursuant to which the company agreed to issue and sell an aggregate principal amount of $100.0 million of 3.81 percent Series A Senior Notes due June 15, 2029 ("Series A Senior Notes") and $100.0 million of 3.91 percent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 As of October 31, 2019, there was $200.0 million of outstanding borrowings under the private placement note purchase agreement, including $100.0 million of outstanding borrowings under the Series A Senior Notes and $100.0 million of outstanding borrowings under the Series B Senior Notes.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to prepay all or a portion of either series of the Senior Notes in an amount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w:t>
      </w:r>
    </w:p>
    <w:p>
      <w:pPr>
        <w:sectPr>
          <w:pgSz w:w="11900" w:h="16838" w:orient="portrait"/>
          <w:cols w:equalWidth="0" w:num="2">
            <w:col w:w="5800" w:space="20"/>
            <w:col w:w="560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interest, if any, to the date of prepayment. In addition, at any time on or after the date that is 90 days prior to the maturity date of the respective series, the company has the right to prepay all of the outstanding Senior Note or each series for 100.0 percent of the principal amount so prepaid, plus accrued and unpaid interest, if any, to the date of prepayment. Upon the occurrence of certain change of control events, we are required to prepay all of the Senior Notes for the principal amount thereof plus accrued and unpaid interest, if any, to the date of prepayment.</w:t>
      </w:r>
    </w:p>
    <w:p>
      <w:pPr>
        <w:spacing w:after="0" w:line="185"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October 31, 2019.</w:t>
      </w:r>
    </w:p>
    <w:p>
      <w:pPr>
        <w:spacing w:after="0" w:line="189"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In connection with the company's issuance of the Senior Notes in June 2019, the company incurred approximately $0.7 million of debt issuance costs, which are being amortized over the life of the respective Senior Note under the straight-line method as the results obtained are not materially different from those that would result from the use of the effective interest method. Unamortized deferred debt issuance costs are netted against the outstanding borrowings under the respective Senior Note on the company's Consolidated Balance Sheets.</w:t>
      </w:r>
    </w:p>
    <w:p>
      <w:pPr>
        <w:spacing w:after="0" w:line="185"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commencing on December 15, 2019. For the fiscal year ended October 31, 2019, the company incurred interest expense of approximately $2.6 million on the outstanding borrowings under the private placement note purchase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Debentures</w:t>
      </w:r>
    </w:p>
    <w:p>
      <w:pPr>
        <w:spacing w:after="0" w:line="229"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debentures is payable semiannually on the 15th day of June and December in each year. For the fiscal years ended October 31, 2019, 2018 and 2017, the company incurred interest expense of approximately $7.9 million, $8.0 million and $8.0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6.625% Senior Notes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percent senior notes due May 1, 2037 and priced at 98.513 percent of par value. The resulting discount of $1.9 million and the underwriting fees and direct debt issue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w:t>
      </w:r>
    </w:p>
    <w:p>
      <w:pPr>
        <w:spacing w:after="0" w:line="11" w:lineRule="exact"/>
        <w:rPr>
          <w:sz w:val="20"/>
          <w:szCs w:val="20"/>
          <w:color w:val="auto"/>
        </w:rPr>
      </w:pPr>
    </w:p>
    <w:p>
      <w:pPr>
        <w:jc w:val="both"/>
        <w:ind w:firstLine="8"/>
        <w:spacing w:after="0" w:line="252" w:lineRule="auto"/>
        <w:tabs>
          <w:tab w:leader="none" w:pos="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of the notes below an investment grade rating by both Moody's Investors Service, Inc. and Standard &amp; Poor's Ratings Services within a specified period, the company would be required to make an offer to purchase the senior notes at a price equal to 101.0 percent of the principal amount of the senior notes plus accrued and unpaid interest to the date of repurchase.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1st day of May and November in each year. For each of the fiscal years ended October 31, 2019, 2018 and 2017, the company incurred interest expense of approximately $8.4 million.</w:t>
      </w:r>
    </w:p>
    <w:p>
      <w:pPr>
        <w:spacing w:after="0" w:line="372" w:lineRule="exact"/>
        <w:rPr>
          <w:sz w:val="20"/>
          <w:szCs w:val="20"/>
          <w:color w:val="auto"/>
        </w:rPr>
      </w:pPr>
    </w:p>
    <w:p>
      <w:pPr>
        <w:ind w:left="580" w:hanging="545"/>
        <w:spacing w:after="0"/>
        <w:tabs>
          <w:tab w:leader="none" w:pos="580" w:val="left"/>
        </w:tabs>
        <w:numPr>
          <w:ilvl w:val="0"/>
          <w:numId w:val="6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Management 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Toro Underground Wind Down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2019, during the company's fiscal 2019 third quarter, the company announced a plan to wind down the company's Toro-branded large directional drill and riding trencher product categories within its Professional segment product portfolio ("Toro underground wind down"). The company expects to incur total pretax charges of approximately $10.0 million to $13.0 million related to the Toro underground wind down. For the fiscal year ended October 31, 2019, the company recorded $8.8 million of pre-tax charges related to inventory write-downs to net realizable value and accelerated</w:t>
      </w:r>
    </w:p>
    <w:p>
      <w:pPr>
        <w:sectPr>
          <w:pgSz w:w="11900" w:h="16838" w:orient="portrait"/>
          <w:cols w:equalWidth="0" w:num="2">
            <w:col w:w="5800" w:space="20"/>
            <w:col w:w="560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depreciation on fixed assets that will no longer be used within cost of sales in the Consolidated Statements of Earnings as a result of the Toro underground wind down. Additionally, the company recorded $1.2 million of pre-tax charges related to anticipated inventory retail support activities within net sales in the Consolidated Statements of Earnings for the fiscal year ended October 31, 2019. As of October 31, 2019, the company had a remaining accrual balance of $0.9 million related to the anticipated inventory retail support activities within accrued liabilities in the Consolidated Balance Sheets. The remainder of the estimated pre-tax charges are anticipated to be primarily comprised of costs related to the write-down of future component parts inventory purchases to finalize assembly of the company's remaining Toro-branded large directional drill and riding trencher inventory. Substantially all costs related to the Toro underground wind down are expected to be incurred by the end of fiscal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consolidated effective tax rate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Statutory federal income tax rate</w:t>
            </w:r>
          </w:p>
        </w:tc>
        <w:tc>
          <w:tcPr>
            <w:tcW w:w="11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21.0 %</w:t>
            </w:r>
          </w:p>
        </w:tc>
        <w:tc>
          <w:tcPr>
            <w:tcW w:w="11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23.3 %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0" w:type="dxa"/>
            <w:vAlign w:val="bottom"/>
          </w:tcPr>
          <w:p>
            <w:pPr>
              <w:spacing w:after="0"/>
              <w:rPr>
                <w:sz w:val="1"/>
                <w:szCs w:val="1"/>
                <w:color w:val="auto"/>
              </w:rPr>
            </w:pPr>
          </w:p>
        </w:tc>
      </w:tr>
      <w:tr>
        <w:trPr>
          <w:trHeight w:val="153"/>
        </w:trPr>
        <w:tc>
          <w:tcPr>
            <w:tcW w:w="2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Excess deduction for stock</w:t>
            </w: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(3.7)</w:t>
            </w: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(3.5)</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1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Domestic manufacturer's</w:t>
            </w:r>
          </w:p>
        </w:tc>
        <w:tc>
          <w:tcPr>
            <w:tcW w:w="112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0.1</w:t>
            </w:r>
          </w:p>
        </w:tc>
        <w:tc>
          <w:tcPr>
            <w:tcW w:w="112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(0.9)</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deduction</w:t>
            </w:r>
          </w:p>
        </w:tc>
        <w:tc>
          <w:tcPr>
            <w:tcW w:w="1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State and local income taxes, net</w:t>
            </w:r>
          </w:p>
        </w:tc>
        <w:tc>
          <w:tcPr>
            <w:tcW w:w="11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1.1</w:t>
            </w:r>
          </w:p>
        </w:tc>
        <w:tc>
          <w:tcPr>
            <w:tcW w:w="11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1.3</w:t>
            </w: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3"/>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federal benefit</w:t>
            </w:r>
          </w:p>
        </w:tc>
        <w:tc>
          <w:tcPr>
            <w:tcW w:w="1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operations</w:t>
            </w:r>
          </w:p>
        </w:tc>
        <w:tc>
          <w:tcPr>
            <w:tcW w:w="11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(0.5)</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65"/>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 research tax credit</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11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2019, the company incurred corporate restructuring charges related to employee severance costs as the company focuses on aligning the company's operations in the most strategic and cost-effective structure subsequent to the company's acquisition of CMW. As a result of such corporate restructuring, the company recorded pre-tax charges of $0.6 million within cost of sales and pre-tax charges of $6.0 million within selling, general and administrative expense in the Consolidated Statements of Earnings during fiscal 2019. The company does not expect to incur additional charges in fiscal 2020 related to this corporate restructuring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2019, the company divested of a used underground construction equipment business, which was acquired as a result of the company's acquisition of CMW. Such divestiture was immaterial based on the company's Consolidated Financial Condition and Results of Operations.</w:t>
      </w:r>
    </w:p>
    <w:p>
      <w:pPr>
        <w:spacing w:after="0" w:line="376" w:lineRule="exact"/>
        <w:rPr>
          <w:sz w:val="20"/>
          <w:szCs w:val="20"/>
          <w:color w:val="auto"/>
        </w:rPr>
      </w:pPr>
    </w:p>
    <w:p>
      <w:pPr>
        <w:ind w:left="580" w:hanging="545"/>
        <w:spacing w:after="0"/>
        <w:tabs>
          <w:tab w:leader="none" w:pos="580" w:val="left"/>
        </w:tabs>
        <w:numPr>
          <w:ilvl w:val="0"/>
          <w:numId w:val="7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Remeasurement of deferred tax</w:t>
            </w: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(0.1)</w:t>
            </w:r>
          </w:p>
        </w:tc>
        <w:tc>
          <w:tcPr>
            <w:tcW w:w="11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5.2</w:t>
            </w: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and liabilities</w:t>
            </w:r>
          </w:p>
        </w:tc>
        <w:tc>
          <w:tcPr>
            <w:tcW w:w="12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Deemed repatriation tax</w:t>
            </w:r>
          </w:p>
        </w:tc>
        <w:tc>
          <w:tcPr>
            <w:tcW w:w="12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(0.2)</w:t>
            </w:r>
          </w:p>
        </w:tc>
        <w:tc>
          <w:tcPr>
            <w:tcW w:w="11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3.6</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(0.2)</w:t>
            </w:r>
          </w:p>
        </w:tc>
        <w:tc>
          <w:tcPr>
            <w:tcW w:w="11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(0.3)</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4"/>
        </w:trPr>
        <w:tc>
          <w:tcPr>
            <w:tcW w:w="2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Consolidated effective tax rate</w:t>
            </w:r>
          </w:p>
        </w:tc>
        <w:tc>
          <w:tcPr>
            <w:tcW w:w="12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14.9 %</w:t>
            </w:r>
          </w:p>
        </w:tc>
        <w:tc>
          <w:tcPr>
            <w:tcW w:w="11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27.0 %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2017, the U.S. enacted Public Law No. 115-97 ("Tax Act"), originally introduced as the Tax Cuts and Jobs Act, which significantly modified the Internal Revenue Code. The Tax Act reduced the U.S. federal corporate tax rate from 35.0 percent to 21.0 percent, created a territorial-type tax system with an exemption for foreign dividends, and imposed a one-time deemed repatriation tax on a U.S. company's historical undistributed earnings and profits of foreign affiliates. The tax rate change was effective January 1, 2018, which resulted in a blended statutory tax rate of 23.3 percent for the fiscal year ended October 31, 2018. The reduced tax rate of 21.0 percent was applicable to the fiscal year ended October 31, 2019. Among other provisions, the Tax Act also increased expensing for certain business assets, created new taxes on certain foreign sourced earnings, provided an incentive on specified export activities, adopted limitations on business interest expense deductions, repealed deductions for income attributable to domestic production activities, and added other anti-base erosion rules.</w:t>
      </w:r>
    </w:p>
    <w:p>
      <w:pPr>
        <w:spacing w:after="0" w:line="196"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2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5"/>
        </w:trPr>
        <w:tc>
          <w:tcPr>
            <w:tcW w:w="2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283,730</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333,136</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307,136</w:t>
            </w:r>
          </w:p>
        </w:tc>
      </w:tr>
      <w:tr>
        <w:trPr>
          <w:trHeight w:val="270"/>
        </w:trPr>
        <w:tc>
          <w:tcPr>
            <w:tcW w:w="2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38,403</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39,261</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46,048</w:t>
            </w:r>
          </w:p>
        </w:tc>
      </w:tr>
      <w:tr>
        <w:trPr>
          <w:trHeight w:val="264"/>
        </w:trPr>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322,133</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372,397</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353,184</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As of October 31, 2018, the company completed the accounting for the effects of the Tax Act. The company recorded tax expense of $19.3 million for the remeasurement of deferred tax assets and liabilities, and tax expense of $13.4 million for the one-time transition tax on deemed repatriation tax of its non-U.S. subsidiaries. Included with the company's provision for income taxes within the Consolidated Statements of Earnings for the fiscal year ended October 31, 2019 are final immaterial adjustments related to the Tax Act, including a tax benefit of $0.3 million for the remeasurement of deferred tax assets and liabilities and a tax benefit of $0.7 million for the deemed repatriation.</w:t>
      </w:r>
    </w:p>
    <w:p>
      <w:pPr>
        <w:spacing w:after="0" w:line="186"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The Global Intangible Low-Taxed Income ("GILTI") provisions under the Tax Act requires the company to include in its U.S. income tax return any foreign subsidiary earnings in excess of an allowable return on the foreign subsidiary’s tangible assets. Under U.S. GAAP, the company is allowed to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2">
            <w:col w:w="5580" w:space="40"/>
            <w:col w:w="5800"/>
          </w:cols>
          <w:pgMar w:left="240" w:top="121" w:right="2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make an accounting policy election of either (1) treating taxes due on future U.S. inclusions in taxable income related to GILTI as a current period expense when incurred (“period cost method”) or (2) factoring such amounts into the company’s measurement of its deferred taxes (“deferred method”).The company has elected the period cost method and therefore, has recorded additional income tax expense, net of offsetting foreign tax credits, in the amount of $1.0 million as a result of GILTI for the fiscal year ended October 31, 2019, which is included within foreign operations in the company's reconciliation of the statutory federal income tax rate to the company's consolidated effective tax rate above.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Foreign-Derived Intangible Income (“FDII”) provisions of the Tax Act provide an incentive to domestic corporations in the form of a lower tax rate on income derived from tangible and intangible products and services in foreign markets. This lower tax rate is accomplished through an additional tax deduction based on a percentage of qualifying sales. The FDII deduction provided the company an additional tax benefit of $4.2 million in the fiscal year ended October 31, 2019.</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Components of the company's provision for income taxes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provision:</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5"/>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37,415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64,375</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83,091</w:t>
            </w:r>
          </w:p>
        </w:tc>
      </w:tr>
      <w:tr>
        <w:trPr>
          <w:trHeight w:val="275"/>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7,495</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6,192</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3,036</w:t>
            </w:r>
          </w:p>
        </w:tc>
      </w:tr>
      <w:tr>
        <w:trPr>
          <w:trHeight w:val="265"/>
        </w:trPr>
        <w:tc>
          <w:tcPr>
            <w:tcW w:w="2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6,846</w:t>
            </w: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7,087</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8,166</w:t>
            </w:r>
          </w:p>
        </w:tc>
      </w:tr>
      <w:tr>
        <w:trPr>
          <w:trHeight w:val="264"/>
        </w:trPr>
        <w:tc>
          <w:tcPr>
            <w:tcW w:w="2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provision</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51,756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77,654</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94,293</w:t>
            </w:r>
          </w:p>
        </w:tc>
      </w:tr>
      <w:tr>
        <w:trPr>
          <w:trHeight w:val="264"/>
        </w:trPr>
        <w:tc>
          <w:tcPr>
            <w:tcW w:w="2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provision (benefit):</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5"/>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22,074</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w:t>
            </w:r>
          </w:p>
        </w:tc>
      </w:tr>
      <w:tr>
        <w:trPr>
          <w:trHeight w:val="265"/>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(3,205)</w:t>
            </w:r>
          </w:p>
        </w:tc>
        <w:tc>
          <w:tcPr>
            <w:tcW w:w="2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70"/>
        </w:trPr>
        <w:tc>
          <w:tcPr>
            <w:tcW w:w="22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r>
      <w:tr>
        <w:trPr>
          <w:trHeight w:val="264"/>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deferred provision (benefit)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(3,606)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22,804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w:t>
            </w:r>
          </w:p>
        </w:tc>
      </w:tr>
      <w:tr>
        <w:trPr>
          <w:trHeight w:val="264"/>
        </w:trPr>
        <w:tc>
          <w:tcPr>
            <w:tcW w:w="2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48,150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100,458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85,467</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income tax (liabilities) assets, net, are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7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27,969</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24,315</w:t>
            </w:r>
          </w:p>
        </w:tc>
      </w:tr>
      <w:tr>
        <w:trPr>
          <w:trHeight w:val="27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Warranty and insurance</w:t>
            </w:r>
          </w:p>
        </w:tc>
        <w:tc>
          <w:tcPr>
            <w:tcW w:w="7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25,788</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19,037</w:t>
            </w:r>
          </w:p>
        </w:tc>
      </w:tr>
      <w:tr>
        <w:trPr>
          <w:trHeight w:val="26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Advertising and sales allowance</w:t>
            </w:r>
          </w:p>
        </w:tc>
        <w:tc>
          <w:tcPr>
            <w:tcW w:w="7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8,866</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7,650</w:t>
            </w:r>
          </w:p>
        </w:tc>
      </w:tr>
      <w:tr>
        <w:trPr>
          <w:trHeight w:val="275"/>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7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4,005</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2,742</w:t>
            </w:r>
          </w:p>
        </w:tc>
      </w:tr>
      <w:tr>
        <w:trPr>
          <w:trHeight w:val="26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8,745</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5,047</w:t>
            </w:r>
          </w:p>
        </w:tc>
      </w:tr>
      <w:tr>
        <w:trPr>
          <w:trHeight w:val="270"/>
        </w:trPr>
        <w:tc>
          <w:tcPr>
            <w:tcW w:w="3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Valuation allowance</w:t>
            </w:r>
          </w:p>
        </w:tc>
        <w:tc>
          <w:tcPr>
            <w:tcW w:w="7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(3,199)</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64"/>
        </w:trPr>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72,174</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57,613</w:t>
            </w:r>
          </w:p>
        </w:tc>
      </w:tr>
      <w:tr>
        <w:trPr>
          <w:trHeight w:val="269"/>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7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5"/>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(40,964)</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w:t>
            </w:r>
          </w:p>
        </w:tc>
      </w:tr>
      <w:tr>
        <w:trPr>
          <w:trHeight w:val="270"/>
        </w:trPr>
        <w:tc>
          <w:tcPr>
            <w:tcW w:w="3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7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(75,538)</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(8,377)</w:t>
            </w:r>
          </w:p>
        </w:tc>
      </w:tr>
      <w:tr>
        <w:trPr>
          <w:trHeight w:val="264"/>
        </w:trPr>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7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(116,502)</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(20,758)</w:t>
            </w:r>
          </w:p>
        </w:tc>
      </w:tr>
      <w:tr>
        <w:trPr>
          <w:trHeight w:val="264"/>
        </w:trPr>
        <w:tc>
          <w:tcPr>
            <w:tcW w:w="3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income tax (liabilities) assets, net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(44,328)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36,855</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net change in the total valuation allowance between the fiscal years ended October 31, 2019 and 2018 was an increase of $2.0 million, including $1.7 million related to deferred tax assets recorded as a result of the company's purchase accounting for the CMW acquisition related to branch foreign tax credits, as well as future capital loss carryforwards determined not to be realizable. The change in valuation allowance also included loss and credit carryforwards that are expected to expire prior to utilization. As of October 31, 2019, the company had net operating loss carryforwards of approximately $3.4 million in foreign jurisdictions, which are comprised of $2.8 million that do not expire and $0.6 million that expire between fiscal 2020 and fiscal 2028. The company also had domestic credit carryforwards of $1.0 million that expires between fiscal 2029 and fiscal 2034.</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considers that $17.2 million of undistributed earnings of its foreign operations are intended to be indefinitely reinvested. Should these earnings be distributed in the future in the form of dividends or otherwise, the company may be subject to foreign withholding taxes, state income taxes, and/or additional federal taxes for currency fluctuations. As of October 31, 2019, the unrecognized deferred tax liabilities for temporary differences related to the company’s investment in non-U.S. subsidiaries, and any withholding, state, or additional federal taxes upon any future repatriation, are expected to be immaterial and have not been recorded.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Unrecognized tax benefits as of October 31, 2018</w:t>
            </w:r>
          </w:p>
        </w:tc>
        <w:tc>
          <w:tcPr>
            <w:tcW w:w="6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2,345</w:t>
            </w:r>
          </w:p>
        </w:tc>
      </w:tr>
      <w:tr>
        <w:trPr>
          <w:trHeight w:val="26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Increase as a result of tax positions taken during a prior period</w:t>
            </w: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as a result of tax positions taken during the current period</w:t>
            </w:r>
          </w:p>
        </w:tc>
        <w:tc>
          <w:tcPr>
            <w:tcW w:w="68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Decrease relating to settlements with taxing authorities</w:t>
            </w: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65"/>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Reductions as a result of statute of limitations lapses</w:t>
            </w:r>
          </w:p>
        </w:tc>
        <w:tc>
          <w:tcPr>
            <w:tcW w:w="6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64"/>
        </w:trPr>
        <w:tc>
          <w:tcPr>
            <w:tcW w:w="4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Unrecognized tax benefits as of October 31, 2019</w:t>
            </w:r>
          </w:p>
        </w:tc>
        <w:tc>
          <w:tcPr>
            <w:tcW w:w="6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the provision for income taxes within the Consolidated Statements of Earnings. In addition to the liability of $2.7 million for unrecognized tax benefits as of October 31, 2019, the company had an amount of $0.5 million of accrued interest and penalties. Included in the balance of unrecognized tax benefits as of October 31, 2019 are potential benefits of $2.5 million that, if recognized, would affect the effective tax rate from continuing operations.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2015. The Internal Revenue Service completed an audit of fiscal 2014 through fiscal 2017, with no material adjustments to tax expense or unrecognized tax benefits. The company is also under audit in certain state jurisdictions and expects various statutes of limitation to expire during the next</w:t>
      </w:r>
    </w:p>
    <w:p>
      <w:pPr>
        <w:spacing w:after="0" w:line="2001"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12 months. Due to the uncertainty related to the response of taxing authorities, a range of outcomes cannot be reasonably estimated at this time.</w:t>
      </w:r>
    </w:p>
    <w:p>
      <w:pPr>
        <w:spacing w:after="0" w:line="353" w:lineRule="exact"/>
        <w:rPr>
          <w:sz w:val="20"/>
          <w:szCs w:val="20"/>
          <w:color w:val="auto"/>
        </w:rPr>
      </w:pPr>
    </w:p>
    <w:p>
      <w:pPr>
        <w:ind w:left="580" w:hanging="545"/>
        <w:spacing w:after="0"/>
        <w:tabs>
          <w:tab w:leader="none" w:pos="580" w:val="left"/>
        </w:tabs>
        <w:numPr>
          <w:ilvl w:val="0"/>
          <w:numId w:val="7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Stock-Based Compensation Plans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the 2010 plan for executive officers, other employees, and non-employee members of the company's Board of Directors. The 2010 plan allows the company to grant equity-based compensation awards, including stock options, restricted stock units, restricted stock, and performance share awards. The number of unissued shares of common stock available for future equity-based grants under the 2010 plan was 4,358,384 as of October 31, 2019. Shares of common stock issued upon exercise or settlement of stock options, restricted stock units, and performance shares are issued from treasury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costs related to stock-based awards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Unrestricted common stock awards</w:t>
            </w: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530</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65"/>
        </w:trPr>
        <w:tc>
          <w:tcPr>
            <w:tcW w:w="2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option awards</w:t>
            </w:r>
          </w:p>
        </w:tc>
        <w:tc>
          <w:tcPr>
            <w:tcW w:w="3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6,537</w:t>
            </w:r>
          </w:p>
        </w:tc>
        <w:tc>
          <w:tcPr>
            <w:tcW w:w="3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5,006</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0" w:type="dxa"/>
            <w:vAlign w:val="bottom"/>
          </w:tcPr>
          <w:p>
            <w:pPr>
              <w:spacing w:after="0"/>
              <w:rPr>
                <w:sz w:val="1"/>
                <w:szCs w:val="1"/>
                <w:color w:val="auto"/>
              </w:rPr>
            </w:pPr>
          </w:p>
        </w:tc>
      </w:tr>
      <w:tr>
        <w:trPr>
          <w:trHeight w:val="275"/>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stock units</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3,230</w:t>
            </w: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2,997</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265"/>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Performance share awards</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3,070</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3,628</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0" w:type="dxa"/>
            <w:vAlign w:val="bottom"/>
          </w:tcPr>
          <w:p>
            <w:pPr>
              <w:spacing w:after="0"/>
              <w:rPr>
                <w:sz w:val="1"/>
                <w:szCs w:val="1"/>
                <w:color w:val="auto"/>
              </w:rPr>
            </w:pPr>
          </w:p>
        </w:tc>
      </w:tr>
      <w:tr>
        <w:trPr>
          <w:trHeight w:val="151"/>
        </w:trPr>
        <w:tc>
          <w:tcPr>
            <w:tcW w:w="23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compensation cost for stock-</w:t>
            </w:r>
          </w:p>
        </w:tc>
        <w:tc>
          <w:tcPr>
            <w:tcW w:w="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13,429</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12,161</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13,517</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based awards</w:t>
            </w: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2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Related tax benefit from stock-based</w:t>
            </w:r>
          </w:p>
        </w:tc>
        <w:tc>
          <w:tcPr>
            <w:tcW w:w="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3,200</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2,905</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193"/>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3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Unrestricted Common Stock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2019, 2018, and 2017, 10,090, 8,388, and 11,412 shares, respectively, of fully vested unrestricted common stock awards were granted to certain members of the company's Board of Directors as a component of their compensation for their service on the board and are recorded in selling, general and administrative expense in the Consolidated Statements of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 of option in years</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6.31</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6.04</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3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19.83%</w:t>
            </w:r>
          </w:p>
        </w:tc>
        <w:tc>
          <w:tcPr>
            <w:tcW w:w="40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20.58%</w:t>
            </w:r>
          </w:p>
        </w:tc>
        <w:tc>
          <w:tcPr>
            <w:tcW w:w="40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2.77%</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2.21%</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3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w:t>
            </w:r>
          </w:p>
        </w:tc>
        <w:tc>
          <w:tcPr>
            <w:tcW w:w="40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0.97%</w:t>
            </w:r>
          </w:p>
        </w:tc>
        <w:tc>
          <w:tcPr>
            <w:tcW w:w="40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58"/>
        </w:trPr>
        <w:tc>
          <w:tcPr>
            <w:tcW w:w="20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Per share weighted-average fair</w:t>
            </w:r>
          </w:p>
        </w:tc>
        <w:tc>
          <w:tcPr>
            <w:tcW w:w="3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12.83</w:t>
            </w:r>
          </w:p>
        </w:tc>
        <w:tc>
          <w:tcPr>
            <w:tcW w:w="4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14.25</w:t>
            </w:r>
          </w:p>
        </w:tc>
        <w:tc>
          <w:tcPr>
            <w:tcW w:w="4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93"/>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value at date of grant</w:t>
            </w: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stock option activity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80" w:type="dxa"/>
            <w:vAlign w:val="bottom"/>
          </w:tcPr>
          <w:p>
            <w:pPr>
              <w:spacing w:after="0"/>
              <w:rPr>
                <w:sz w:val="13"/>
                <w:szCs w:val="13"/>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80" w:type="dxa"/>
            <w:vAlign w:val="bottom"/>
          </w:tcPr>
          <w:p>
            <w:pPr>
              <w:spacing w:after="0"/>
              <w:rPr>
                <w:sz w:val="12"/>
                <w:szCs w:val="12"/>
                <w:color w:val="auto"/>
              </w:rPr>
            </w:pPr>
          </w:p>
        </w:tc>
        <w:tc>
          <w:tcPr>
            <w:tcW w:w="84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160" w:type="dxa"/>
            <w:vAlign w:val="bottom"/>
          </w:tcPr>
          <w:p>
            <w:pPr>
              <w:jc w:val="right"/>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180" w:type="dxa"/>
            <w:vAlign w:val="bottom"/>
          </w:tcPr>
          <w:p>
            <w:pPr>
              <w:spacing w:after="0"/>
              <w:rPr>
                <w:sz w:val="12"/>
                <w:szCs w:val="12"/>
                <w:color w:val="auto"/>
              </w:rPr>
            </w:pPr>
          </w:p>
        </w:tc>
        <w:tc>
          <w:tcPr>
            <w:tcW w:w="860" w:type="dxa"/>
            <w:vAlign w:val="bottom"/>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80" w:type="dxa"/>
            <w:vAlign w:val="bottom"/>
          </w:tcPr>
          <w:p>
            <w:pPr>
              <w:spacing w:after="0"/>
              <w:rPr>
                <w:sz w:val="12"/>
                <w:szCs w:val="12"/>
                <w:color w:val="auto"/>
              </w:rPr>
            </w:pPr>
          </w:p>
        </w:tc>
        <w:tc>
          <w:tcPr>
            <w:tcW w:w="84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(in</w:t>
            </w:r>
          </w:p>
        </w:tc>
        <w:tc>
          <w:tcPr>
            <w:tcW w:w="0" w:type="dxa"/>
            <w:vAlign w:val="bottom"/>
          </w:tcPr>
          <w:p>
            <w:pPr>
              <w:spacing w:after="0"/>
              <w:rPr>
                <w:sz w:val="1"/>
                <w:szCs w:val="1"/>
                <w:color w:val="auto"/>
              </w:rPr>
            </w:pPr>
          </w:p>
        </w:tc>
      </w:tr>
      <w:tr>
        <w:trPr>
          <w:trHeight w:val="186"/>
        </w:trPr>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(years)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0" w:type="dxa"/>
            <w:vAlign w:val="bottom"/>
          </w:tcPr>
          <w:p>
            <w:pPr>
              <w:spacing w:after="0"/>
              <w:rPr>
                <w:sz w:val="1"/>
                <w:szCs w:val="1"/>
                <w:color w:val="auto"/>
              </w:rPr>
            </w:pPr>
          </w:p>
        </w:tc>
      </w:tr>
      <w:tr>
        <w:trPr>
          <w:trHeight w:val="153"/>
        </w:trPr>
        <w:tc>
          <w:tcPr>
            <w:tcW w:w="13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Outstanding as of</w:t>
            </w:r>
          </w:p>
        </w:tc>
        <w:tc>
          <w:tcPr>
            <w:tcW w:w="11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3,738,604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34.01</w:t>
            </w: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87,470</w:t>
            </w: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2018</w:t>
            </w:r>
          </w:p>
        </w:tc>
        <w:tc>
          <w:tcPr>
            <w:tcW w:w="11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507,028</w:t>
            </w:r>
          </w:p>
        </w:tc>
        <w:tc>
          <w:tcPr>
            <w:tcW w:w="18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58.62</w:t>
            </w: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Exercised</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(1,388,044)</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21.66</w:t>
            </w: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Canceled/forfeited</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(9,468)</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55.24</w:t>
            </w: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Outstanding as of</w:t>
            </w:r>
          </w:p>
        </w:tc>
        <w:tc>
          <w:tcPr>
            <w:tcW w:w="11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2,848,120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44.34</w:t>
            </w: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93,392</w:t>
            </w:r>
          </w:p>
        </w:tc>
        <w:tc>
          <w:tcPr>
            <w:tcW w:w="0" w:type="dxa"/>
            <w:vAlign w:val="bottom"/>
          </w:tcPr>
          <w:p>
            <w:pPr>
              <w:spacing w:after="0"/>
              <w:rPr>
                <w:sz w:val="1"/>
                <w:szCs w:val="1"/>
                <w:color w:val="auto"/>
              </w:rPr>
            </w:pPr>
          </w:p>
        </w:tc>
      </w:tr>
      <w:tr>
        <w:trPr>
          <w:trHeight w:val="193"/>
        </w:trPr>
        <w:tc>
          <w:tcPr>
            <w:tcW w:w="1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2019</w:t>
            </w: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3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Exercisable as of</w:t>
            </w:r>
          </w:p>
        </w:tc>
        <w:tc>
          <w:tcPr>
            <w:tcW w:w="11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1,861,173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35.98</w:t>
            </w: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76,592</w:t>
            </w:r>
          </w:p>
        </w:tc>
        <w:tc>
          <w:tcPr>
            <w:tcW w:w="0" w:type="dxa"/>
            <w:vAlign w:val="bottom"/>
          </w:tcPr>
          <w:p>
            <w:pPr>
              <w:spacing w:after="0"/>
              <w:rPr>
                <w:sz w:val="1"/>
                <w:szCs w:val="1"/>
                <w:color w:val="auto"/>
              </w:rPr>
            </w:pPr>
          </w:p>
        </w:tc>
      </w:tr>
      <w:tr>
        <w:trPr>
          <w:trHeight w:val="193"/>
        </w:trPr>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October 31, 2019</w:t>
            </w: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2019, there was $3.8 million of total unrecognized compensation cost related to unvested stock options. That cost is expected to be recognized over a weighted-average period of 1.84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total market value of stock options exercised and the total intrinsic value of options exercised during the following fiscal years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3542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1"/>
        </w:trPr>
        <w:tc>
          <w:tcPr>
            <w:tcW w:w="228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Market value of stock options</w:t>
            </w:r>
          </w:p>
        </w:tc>
        <w:tc>
          <w:tcPr>
            <w:tcW w:w="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92,352</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70,775</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58,976</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exercised</w:t>
            </w:r>
          </w:p>
        </w:tc>
        <w:tc>
          <w:tcPr>
            <w:tcW w:w="3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Intrinsic value of options exercised</w:t>
            </w:r>
            <w:r>
              <w:rPr>
                <w:rFonts w:ascii="Times New Roman" w:cs="Times New Roman" w:eastAsia="Times New Roman" w:hAnsi="Times New Roman"/>
                <w:sz w:val="8"/>
                <w:szCs w:val="8"/>
                <w:color w:val="auto"/>
              </w:rPr>
              <w:t>1</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62,288</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53,778</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48,017</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right="20" w:hanging="332"/>
        <w:spacing w:after="0" w:line="195" w:lineRule="auto"/>
        <w:tabs>
          <w:tab w:leader="none" w:pos="34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Intrinsic value is calculated as the amount by which the stock price at exercise date exceeded the option exercise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related to the company's restricted stock unit awards are as follows (in thousands, except per award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1"/>
        </w:trPr>
        <w:tc>
          <w:tcPr>
            <w:tcW w:w="238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Weighted-average per award fair value</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66.26</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63.24</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date of grant</w:t>
            </w: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Fair value of restricted stock units</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3,083</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4,888</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193"/>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activity during fiscal 2019 for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80" w:type="dxa"/>
            <w:vAlign w:val="bottom"/>
          </w:tcPr>
          <w:p>
            <w:pPr>
              <w:spacing w:after="0"/>
              <w:rPr>
                <w:sz w:val="13"/>
                <w:szCs w:val="13"/>
                <w:color w:val="auto"/>
              </w:rPr>
            </w:pPr>
          </w:p>
        </w:tc>
        <w:tc>
          <w:tcPr>
            <w:tcW w:w="1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Weighted-Average Fair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Value at Date</w:t>
            </w:r>
          </w:p>
        </w:tc>
        <w:tc>
          <w:tcPr>
            <w:tcW w:w="0" w:type="dxa"/>
            <w:vAlign w:val="bottom"/>
          </w:tcPr>
          <w:p>
            <w:pPr>
              <w:spacing w:after="0"/>
              <w:rPr>
                <w:sz w:val="1"/>
                <w:szCs w:val="1"/>
                <w:color w:val="auto"/>
              </w:rPr>
            </w:pPr>
          </w:p>
        </w:tc>
      </w:tr>
      <w:tr>
        <w:trPr>
          <w:trHeight w:val="195"/>
        </w:trPr>
        <w:tc>
          <w:tcPr>
            <w:tcW w:w="2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Grant</w:t>
            </w: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as of October 31, 2018</w:t>
            </w:r>
          </w:p>
        </w:tc>
        <w:tc>
          <w:tcPr>
            <w:tcW w:w="1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99,554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0" w:type="dxa"/>
            <w:vAlign w:val="bottom"/>
          </w:tcPr>
          <w:p>
            <w:pPr>
              <w:spacing w:after="0"/>
              <w:rPr>
                <w:sz w:val="1"/>
                <w:szCs w:val="1"/>
                <w:color w:val="auto"/>
              </w:rPr>
            </w:pPr>
          </w:p>
        </w:tc>
      </w:tr>
      <w:tr>
        <w:trPr>
          <w:trHeight w:val="265"/>
        </w:trPr>
        <w:tc>
          <w:tcPr>
            <w:tcW w:w="2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76,496</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66.26</w:t>
            </w:r>
          </w:p>
        </w:tc>
        <w:tc>
          <w:tcPr>
            <w:tcW w:w="0" w:type="dxa"/>
            <w:vAlign w:val="bottom"/>
          </w:tcPr>
          <w:p>
            <w:pPr>
              <w:spacing w:after="0"/>
              <w:rPr>
                <w:sz w:val="1"/>
                <w:szCs w:val="1"/>
                <w:color w:val="auto"/>
              </w:rPr>
            </w:pPr>
          </w:p>
        </w:tc>
      </w:tr>
      <w:tr>
        <w:trPr>
          <w:trHeight w:val="275"/>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(47,357)</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0" w:type="dxa"/>
            <w:vAlign w:val="bottom"/>
          </w:tcPr>
          <w:p>
            <w:pPr>
              <w:spacing w:after="0"/>
              <w:rPr>
                <w:sz w:val="1"/>
                <w:szCs w:val="1"/>
                <w:color w:val="auto"/>
              </w:rPr>
            </w:pPr>
          </w:p>
        </w:tc>
      </w:tr>
      <w:tr>
        <w:trPr>
          <w:trHeight w:val="265"/>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(4,226)</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58.94</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as of October 31, 2019</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124,467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w:t>
            </w: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2019, there was $4.8 million of total unrecognized compensation cost related to unvested restricted stock units. That cost is expected to be recognized over a weighted-average period of 2.25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Factors related to the company's performance share awards are as follows (in thousands, except per award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1"/>
        </w:trPr>
        <w:tc>
          <w:tcPr>
            <w:tcW w:w="240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Weighted-average per award fair value</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59.58</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65.40</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date of grant</w:t>
            </w:r>
          </w:p>
        </w:tc>
        <w:tc>
          <w:tcPr>
            <w:tcW w:w="2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Fair value of performance share awards</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6,300</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8,419</w:t>
            </w: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2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activity during fiscal 2019 for unvested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60" w:type="dxa"/>
            <w:vAlign w:val="bottom"/>
          </w:tcPr>
          <w:p>
            <w:pPr>
              <w:spacing w:after="0"/>
              <w:rPr>
                <w:sz w:val="13"/>
                <w:szCs w:val="13"/>
                <w:color w:val="auto"/>
              </w:rPr>
            </w:pPr>
          </w:p>
        </w:tc>
        <w:tc>
          <w:tcPr>
            <w:tcW w:w="1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5"/>
        </w:trPr>
        <w:tc>
          <w:tcPr>
            <w:tcW w:w="2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Value at Date of Grant</w:t>
            </w:r>
          </w:p>
        </w:tc>
      </w:tr>
      <w:tr>
        <w:trPr>
          <w:trHeight w:val="269"/>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as of October 31, 2018</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221,392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w:t>
            </w:r>
          </w:p>
        </w:tc>
      </w:tr>
      <w:tr>
        <w:trPr>
          <w:trHeight w:val="265"/>
        </w:trPr>
        <w:tc>
          <w:tcPr>
            <w:tcW w:w="2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69,600</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w:t>
            </w:r>
          </w:p>
        </w:tc>
      </w:tr>
      <w:tr>
        <w:trPr>
          <w:trHeight w:val="275"/>
        </w:trPr>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(91,803)</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r>
      <w:tr>
        <w:trPr>
          <w:trHeight w:val="265"/>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Canceled/forfeited</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(6,335)</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61.34</w:t>
            </w:r>
          </w:p>
        </w:tc>
      </w:tr>
      <w:tr>
        <w:trPr>
          <w:trHeight w:val="264"/>
        </w:trPr>
        <w:tc>
          <w:tcPr>
            <w:tcW w:w="2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as of October 31, 2019</w:t>
            </w:r>
          </w:p>
        </w:tc>
        <w:tc>
          <w:tcPr>
            <w:tcW w:w="15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192,854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As of October 31, 2019, there was $4.3 million of total unrecognized</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compensation cost related to unvested performance share awards. That cost</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is expected to be recognized over a weighted-average period of 1.86 years.</w:t>
      </w:r>
    </w:p>
    <w:p>
      <w:pPr>
        <w:sectPr>
          <w:pgSz w:w="11900" w:h="16838" w:orient="portrait"/>
          <w:cols w:equalWidth="0" w:num="1">
            <w:col w:w="11420"/>
          </w:cols>
          <w:pgMar w:left="240" w:top="121" w:right="239" w:bottom="1440" w:gutter="0" w:footer="0" w:header="0"/>
          <w:type w:val="continuous"/>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2015, the company's Board of Directors authorized the repurchase of 8,000,000 shares of the company's common stock in open-market or in privately negotiated transactions. On December 4, 2018, the company's Board of Directors authorized the repurchase of up to an additional 5,000,000 shares of common stock in open-market or in privately negotiated transactions under the authorized stock repurchase program. This authorized stock repurchase program has no expiration date but may be terminated by the Board at any time.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2019, 2018, and 2017, the company paid $20.0 million, $160.4 million, and $159.4 million to repurchase an aggregate of 359,758 shares, 2,579,864 shares, and 2,710,837 shares, respectively, under the authorized stock repurchase program. As a result of the company's acquisition of CMW on April 1, 2019, the company curtailed the repurchase of shares of its common stock under the authorized stock repurchase program during the company's fiscal 2019 second, third, and fourth quarters. As of October 31, 2019, 7,042,256 shares remained authorized by the company's Board of Directors for repurchase. The authorized stock repurchase program does not include shares of the company's common stock surrendered by employees to satisfy minimum tax withholding obligations upon vesting of certain equity securities granted under the company's stock-based compensation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2019, the company had a total of 21,385,919 treasury shares at a cost of $1,374.0 million. As of October 31, 2018, the company had a total of 22,527,348 treasury shares at a cost of $1,448.4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AOCL, net of tax, within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3542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51"/>
        </w:trPr>
        <w:tc>
          <w:tcPr>
            <w:tcW w:w="230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31,025</w:t>
            </w:r>
          </w:p>
        </w:tc>
        <w:tc>
          <w:tcPr>
            <w:tcW w:w="3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29,711</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w:t>
            </w:r>
          </w:p>
        </w:tc>
        <w:tc>
          <w:tcPr>
            <w:tcW w:w="3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Pension and post-retirement benefits</w:t>
            </w:r>
          </w:p>
        </w:tc>
        <w:tc>
          <w:tcPr>
            <w:tcW w:w="3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4,861</w:t>
            </w:r>
          </w:p>
        </w:tc>
        <w:tc>
          <w:tcPr>
            <w:tcW w:w="3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561</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 derivative instruments</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(3,837)</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(6,335)</w:t>
            </w: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51"/>
        </w:trPr>
        <w:tc>
          <w:tcPr>
            <w:tcW w:w="230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accumulated other</w:t>
            </w:r>
          </w:p>
        </w:tc>
        <w:tc>
          <w:tcPr>
            <w:tcW w:w="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32,049</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23,937</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24,120</w:t>
            </w:r>
          </w:p>
        </w:tc>
        <w:tc>
          <w:tcPr>
            <w:tcW w:w="0" w:type="dxa"/>
            <w:vAlign w:val="bottom"/>
          </w:tcPr>
          <w:p>
            <w:pPr>
              <w:spacing w:after="0"/>
              <w:rPr>
                <w:sz w:val="1"/>
                <w:szCs w:val="1"/>
                <w:color w:val="auto"/>
              </w:rPr>
            </w:pPr>
          </w:p>
        </w:tc>
      </w:tr>
      <w:tr>
        <w:trPr>
          <w:trHeight w:val="193"/>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542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 Currency</w:t>
            </w:r>
          </w:p>
        </w:tc>
        <w:tc>
          <w:tcPr>
            <w:tcW w:w="180" w:type="dxa"/>
            <w:vAlign w:val="bottom"/>
          </w:tcPr>
          <w:p>
            <w:pPr>
              <w:spacing w:after="0"/>
              <w:rPr>
                <w:sz w:val="12"/>
                <w:szCs w:val="12"/>
                <w:color w:val="auto"/>
              </w:rPr>
            </w:pPr>
          </w:p>
        </w:tc>
        <w:tc>
          <w:tcPr>
            <w:tcW w:w="900" w:type="dxa"/>
            <w:vAlign w:val="bottom"/>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Post-</w:t>
            </w:r>
          </w:p>
        </w:tc>
        <w:tc>
          <w:tcPr>
            <w:tcW w:w="200" w:type="dxa"/>
            <w:vAlign w:val="bottom"/>
          </w:tcPr>
          <w:p>
            <w:pPr>
              <w:spacing w:after="0"/>
              <w:rPr>
                <w:sz w:val="12"/>
                <w:szCs w:val="12"/>
                <w:color w:val="auto"/>
              </w:rPr>
            </w:pPr>
          </w:p>
        </w:tc>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80" w:type="dxa"/>
            <w:vAlign w:val="bottom"/>
          </w:tcPr>
          <w:p>
            <w:pPr>
              <w:spacing w:after="0"/>
              <w:rPr>
                <w:sz w:val="12"/>
                <w:szCs w:val="12"/>
                <w:color w:val="auto"/>
              </w:rPr>
            </w:pPr>
          </w:p>
        </w:tc>
        <w:tc>
          <w:tcPr>
            <w:tcW w:w="900" w:type="dxa"/>
            <w:vAlign w:val="bottom"/>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Retirement</w:t>
            </w:r>
          </w:p>
        </w:tc>
        <w:tc>
          <w:tcPr>
            <w:tcW w:w="200" w:type="dxa"/>
            <w:vAlign w:val="bottom"/>
          </w:tcPr>
          <w:p>
            <w:pPr>
              <w:spacing w:after="0"/>
              <w:rPr>
                <w:sz w:val="12"/>
                <w:szCs w:val="12"/>
                <w:color w:val="auto"/>
              </w:rPr>
            </w:pPr>
          </w:p>
        </w:tc>
        <w:tc>
          <w:tcPr>
            <w:tcW w:w="10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29,711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561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(6,335)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23,937</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2018</w:t>
            </w: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before</w:t>
            </w:r>
          </w:p>
        </w:tc>
        <w:tc>
          <w:tcPr>
            <w:tcW w:w="200" w:type="dxa"/>
            <w:vAlign w:val="bottom"/>
          </w:tcPr>
          <w:p>
            <w:pPr>
              <w:spacing w:after="0"/>
              <w:rPr>
                <w:sz w:val="12"/>
                <w:szCs w:val="12"/>
                <w:color w:val="auto"/>
              </w:rPr>
            </w:pPr>
          </w:p>
        </w:tc>
        <w:tc>
          <w:tcPr>
            <w:tcW w:w="10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1,314</w:t>
            </w:r>
          </w:p>
        </w:tc>
        <w:tc>
          <w:tcPr>
            <w:tcW w:w="180" w:type="dxa"/>
            <w:vAlign w:val="bottom"/>
          </w:tcPr>
          <w:p>
            <w:pPr>
              <w:spacing w:after="0"/>
              <w:rPr>
                <w:sz w:val="12"/>
                <w:szCs w:val="12"/>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4,300</w:t>
            </w:r>
          </w:p>
        </w:tc>
        <w:tc>
          <w:tcPr>
            <w:tcW w:w="200" w:type="dxa"/>
            <w:vAlign w:val="bottom"/>
          </w:tcPr>
          <w:p>
            <w:pPr>
              <w:spacing w:after="0"/>
              <w:rPr>
                <w:sz w:val="12"/>
                <w:szCs w:val="12"/>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(4,048)</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0" w:type="dxa"/>
            <w:vAlign w:val="bottom"/>
          </w:tcPr>
          <w:p>
            <w:pPr>
              <w:spacing w:after="0"/>
              <w:rPr>
                <w:sz w:val="1"/>
                <w:szCs w:val="1"/>
                <w:color w:val="auto"/>
              </w:rPr>
            </w:pPr>
          </w:p>
        </w:tc>
      </w:tr>
      <w:tr>
        <w:trPr>
          <w:trHeight w:val="193"/>
        </w:trPr>
        <w:tc>
          <w:tcPr>
            <w:tcW w:w="1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Amounts</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reclassified from</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6,546</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AOCL</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6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Net current period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10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1,314</w:t>
            </w:r>
          </w:p>
        </w:tc>
        <w:tc>
          <w:tcPr>
            <w:tcW w:w="180" w:type="dxa"/>
            <w:vAlign w:val="bottom"/>
          </w:tcPr>
          <w:p>
            <w:pPr>
              <w:spacing w:after="0"/>
              <w:rPr>
                <w:sz w:val="12"/>
                <w:szCs w:val="12"/>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4,300</w:t>
            </w:r>
          </w:p>
        </w:tc>
        <w:tc>
          <w:tcPr>
            <w:tcW w:w="200" w:type="dxa"/>
            <w:vAlign w:val="bottom"/>
          </w:tcPr>
          <w:p>
            <w:pPr>
              <w:spacing w:after="0"/>
              <w:rPr>
                <w:sz w:val="12"/>
                <w:szCs w:val="12"/>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2,498</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31,025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4,861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(3,837)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32,049</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2019</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10"/>
              <w:spacing w:after="0" w:line="153" w:lineRule="exact"/>
              <w:rPr>
                <w:sz w:val="20"/>
                <w:szCs w:val="20"/>
                <w:color w:val="auto"/>
              </w:rPr>
            </w:pPr>
            <w:r>
              <w:rPr>
                <w:rFonts w:ascii="Times New Roman" w:cs="Times New Roman" w:eastAsia="Times New Roman" w:hAnsi="Times New Roman"/>
                <w:sz w:val="14"/>
                <w:szCs w:val="14"/>
                <w:b w:val="1"/>
                <w:bCs w:val="1"/>
                <w:color w:val="auto"/>
                <w:w w:val="98"/>
              </w:rPr>
              <w:t>Pension and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2"/>
                <w:szCs w:val="12"/>
                <w:color w:val="auto"/>
              </w:rPr>
            </w:pPr>
          </w:p>
        </w:tc>
        <w:tc>
          <w:tcPr>
            <w:tcW w:w="90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Post-</w:t>
            </w:r>
          </w:p>
        </w:tc>
        <w:tc>
          <w:tcPr>
            <w:tcW w:w="200" w:type="dxa"/>
            <w:vAlign w:val="bottom"/>
          </w:tcPr>
          <w:p>
            <w:pPr>
              <w:spacing w:after="0"/>
              <w:rPr>
                <w:sz w:val="12"/>
                <w:szCs w:val="12"/>
                <w:color w:val="auto"/>
              </w:rPr>
            </w:pPr>
          </w:p>
        </w:tc>
        <w:tc>
          <w:tcPr>
            <w:tcW w:w="1020" w:type="dxa"/>
            <w:vAlign w:val="bottom"/>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900" w:type="dxa"/>
            <w:vAlign w:val="bottom"/>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Retirement</w:t>
            </w:r>
          </w:p>
        </w:tc>
        <w:tc>
          <w:tcPr>
            <w:tcW w:w="200" w:type="dxa"/>
            <w:vAlign w:val="bottom"/>
          </w:tcPr>
          <w:p>
            <w:pPr>
              <w:spacing w:after="0"/>
              <w:rPr>
                <w:sz w:val="12"/>
                <w:szCs w:val="12"/>
                <w:color w:val="auto"/>
              </w:rPr>
            </w:pPr>
          </w:p>
        </w:tc>
        <w:tc>
          <w:tcPr>
            <w:tcW w:w="10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21,303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2,012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24,120</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October 31, 2017</w:t>
            </w: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before</w:t>
            </w:r>
          </w:p>
        </w:tc>
        <w:tc>
          <w:tcPr>
            <w:tcW w:w="200" w:type="dxa"/>
            <w:vAlign w:val="bottom"/>
          </w:tcPr>
          <w:p>
            <w:pPr>
              <w:spacing w:after="0"/>
              <w:rPr>
                <w:sz w:val="12"/>
                <w:szCs w:val="12"/>
                <w:color w:val="auto"/>
              </w:rPr>
            </w:pP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8,408</w:t>
            </w:r>
          </w:p>
        </w:tc>
        <w:tc>
          <w:tcPr>
            <w:tcW w:w="18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tcPr>
          <w:p>
            <w:pPr>
              <w:spacing w:after="0"/>
              <w:rPr>
                <w:sz w:val="12"/>
                <w:szCs w:val="12"/>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(5,489)</w:t>
            </w:r>
          </w:p>
        </w:tc>
        <w:tc>
          <w:tcPr>
            <w:tcW w:w="22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193"/>
        </w:trPr>
        <w:tc>
          <w:tcPr>
            <w:tcW w:w="1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reclassifications</w:t>
            </w: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Amounts</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reclassified from</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(1,926)</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AOCL</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6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Net current period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2"/>
                <w:szCs w:val="12"/>
                <w:color w:val="auto"/>
              </w:rPr>
            </w:pP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8,408</w:t>
            </w:r>
          </w:p>
        </w:tc>
        <w:tc>
          <w:tcPr>
            <w:tcW w:w="18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tcPr>
          <w:p>
            <w:pPr>
              <w:spacing w:after="0"/>
              <w:rPr>
                <w:sz w:val="12"/>
                <w:szCs w:val="12"/>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(7,415)</w:t>
            </w: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Reclassification</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due to the adoption</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(416)</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275</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 ASU 2018-02</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6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Balance as of</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29,711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561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(6,335)</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23,937</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October 31, 2018</w:t>
            </w:r>
          </w:p>
        </w:tc>
        <w:tc>
          <w:tcPr>
            <w:tcW w:w="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of AOCL associated with pension and post-retirement benefits refer to Note 15, </w:t>
      </w:r>
      <w:r>
        <w:rPr>
          <w:rFonts w:ascii="Times New Roman" w:cs="Times New Roman" w:eastAsia="Times New Roman" w:hAnsi="Times New Roman"/>
          <w:sz w:val="18"/>
          <w:szCs w:val="18"/>
          <w:i w:val="1"/>
          <w:iCs w:val="1"/>
          <w:color w:val="auto"/>
        </w:rPr>
        <w:t>Employee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For additional information on the components reclassified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AOCL to the respective line items in net earnings for derivative instruments refer to Note 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p>
    <w:p>
      <w:pPr>
        <w:spacing w:after="0" w:line="1509"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Investment in Joint Venture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2009, the company and TCFIF, a subsidiary of TCF National Bank, established Red Iron, a joint venture in the form of a Delaware limited liability company that primarily provides inventory financing to certain distributors and dealers of the company’s products in the U.S. Under a separate arrangement, TCF Commercial Finance Canada, Inc. ("TCFCFC") provides inventory financing to dealers of the company's products in Canada.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$550.0 million secured revolving credit facility established under a credit agreement between Red Iron and TCFIF. The company's total investment in Red Iron as of October 31, 2019 and 2018 was $24.1 million and $22.5 million, respectively. The company has not guaranteed the outstanding indebtedness of Red Iron.</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financing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also entered into a limited inventory repurchase agreement with Red Iron and TCFCFC. Under such limited inventory repurchase agreement, the company has agreed to repurchase products repossessed by Red Iron and TCFCFC, up to a maximum aggregate amount of $7.5 million in a calendar year. The company's financial exposure under this repurchase agreement is limited to the difference between the amount paid to Red Iron and TCFCFC for repurchases of repossessed product and the amount received upon the subsequent resale of the repossessed product. The company has repurchased immaterial amounts of inventory under this repurchase agreement for the fiscal years ended October 31, 2019, 2018, and 2017.</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during fiscal 2019, 2018, and 2017 was $1,924.9 million, $1,959.7 million, and $1,847.7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respectively. The total amount of receivables due from Red Iron to the company as of October 31, 2019 and 2018 were $21.7 million and $21.4 million,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Red Iron is presented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3542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340" w:type="dxa"/>
            <w:vAlign w:val="bottom"/>
          </w:tcPr>
          <w:p>
            <w:pPr>
              <w:spacing w:after="0"/>
              <w:rPr>
                <w:sz w:val="13"/>
                <w:szCs w:val="13"/>
                <w:color w:val="auto"/>
              </w:rPr>
            </w:pPr>
          </w:p>
        </w:tc>
        <w:tc>
          <w:tcPr>
            <w:tcW w:w="8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3"/>
                <w:szCs w:val="13"/>
                <w:color w:val="auto"/>
              </w:rPr>
            </w:pPr>
          </w:p>
        </w:tc>
        <w:tc>
          <w:tcPr>
            <w:tcW w:w="8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95"/>
        </w:trPr>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47,569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42,051</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35,158</w:t>
            </w:r>
          </w:p>
        </w:tc>
        <w:tc>
          <w:tcPr>
            <w:tcW w:w="0" w:type="dxa"/>
            <w:vAlign w:val="bottom"/>
          </w:tcPr>
          <w:p>
            <w:pPr>
              <w:spacing w:after="0"/>
              <w:rPr>
                <w:sz w:val="1"/>
                <w:szCs w:val="1"/>
                <w:color w:val="auto"/>
              </w:rPr>
            </w:pPr>
          </w:p>
        </w:tc>
      </w:tr>
      <w:tr>
        <w:trPr>
          <w:trHeight w:val="265"/>
        </w:trPr>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Interest and operating expenses, net</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(21,011)</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(17,288)</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(13,030)</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26,558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24,763</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22,128</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Finance receivables, net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486,834</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446,138</w:t>
            </w:r>
          </w:p>
        </w:tc>
      </w:tr>
      <w:tr>
        <w:trPr>
          <w:trHeight w:val="26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3,733</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w:t>
            </w:r>
          </w:p>
        </w:tc>
      </w:tr>
      <w:tr>
        <w:trPr>
          <w:trHeight w:val="264"/>
        </w:trPr>
        <w:tc>
          <w:tcPr>
            <w:tcW w:w="2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490,567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449,587</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07"/>
        </w:trPr>
        <w:tc>
          <w:tcPr>
            <w:tcW w:w="2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Notes payable</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419,308</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378,128</w:t>
            </w:r>
          </w:p>
        </w:tc>
      </w:tr>
      <w:tr>
        <w:trPr>
          <w:trHeight w:val="265"/>
        </w:trPr>
        <w:tc>
          <w:tcPr>
            <w:tcW w:w="2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86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17,594</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21,366</w:t>
            </w:r>
          </w:p>
        </w:tc>
      </w:tr>
      <w:tr>
        <w:trPr>
          <w:trHeight w:val="270"/>
        </w:trPr>
        <w:tc>
          <w:tcPr>
            <w:tcW w:w="28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Partners' capital</w:t>
            </w:r>
          </w:p>
        </w:tc>
        <w:tc>
          <w:tcPr>
            <w:tcW w:w="8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53,665</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50,093</w:t>
            </w:r>
          </w:p>
        </w:tc>
      </w:tr>
      <w:tr>
        <w:trPr>
          <w:trHeight w:val="264"/>
        </w:trPr>
        <w:tc>
          <w:tcPr>
            <w:tcW w:w="2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 and partners' capital</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490,567</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449,587</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Commitments and Contingent Liabilities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for operating lease agreements for certain property, plant, or equipment assets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marketing and distribution activities. Total rental expense for operating leases was $34.1 million, $27.4 million and $27.9 million for the fiscal years ended October 31, 2019, 2018 and 2017, respectively. As of October 31, 2019, future minimum lease payments under noncancelable operating leases amounted to $83.1 million as follows: fiscal 2020, $17.1 million; fiscal 2021, $15.8 million; fiscal 2022, $12.8 million; fiscal 2023, $9.8 million; fiscal 2024, $8.9 million; and after fiscal 2024, $18.7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Financing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party to a joint venture with TCFIF established as Red Iron to provide wholesale financing to certain dealers and distributors of certain of the company's products. Refer to Note 11,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xml:space="preserve"> for additional information related to Red Iron. Financing agreements are also in place with separate third-party financial institutions to provide financing to certain dealers not financed through Red Iron, including those in Australia and as a result of the company's acquisition of CMW. These separate third-party financial institutions purchased $235.4 million of receivables from the company during fiscal 2019. As of October 31, 2019, $148.4 million of</w:t>
      </w:r>
    </w:p>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receivables financed by these separate third-party financial institutions, excluding Red Iron, was outstanding. During fiscal 2018, $29.8 million of receivables were purchased from the company by these third-party financial institutions and $13.0 million of receivables was outstanding as of October 31, 2018. The increase in financing activity with these institutions is a result of the company's acquisition of CMW. For additional information on the acquisition of CMW,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a result of the company's financing agreements with the separate third-party financial institutions, the company also entered into inventory repurchase agreements with the separate third-party financial institutions. Under such inventory repurchase agreements, the company has agreed to repurchase products repossessed by the separate third-party financial institutions. As of October 31, 2019, the company was contingently liable to repurchase up to a maximum amount of $125.9 million of inventory related to receivables under these inventory repurchase agreements. The company's financial exposure under these repurchase agreements is limited to the difference between the amount paid to the separate third-party financial institutions for repurchases of repossessed product and the amount received upon the subsequent resale of the repossessed product. The company has repurchased immaterial amounts of inventory under these repurchase agreements for the fiscal years ended October 31, 2019, 2018, and 2017.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End-User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agreements with third-party financing companies to provide lease-financing options to golf course, sports fields and grounds equipment and underground construction customers in the U.S., Canada, Australia, and select countries in Europe. The company has no material contingent liabilities for residual value or credit collection risk under these agreements with third-party financing companies.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agreements where it provides recourse to third-party finance companies in the event of default by the customer for lease payments to the third-party finance company. The company's maximum exposure for credit collection as of October 31, 2019 was $10.1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31, 2019, the company had $22.8 million of noncancelable purchase commitments with certain of the company's suppliers for commodities and supplies as part of the normal course of business. The company also entered into commitments for machinery and equipment purchases to support renovation efforts at its Plymouth, Wisconsin distribution center and certain international facilities. As of October 31, 2019, the amount of the remaining obligation under these commitments was $1.9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access to an unsecured senior five-year revolving credit facility that, among other things, includes a $10.0 million sublimit for standby letters of credit. As of October 31, 2019 and October 31, 2018, the company had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million and $1.5 million outstanding under the sublimit for standby letters of credit, respectively.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additional information related to the company's revolving credit facility.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domestic and non-U.S. operations maintain import letters of credit during the normal course of business, as required by some vendor contracts. Collectively, these import letters of credit had a maximum availability of $13.3 million and $13.5 million as of October 31, 2019 and October 31, 2018, respectively. As of October 31, 2019 and October 31, 2018, the company had $4.7 million and $6.7 million, respectively, in outstanding import letters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507"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Financial Instruments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accounts receivable and derivative instruments. Accounts receivable balances are concentrated in the Professional and Residential business segments. The credit risk associated with these business segments is limited because of the large number of customers in the company's customer base and their geographic dispersion, except for the Residential segment, which has historically had significant sales to The Home Depot. The credit risk associated with the company's derivative instruments is limited as the company enters into derivative instruments with multiple counterparties that are highly rated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all derivative instruments at fair value on the Consolidated Balance Sheets as either assets or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for changes in the fair value of a derivative instrument depends on whether it has been designated and qualifies as a cash flow hedging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Hedging Instruments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Changes in the fair values of the spot rate component of outstanding, highly effective cash flow hedging instruments included in the assessment of hedge effectiveness are recorded in other comprehensive income within AOCL on the Consolidated Balance Sheets and are subsequently reclassified to net earnings within the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Consolidated Statements of Earnings is the same as that of the underlying exposure. Results of cash flow 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Consolidated Statements of Earnings line item as the underlying exposure when the forecasted transaction affects net earnings. However, if it is probable that a forecasted transaction will not occur by the end of the originally specified</w:t>
      </w:r>
    </w:p>
    <w:p>
      <w:pPr>
        <w:spacing w:after="0" w:line="924"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time period or within an additional two-month period of time thereafter, the gains and losses that were in AOCL are immediately recognized in net earnings within other income, net in the Consolidated Statements of Earnings. In all situations in which cash flow hedge accounting is discontinued and the derivative instrument remains outstanding, the company carries the derivative instrument at its fair value on the Consolidated Balance Sheets, recognizing future changes in the fair value within other income, net in the Consolidated Statements of Earnings.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2019, the notional amount outstanding of forward contracts designated as cash flow hedging instruments was $244.6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Consolidated Balance Sheets.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effects of the master netting arrangements on the fair value of the company’s derivative instruments that are recorded in the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3542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1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1"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Cash Flow Hedging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as of October 31</w:t>
            </w: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assets:</w:t>
            </w: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5"/>
        </w:trPr>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 designated as cash flow hedging instruments:</w:t>
            </w: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5"/>
        </w:trPr>
        <w:tc>
          <w:tcPr>
            <w:tcW w:w="3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5"/>
        </w:trPr>
        <w:tc>
          <w:tcPr>
            <w:tcW w:w="3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8,642</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8,596</w:t>
            </w:r>
          </w:p>
        </w:tc>
      </w:tr>
      <w:tr>
        <w:trPr>
          <w:trHeight w:val="158"/>
        </w:trPr>
        <w:tc>
          <w:tcPr>
            <w:tcW w:w="366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Derivatives not designated as cash flow hedging</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8"/>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5"/>
        </w:trPr>
        <w:tc>
          <w:tcPr>
            <w:tcW w:w="3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3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2,256</w:t>
            </w: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304"/>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10,898</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10,901</w:t>
            </w:r>
          </w:p>
        </w:tc>
      </w:tr>
      <w:tr>
        <w:trPr>
          <w:trHeight w:val="256"/>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liabilities:</w:t>
            </w: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153"/>
        </w:trPr>
        <w:tc>
          <w:tcPr>
            <w:tcW w:w="36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Derivatives not designated as cash flow hedging</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3"/>
        </w:trPr>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75"/>
        </w:trPr>
        <w:tc>
          <w:tcPr>
            <w:tcW w:w="3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liabilities</w:t>
            </w: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5"/>
        </w:trPr>
        <w:tc>
          <w:tcPr>
            <w:tcW w:w="3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64"/>
        </w:trPr>
        <w:tc>
          <w:tcPr>
            <w:tcW w:w="3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3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assets:</w:t>
            </w:r>
          </w:p>
        </w:tc>
        <w:tc>
          <w:tcPr>
            <w:tcW w:w="3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amounts of recognized assets</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11,056</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10,901</w:t>
            </w:r>
          </w:p>
        </w:tc>
        <w:tc>
          <w:tcPr>
            <w:tcW w:w="0" w:type="dxa"/>
            <w:vAlign w:val="bottom"/>
          </w:tcPr>
          <w:p>
            <w:pPr>
              <w:spacing w:after="0"/>
              <w:rPr>
                <w:sz w:val="1"/>
                <w:szCs w:val="1"/>
                <w:color w:val="auto"/>
              </w:rPr>
            </w:pPr>
          </w:p>
        </w:tc>
      </w:tr>
      <w:tr>
        <w:trPr>
          <w:trHeight w:val="265"/>
        </w:trPr>
        <w:tc>
          <w:tcPr>
            <w:tcW w:w="3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Gross liabilities offset in the Consolidated Balance Sheets</w:t>
            </w: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70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Net amounts of assets presented in the Consolidated Balance</w:t>
            </w:r>
          </w:p>
        </w:tc>
        <w:tc>
          <w:tcPr>
            <w:tcW w:w="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10,898</w:t>
            </w:r>
          </w:p>
        </w:tc>
        <w:tc>
          <w:tcPr>
            <w:tcW w:w="3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10,901</w:t>
            </w:r>
          </w:p>
        </w:tc>
        <w:tc>
          <w:tcPr>
            <w:tcW w:w="0" w:type="dxa"/>
            <w:vAlign w:val="bottom"/>
          </w:tcPr>
          <w:p>
            <w:pPr>
              <w:spacing w:after="0"/>
              <w:rPr>
                <w:sz w:val="1"/>
                <w:szCs w:val="1"/>
                <w:color w:val="auto"/>
              </w:rPr>
            </w:pPr>
          </w:p>
        </w:tc>
      </w:tr>
      <w:tr>
        <w:trPr>
          <w:trHeight w:val="193"/>
        </w:trPr>
        <w:tc>
          <w:tcPr>
            <w:tcW w:w="3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Sheets</w:t>
            </w: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liabilities:</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amounts of recognized liabilities</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assets offset in the Consolidated Balance Sheets</w:t>
            </w: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70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Net amounts of liabilities presented in the Consolidated</w:t>
            </w:r>
          </w:p>
        </w:tc>
        <w:tc>
          <w:tcPr>
            <w:tcW w:w="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Sheets</w:t>
            </w:r>
          </w:p>
        </w:tc>
        <w:tc>
          <w:tcPr>
            <w:tcW w:w="3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Consolidated Statements of Earnings and the impact of derivative instruments on the Consolidated Statements of Comprehensive Income for the company's derivatives designated as cash flow hedging instruments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213995</wp:posOffset>
            </wp:positionV>
            <wp:extent cx="22809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from AOCL into Income</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OCI on Derivatives</w:t>
            </w:r>
          </w:p>
        </w:tc>
        <w:tc>
          <w:tcPr>
            <w:tcW w:w="0" w:type="dxa"/>
            <w:vAlign w:val="bottom"/>
          </w:tcPr>
          <w:p>
            <w:pPr>
              <w:spacing w:after="0"/>
              <w:rPr>
                <w:sz w:val="1"/>
                <w:szCs w:val="1"/>
                <w:color w:val="auto"/>
              </w:rPr>
            </w:pPr>
          </w:p>
        </w:tc>
      </w:tr>
      <w:tr>
        <w:trPr>
          <w:trHeight w:val="149"/>
        </w:trPr>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9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Derivatives designated as cash</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flow hedging instruments: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5,732</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(2,914)</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(2,268)</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0" w:type="dxa"/>
            <w:vAlign w:val="bottom"/>
          </w:tcPr>
          <w:p>
            <w:pPr>
              <w:spacing w:after="0"/>
              <w:rPr>
                <w:sz w:val="1"/>
                <w:szCs w:val="1"/>
                <w:color w:val="auto"/>
              </w:rPr>
            </w:pPr>
          </w:p>
        </w:tc>
      </w:tr>
      <w:tr>
        <w:trPr>
          <w:trHeight w:val="265"/>
        </w:trPr>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814</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988</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51"/>
        </w:trPr>
        <w:tc>
          <w:tcPr>
            <w:tcW w:w="19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derivatives designated as</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6,546</w:t>
            </w:r>
          </w:p>
        </w:tc>
        <w:tc>
          <w:tcPr>
            <w:tcW w:w="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(1,926)</w:t>
            </w: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c>
          <w:tcPr>
            <w:tcW w:w="0" w:type="dxa"/>
            <w:vAlign w:val="bottom"/>
          </w:tcPr>
          <w:p>
            <w:pPr>
              <w:spacing w:after="0"/>
              <w:rPr>
                <w:sz w:val="1"/>
                <w:szCs w:val="1"/>
                <w:color w:val="auto"/>
              </w:rPr>
            </w:pPr>
          </w:p>
        </w:tc>
      </w:tr>
      <w:tr>
        <w:trPr>
          <w:trHeight w:val="193"/>
        </w:trPr>
        <w:tc>
          <w:tcPr>
            <w:tcW w:w="19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 hedging instruments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2019 and 2018, the company recognized immaterial gains within other income, net due to the discontinuance of cash flow hedge accounting on forward currency contracts designated as cash flow hedging instruments. As of October 31, 2019, the company expects to reclassify approximately $4.0 million of gains from AOCL to earnings during the next twelve months.</w:t>
      </w:r>
    </w:p>
    <w:p>
      <w:pPr>
        <w:spacing w:after="0" w:line="726"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Consolidated Statements of Earnings for the company’s derivatives designated as cash flow hedging instruments and the related components excluded from hedge effectiveness testing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211455</wp:posOffset>
            </wp:positionV>
            <wp:extent cx="1337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Gain Recognized in Earnings on</w:t>
      </w:r>
    </w:p>
    <w:p>
      <w:pPr>
        <w:spacing w:after="0" w:line="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Cash Flow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50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3"/>
                <w:szCs w:val="13"/>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3"/>
                <w:szCs w:val="13"/>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Cost of Sales</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Total Consolidated Statements of Earnings income (expense)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amounts in which the effects of cash flow hedging</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instruments are recorded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3,138,084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(2,090,121)</w:t>
            </w:r>
          </w:p>
        </w:tc>
        <w:tc>
          <w:tcPr>
            <w:tcW w:w="0" w:type="dxa"/>
            <w:vAlign w:val="bottom"/>
          </w:tcPr>
          <w:p>
            <w:pPr>
              <w:spacing w:after="0"/>
              <w:rPr>
                <w:sz w:val="1"/>
                <w:szCs w:val="1"/>
                <w:color w:val="auto"/>
              </w:rPr>
            </w:pPr>
          </w:p>
        </w:tc>
      </w:tr>
      <w:tr>
        <w:trPr>
          <w:trHeight w:val="163"/>
        </w:trPr>
        <w:tc>
          <w:tcPr>
            <w:tcW w:w="3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derivatives designated as cash flow hedging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instruments: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Amount of gain reclassified from AOCL into earnings</w:t>
            </w:r>
          </w:p>
        </w:tc>
        <w:tc>
          <w:tcPr>
            <w:tcW w:w="1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5,732</w:t>
            </w:r>
          </w:p>
        </w:tc>
        <w:tc>
          <w:tcPr>
            <w:tcW w:w="18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9"/>
              </w:rPr>
              <w:t>Gain on components excluded from effectiveness testing</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recognized in earnings based on changes in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5,358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351"/>
        </w:trPr>
        <w:tc>
          <w:tcPr>
            <w:tcW w:w="3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tcPr>
          <w:p>
            <w:pPr>
              <w:jc w:val="center"/>
              <w:ind w:right="71"/>
              <w:spacing w:after="0" w:line="145" w:lineRule="exact"/>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1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on Cash Flow Hedging</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149"/>
        </w:trPr>
        <w:tc>
          <w:tcPr>
            <w:tcW w:w="34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Cost of Sales</w:t>
            </w:r>
          </w:p>
        </w:tc>
        <w:tc>
          <w:tcPr>
            <w:tcW w:w="0" w:type="dxa"/>
            <w:vAlign w:val="bottom"/>
          </w:tcPr>
          <w:p>
            <w:pPr>
              <w:spacing w:after="0"/>
              <w:rPr>
                <w:sz w:val="1"/>
                <w:szCs w:val="1"/>
                <w:color w:val="auto"/>
              </w:rPr>
            </w:pPr>
          </w:p>
        </w:tc>
      </w:tr>
      <w:tr>
        <w:trPr>
          <w:trHeight w:val="195"/>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Consolidated Statements of Earnings income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(expense) amounts in which the effects of cash flow hedging</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instruments are recorded</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2,618,650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(1,677,639)</w:t>
            </w:r>
          </w:p>
        </w:tc>
        <w:tc>
          <w:tcPr>
            <w:tcW w:w="0" w:type="dxa"/>
            <w:vAlign w:val="bottom"/>
          </w:tcPr>
          <w:p>
            <w:pPr>
              <w:spacing w:after="0"/>
              <w:rPr>
                <w:sz w:val="1"/>
                <w:szCs w:val="1"/>
                <w:color w:val="auto"/>
              </w:rPr>
            </w:pPr>
          </w:p>
        </w:tc>
      </w:tr>
      <w:tr>
        <w:trPr>
          <w:trHeight w:val="163"/>
        </w:trPr>
        <w:tc>
          <w:tcPr>
            <w:tcW w:w="3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(loss) on derivatives designated as cash flow hedging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instruments: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Amount of gain (loss) reclassified from AOCL into</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(2,914)</w:t>
            </w:r>
          </w:p>
        </w:tc>
        <w:tc>
          <w:tcPr>
            <w:tcW w:w="1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70"/>
        </w:trPr>
        <w:tc>
          <w:tcPr>
            <w:tcW w:w="3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components excluded from effectiveness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testing recognized in earnings based on changes in fair</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Consolidated Statements of Earnings for the company’s derivatives not designated as cash flow hedging instruments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35502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51"/>
        </w:trPr>
        <w:tc>
          <w:tcPr>
            <w:tcW w:w="336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Gain (loss) on derivative instruments not designated as</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 hedging instruments: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151"/>
        </w:trPr>
        <w:tc>
          <w:tcPr>
            <w:tcW w:w="336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gain (loss) on derivatives not designated as cash</w:t>
            </w:r>
          </w:p>
        </w:tc>
        <w:tc>
          <w:tcPr>
            <w:tcW w:w="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(2,087)</w:t>
            </w: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193"/>
        </w:trPr>
        <w:tc>
          <w:tcPr>
            <w:tcW w:w="3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flow hedging instruments</w:t>
            </w:r>
          </w:p>
        </w:tc>
        <w:tc>
          <w:tcPr>
            <w:tcW w:w="3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liabilities.</w:t>
      </w:r>
    </w:p>
    <w:p>
      <w:pPr>
        <w:spacing w:after="0" w:line="155"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reflecting management's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the inputs used in pricing the asset or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forward currency contracts is determined based on observable market transactions of forward currency prices and spot currency rates as of the reporting date. There were no transfers between the levels of the fair value hierarchy during the fiscal years ended October 31, 2019 and 2018.</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October 31, 2019 and 2018, according to the valuation technique utilized to determine their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211455</wp:posOffset>
            </wp:positionV>
            <wp:extent cx="16808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2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Considered as: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59"/>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9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69"/>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5"/>
        </w:trPr>
        <w:tc>
          <w:tcPr>
            <w:tcW w:w="1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10,898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1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1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0"/>
        </w:trPr>
        <w:tc>
          <w:tcPr>
            <w:tcW w:w="1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1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Fair Value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assumptions (inputs) used in valuing the asset or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fair value for financial assets and financial liabilities are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framework established in the accounting guidance for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measurements. The framework defines fair value, provides guidance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measuring fair value, and requires certain disclosures. The framework</w:t>
      </w:r>
    </w:p>
    <w:p>
      <w:pPr>
        <w:sectPr>
          <w:pgSz w:w="11900" w:h="16838" w:orient="portrait"/>
          <w:cols w:equalWidth="0" w:num="1">
            <w:col w:w="11420"/>
          </w:cols>
          <w:pgMar w:left="240" w:top="121" w:right="239" w:bottom="1440" w:gutter="0" w:footer="0" w:header="0"/>
          <w:type w:val="continuous"/>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309245</wp:posOffset>
            </wp:positionV>
            <wp:extent cx="16808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w:t>
      </w:r>
    </w:p>
    <w:p>
      <w:pPr>
        <w:spacing w:after="0" w:line="6"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4"/>
          <w:szCs w:val="14"/>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42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5" w:lineRule="exact"/>
        <w:rPr>
          <w:sz w:val="20"/>
          <w:szCs w:val="20"/>
          <w:color w:val="auto"/>
        </w:rPr>
      </w:pPr>
    </w:p>
    <w:p>
      <w:pPr>
        <w:ind w:left="40"/>
        <w:spacing w:after="0"/>
        <w:tabs>
          <w:tab w:leader="none" w:pos="2080" w:val="left"/>
          <w:tab w:leader="none" w:pos="3100" w:val="left"/>
          <w:tab w:leader="none" w:pos="4020" w:val="left"/>
          <w:tab w:leader="none" w:pos="4940" w:val="left"/>
        </w:tabs>
        <w:rPr>
          <w:sz w:val="20"/>
          <w:szCs w:val="20"/>
          <w:color w:val="auto"/>
        </w:rPr>
      </w:pPr>
      <w:r>
        <w:rPr>
          <w:rFonts w:ascii="Times New Roman" w:cs="Times New Roman" w:eastAsia="Times New Roman" w:hAnsi="Times New Roman"/>
          <w:sz w:val="14"/>
          <w:szCs w:val="14"/>
          <w:b w:val="1"/>
          <w:bCs w:val="1"/>
          <w:color w:val="auto"/>
        </w:rPr>
        <w:t>October 31, 2018</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due to the company's acquisition of CMW during the company's fiscal 2019 second quarter.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 regarding the company's acquisition of CMW.</w:t>
      </w:r>
    </w:p>
    <w:p>
      <w:pPr>
        <w:spacing w:after="0" w:line="103" w:lineRule="exact"/>
        <w:rPr>
          <w:sz w:val="20"/>
          <w:szCs w:val="20"/>
          <w:color w:val="auto"/>
        </w:rPr>
      </w:pPr>
    </w:p>
    <w:p>
      <w:pPr>
        <w:sectPr>
          <w:pgSz w:w="11900" w:h="16838" w:orient="portrait"/>
          <w:cols w:equalWidth="0" w:num="2">
            <w:col w:w="5480" w:space="340"/>
            <w:col w:w="560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74"/>
        </w:trPr>
        <w:tc>
          <w:tcPr>
            <w:tcW w:w="1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0" w:type="dxa"/>
            <w:vAlign w:val="bottom"/>
          </w:tcPr>
          <w:p>
            <w:pPr>
              <w:spacing w:after="0"/>
              <w:rPr>
                <w:sz w:val="1"/>
                <w:szCs w:val="1"/>
                <w:color w:val="auto"/>
              </w:rPr>
            </w:pPr>
          </w:p>
        </w:tc>
      </w:tr>
      <w:tr>
        <w:trPr>
          <w:trHeight w:val="265"/>
        </w:trPr>
        <w:tc>
          <w:tcPr>
            <w:tcW w:w="1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10,901</w:t>
            </w:r>
          </w:p>
        </w:tc>
        <w:tc>
          <w:tcPr>
            <w:tcW w:w="4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10,901</w:t>
            </w:r>
          </w:p>
        </w:tc>
        <w:tc>
          <w:tcPr>
            <w:tcW w:w="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The company has defined benefit, supplemental, and other retirement plans</w:t>
            </w:r>
          </w:p>
        </w:tc>
        <w:tc>
          <w:tcPr>
            <w:tcW w:w="0" w:type="dxa"/>
            <w:vAlign w:val="bottom"/>
          </w:tcPr>
          <w:p>
            <w:pPr>
              <w:spacing w:after="0"/>
              <w:rPr>
                <w:sz w:val="1"/>
                <w:szCs w:val="1"/>
                <w:color w:val="auto"/>
              </w:rPr>
            </w:pPr>
          </w:p>
        </w:tc>
      </w:tr>
      <w:tr>
        <w:trPr>
          <w:trHeight w:val="142"/>
        </w:trPr>
        <w:tc>
          <w:tcPr>
            <w:tcW w:w="19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10,901</w:t>
            </w:r>
          </w:p>
        </w:tc>
        <w:tc>
          <w:tcPr>
            <w:tcW w:w="42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10,901</w:t>
            </w:r>
          </w:p>
        </w:tc>
        <w:tc>
          <w:tcPr>
            <w:tcW w:w="4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00" w:type="dxa"/>
            <w:vAlign w:val="bottom"/>
            <w:tcBorders>
              <w:bottom w:val="single" w:sz="8" w:color="auto"/>
            </w:tcBorders>
            <w:vMerge w:val="continue"/>
            <w:shd w:val="clear" w:color="auto" w:fill="CCEEFF"/>
          </w:tcPr>
          <w:p>
            <w:pPr>
              <w:spacing w:after="0"/>
              <w:rPr>
                <w:sz w:val="10"/>
                <w:szCs w:val="10"/>
                <w:color w:val="auto"/>
              </w:rPr>
            </w:pPr>
          </w:p>
        </w:tc>
        <w:tc>
          <w:tcPr>
            <w:tcW w:w="360" w:type="dxa"/>
            <w:vAlign w:val="bottom"/>
            <w:tcBorders>
              <w:bottom w:val="single" w:sz="8" w:color="auto"/>
            </w:tcBorders>
            <w:vMerge w:val="continue"/>
            <w:shd w:val="clear" w:color="auto" w:fill="CCEEFF"/>
          </w:tcPr>
          <w:p>
            <w:pPr>
              <w:spacing w:after="0"/>
              <w:rPr>
                <w:sz w:val="10"/>
                <w:szCs w:val="10"/>
                <w:color w:val="auto"/>
              </w:rPr>
            </w:pPr>
          </w:p>
        </w:tc>
        <w:tc>
          <w:tcPr>
            <w:tcW w:w="620" w:type="dxa"/>
            <w:vAlign w:val="bottom"/>
            <w:tcBorders>
              <w:bottom w:val="single" w:sz="8" w:color="auto"/>
            </w:tcBorders>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620" w:type="dxa"/>
            <w:vAlign w:val="bottom"/>
            <w:tcBorders>
              <w:bottom w:val="single" w:sz="8" w:color="auto"/>
            </w:tcBorders>
            <w:vMerge w:val="continue"/>
            <w:shd w:val="clear" w:color="auto" w:fill="CCEEFF"/>
          </w:tcPr>
          <w:p>
            <w:pPr>
              <w:spacing w:after="0"/>
              <w:rPr>
                <w:sz w:val="10"/>
                <w:szCs w:val="10"/>
                <w:color w:val="auto"/>
              </w:rPr>
            </w:pPr>
          </w:p>
        </w:tc>
        <w:tc>
          <w:tcPr>
            <w:tcW w:w="440" w:type="dxa"/>
            <w:vAlign w:val="bottom"/>
            <w:tcBorders>
              <w:bottom w:val="single" w:sz="8" w:color="auto"/>
            </w:tcBorders>
            <w:vMerge w:val="continue"/>
            <w:shd w:val="clear" w:color="auto" w:fill="CCEEFF"/>
          </w:tcPr>
          <w:p>
            <w:pPr>
              <w:spacing w:after="0"/>
              <w:rPr>
                <w:sz w:val="10"/>
                <w:szCs w:val="10"/>
                <w:color w:val="auto"/>
              </w:rPr>
            </w:pPr>
          </w:p>
        </w:tc>
        <w:tc>
          <w:tcPr>
            <w:tcW w:w="440" w:type="dxa"/>
            <w:vAlign w:val="bottom"/>
            <w:tcBorders>
              <w:bottom w:val="single" w:sz="8" w:color="auto"/>
            </w:tcBorders>
            <w:vMerge w:val="continue"/>
            <w:shd w:val="clear" w:color="auto" w:fill="CCEEFF"/>
          </w:tcPr>
          <w:p>
            <w:pPr>
              <w:spacing w:after="0"/>
              <w:rPr>
                <w:sz w:val="10"/>
                <w:szCs w:val="10"/>
                <w:color w:val="auto"/>
              </w:rPr>
            </w:pPr>
          </w:p>
        </w:tc>
        <w:tc>
          <w:tcPr>
            <w:tcW w:w="5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covering certain employees in the U.S. and the United Kingdom ("retirement</w:t>
            </w:r>
          </w:p>
        </w:tc>
        <w:tc>
          <w:tcPr>
            <w:tcW w:w="0" w:type="dxa"/>
            <w:vAlign w:val="bottom"/>
          </w:tcPr>
          <w:p>
            <w:pPr>
              <w:spacing w:after="0"/>
              <w:rPr>
                <w:sz w:val="1"/>
                <w:szCs w:val="1"/>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plans"). The projected benefit obligation and accumulated benefit obligation</w:t>
            </w:r>
          </w:p>
        </w:tc>
        <w:tc>
          <w:tcPr>
            <w:tcW w:w="0" w:type="dxa"/>
            <w:vAlign w:val="bottom"/>
          </w:tcPr>
          <w:p>
            <w:pPr>
              <w:spacing w:after="0"/>
              <w:rPr>
                <w:sz w:val="1"/>
                <w:szCs w:val="1"/>
                <w:color w:val="auto"/>
              </w:rPr>
            </w:pPr>
          </w:p>
        </w:tc>
      </w:tr>
      <w:tr>
        <w:trPr>
          <w:trHeight w:val="275"/>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currency contracts</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4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retirement  plans  were  $39.5 million  and  $36.3 million,  as  of</w:t>
            </w:r>
          </w:p>
        </w:tc>
        <w:tc>
          <w:tcPr>
            <w:tcW w:w="0" w:type="dxa"/>
            <w:vAlign w:val="bottom"/>
          </w:tcPr>
          <w:p>
            <w:pPr>
              <w:spacing w:after="0"/>
              <w:rPr>
                <w:sz w:val="1"/>
                <w:szCs w:val="1"/>
                <w:color w:val="auto"/>
              </w:rPr>
            </w:pPr>
          </w:p>
        </w:tc>
      </w:tr>
      <w:tr>
        <w:trPr>
          <w:trHeight w:val="160"/>
        </w:trPr>
        <w:tc>
          <w:tcPr>
            <w:tcW w:w="1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4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840" w:type="dxa"/>
            <w:vAlign w:val="bottom"/>
          </w:tcPr>
          <w:p>
            <w:pPr>
              <w:ind w:left="240"/>
              <w:spacing w:after="0" w:line="160" w:lineRule="exact"/>
              <w:rPr>
                <w:sz w:val="20"/>
                <w:szCs w:val="20"/>
                <w:color w:val="auto"/>
              </w:rPr>
            </w:pPr>
            <w:r>
              <w:rPr>
                <w:rFonts w:ascii="Times New Roman" w:cs="Times New Roman" w:eastAsia="Times New Roman" w:hAnsi="Times New Roman"/>
                <w:sz w:val="18"/>
                <w:szCs w:val="18"/>
                <w:color w:val="auto"/>
                <w:w w:val="99"/>
              </w:rPr>
              <w:t>October 31, 2019 and 2018, respectively. The net liability amount recognized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5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70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in the Consolidated Balance Sheets for the retirement plans was $1.4 million</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$5.1 million as of October 31, 2019, respectively. The fair value of the</w:t>
            </w: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 plans assets as of October 31, 2019 and 2018 was $38.0 million</w:t>
            </w:r>
          </w:p>
        </w:tc>
        <w:tc>
          <w:tcPr>
            <w:tcW w:w="0" w:type="dxa"/>
            <w:vAlign w:val="bottom"/>
          </w:tcPr>
          <w:p>
            <w:pPr>
              <w:spacing w:after="0"/>
              <w:rPr>
                <w:sz w:val="1"/>
                <w:szCs w:val="1"/>
                <w:color w:val="auto"/>
              </w:rPr>
            </w:pPr>
          </w:p>
        </w:tc>
      </w:tr>
      <w:tr>
        <w:trPr>
          <w:trHeight w:val="167"/>
        </w:trPr>
        <w:tc>
          <w:tcPr>
            <w:tcW w:w="5720" w:type="dxa"/>
            <w:vAlign w:val="bottom"/>
            <w:gridSpan w:val="2"/>
            <w:vMerge w:val="continue"/>
          </w:tcPr>
          <w:p>
            <w:pPr>
              <w:spacing w:after="0"/>
              <w:rPr>
                <w:sz w:val="14"/>
                <w:szCs w:val="14"/>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and $33.2 million, respectively. The net funded status of these plans as of</w:t>
            </w:r>
          </w:p>
        </w:tc>
        <w:tc>
          <w:tcPr>
            <w:tcW w:w="0" w:type="dxa"/>
            <w:vAlign w:val="bottom"/>
          </w:tcPr>
          <w:p>
            <w:pPr>
              <w:spacing w:after="0"/>
              <w:rPr>
                <w:sz w:val="1"/>
                <w:szCs w:val="1"/>
                <w:color w:val="auto"/>
              </w:rPr>
            </w:pPr>
          </w:p>
        </w:tc>
      </w:tr>
      <w:tr>
        <w:trPr>
          <w:trHeight w:val="49"/>
        </w:trPr>
        <w:tc>
          <w:tcPr>
            <w:tcW w:w="5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w:t>
            </w: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31, 2019 and 2018 was underfunded at $1.5 million and $3.1</w:t>
            </w:r>
          </w:p>
        </w:tc>
        <w:tc>
          <w:tcPr>
            <w:tcW w:w="0" w:type="dxa"/>
            <w:vAlign w:val="bottom"/>
          </w:tcPr>
          <w:p>
            <w:pPr>
              <w:spacing w:after="0"/>
              <w:rPr>
                <w:sz w:val="1"/>
                <w:szCs w:val="1"/>
                <w:color w:val="auto"/>
              </w:rPr>
            </w:pPr>
          </w:p>
        </w:tc>
      </w:tr>
      <w:tr>
        <w:trPr>
          <w:trHeight w:val="149"/>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million, respectively.</w:t>
            </w:r>
          </w:p>
        </w:tc>
        <w:tc>
          <w:tcPr>
            <w:tcW w:w="0" w:type="dxa"/>
            <w:vAlign w:val="bottom"/>
          </w:tcPr>
          <w:p>
            <w:pPr>
              <w:spacing w:after="0"/>
              <w:rPr>
                <w:sz w:val="1"/>
                <w:szCs w:val="1"/>
                <w:color w:val="auto"/>
              </w:rPr>
            </w:pPr>
          </w:p>
        </w:tc>
      </w:tr>
      <w:tr>
        <w:trPr>
          <w:trHeight w:val="86"/>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recurring basis. Assets and liabilities that are measured at fair value on a</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720" w:type="dxa"/>
            <w:vAlign w:val="bottom"/>
            <w:gridSpan w:val="2"/>
            <w:vMerge w:val="continue"/>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nonrecurring basis include long-lived assets, goodwill, and indefinite-lived</w:t>
            </w: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Service  costs  of  these  plans  are  presented  in  selling,  general  and</w:t>
            </w:r>
          </w:p>
        </w:tc>
        <w:tc>
          <w:tcPr>
            <w:tcW w:w="0" w:type="dxa"/>
            <w:vAlign w:val="bottom"/>
          </w:tcPr>
          <w:p>
            <w:pPr>
              <w:spacing w:after="0"/>
              <w:rPr>
                <w:sz w:val="1"/>
                <w:szCs w:val="1"/>
                <w:color w:val="auto"/>
              </w:rPr>
            </w:pPr>
          </w:p>
        </w:tc>
      </w:tr>
      <w:tr>
        <w:trPr>
          <w:trHeight w:val="6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which would generally be recorded at fair value as a result</w:t>
            </w: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administrative expense within the Consolidated Statements of Earnings.</w:t>
            </w:r>
          </w:p>
        </w:tc>
        <w:tc>
          <w:tcPr>
            <w:tcW w:w="0" w:type="dxa"/>
            <w:vAlign w:val="bottom"/>
          </w:tcPr>
          <w:p>
            <w:pPr>
              <w:spacing w:after="0"/>
              <w:rPr>
                <w:sz w:val="1"/>
                <w:szCs w:val="1"/>
                <w:color w:val="auto"/>
              </w:rPr>
            </w:pPr>
          </w:p>
        </w:tc>
      </w:tr>
      <w:tr>
        <w:trPr>
          <w:trHeight w:val="6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of an impairment charge. Assets acquired and liabilities assumed as part of</w:t>
            </w: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Non-service cost components of net periodic benefit cost (income), including</w:t>
            </w:r>
          </w:p>
        </w:tc>
        <w:tc>
          <w:tcPr>
            <w:tcW w:w="0" w:type="dxa"/>
            <w:vAlign w:val="bottom"/>
          </w:tcPr>
          <w:p>
            <w:pPr>
              <w:spacing w:after="0"/>
              <w:rPr>
                <w:sz w:val="1"/>
                <w:szCs w:val="1"/>
                <w:color w:val="auto"/>
              </w:rPr>
            </w:pPr>
          </w:p>
        </w:tc>
      </w:tr>
      <w:tr>
        <w:trPr>
          <w:trHeight w:val="6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business combinations are measured at fair value. For additional information</w:t>
            </w: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realized gains or losses as a result of changes in actuarial valuation</w:t>
            </w:r>
          </w:p>
        </w:tc>
        <w:tc>
          <w:tcPr>
            <w:tcW w:w="0" w:type="dxa"/>
            <w:vAlign w:val="bottom"/>
          </w:tcPr>
          <w:p>
            <w:pPr>
              <w:spacing w:after="0"/>
              <w:rPr>
                <w:sz w:val="1"/>
                <w:szCs w:val="1"/>
                <w:color w:val="auto"/>
              </w:rPr>
            </w:pPr>
          </w:p>
        </w:tc>
      </w:tr>
      <w:tr>
        <w:trPr>
          <w:trHeight w:val="6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on the company's business combinations and the related non-recurring fair</w:t>
            </w: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assumptions, are presented in other income, net within the Consolidated</w:t>
            </w:r>
          </w:p>
        </w:tc>
        <w:tc>
          <w:tcPr>
            <w:tcW w:w="0" w:type="dxa"/>
            <w:vAlign w:val="bottom"/>
          </w:tcPr>
          <w:p>
            <w:pPr>
              <w:spacing w:after="0"/>
              <w:rPr>
                <w:sz w:val="1"/>
                <w:szCs w:val="1"/>
                <w:color w:val="auto"/>
              </w:rPr>
            </w:pPr>
          </w:p>
        </w:tc>
      </w:tr>
      <w:tr>
        <w:trPr>
          <w:trHeight w:val="6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value measurement of the assets acquired and liabilities assumed, refer to</w:t>
            </w: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gridSpan w:val="2"/>
            <w:vMerge w:val="continue"/>
          </w:tcPr>
          <w:p>
            <w:pPr>
              <w:spacing w:after="0"/>
              <w:rPr>
                <w:sz w:val="12"/>
                <w:szCs w:val="12"/>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Statements of Earnings. The company recognized income of $6.6 million for</w:t>
            </w:r>
          </w:p>
        </w:tc>
        <w:tc>
          <w:tcPr>
            <w:tcW w:w="0" w:type="dxa"/>
            <w:vAlign w:val="bottom"/>
          </w:tcPr>
          <w:p>
            <w:pPr>
              <w:spacing w:after="0"/>
              <w:rPr>
                <w:sz w:val="1"/>
                <w:szCs w:val="1"/>
                <w:color w:val="auto"/>
              </w:rPr>
            </w:pPr>
          </w:p>
        </w:tc>
      </w:tr>
      <w:tr>
        <w:trPr>
          <w:trHeight w:val="7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tc>
        <w:tc>
          <w:tcPr>
            <w:tcW w:w="5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720" w:type="dxa"/>
            <w:vAlign w:val="bottom"/>
            <w:gridSpan w:val="2"/>
            <w:vMerge w:val="continue"/>
          </w:tcPr>
          <w:p>
            <w:pPr>
              <w:spacing w:after="0"/>
              <w:rPr>
                <w:sz w:val="14"/>
                <w:szCs w:val="14"/>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 fiscal year ended October 31, 2019 and recognized expense of $0.2</w:t>
            </w:r>
          </w:p>
        </w:tc>
        <w:tc>
          <w:tcPr>
            <w:tcW w:w="0" w:type="dxa"/>
            <w:vAlign w:val="bottom"/>
          </w:tcPr>
          <w:p>
            <w:pPr>
              <w:spacing w:after="0"/>
              <w:rPr>
                <w:sz w:val="1"/>
                <w:szCs w:val="1"/>
                <w:color w:val="auto"/>
              </w:rPr>
            </w:pPr>
          </w:p>
        </w:tc>
      </w:tr>
      <w:tr>
        <w:trPr>
          <w:trHeight w:val="49"/>
        </w:trPr>
        <w:tc>
          <w:tcPr>
            <w:tcW w:w="5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 and $1.5 million for the fiscal years ended October 31, 2018 and</w:t>
            </w:r>
          </w:p>
        </w:tc>
        <w:tc>
          <w:tcPr>
            <w:tcW w:w="0" w:type="dxa"/>
            <w:vAlign w:val="bottom"/>
          </w:tcPr>
          <w:p>
            <w:pPr>
              <w:spacing w:after="0"/>
              <w:rPr>
                <w:sz w:val="1"/>
                <w:szCs w:val="1"/>
                <w:color w:val="auto"/>
              </w:rPr>
            </w:pPr>
          </w:p>
        </w:tc>
      </w:tr>
      <w:tr>
        <w:trPr>
          <w:trHeight w:val="167"/>
        </w:trPr>
        <w:tc>
          <w:tcPr>
            <w:tcW w:w="5720" w:type="dxa"/>
            <w:vAlign w:val="bottom"/>
            <w:gridSpan w:val="2"/>
            <w:vMerge w:val="continue"/>
          </w:tcPr>
          <w:p>
            <w:pPr>
              <w:spacing w:after="0"/>
              <w:rPr>
                <w:sz w:val="14"/>
                <w:szCs w:val="14"/>
                <w:color w:val="auto"/>
              </w:rPr>
            </w:pP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2017, respectively, within the Consolidated Statements of Earnings for the</w:t>
            </w:r>
          </w:p>
        </w:tc>
        <w:tc>
          <w:tcPr>
            <w:tcW w:w="0" w:type="dxa"/>
            <w:vAlign w:val="bottom"/>
          </w:tcPr>
          <w:p>
            <w:pPr>
              <w:spacing w:after="0"/>
              <w:rPr>
                <w:sz w:val="1"/>
                <w:szCs w:val="1"/>
                <w:color w:val="auto"/>
              </w:rPr>
            </w:pPr>
          </w:p>
        </w:tc>
      </w:tr>
      <w:tr>
        <w:trPr>
          <w:trHeight w:val="49"/>
        </w:trPr>
        <w:tc>
          <w:tcPr>
            <w:tcW w:w="5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carrying values of the company's short-term financial instruments,</w:t>
            </w: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 plans.</w:t>
            </w:r>
          </w:p>
        </w:tc>
        <w:tc>
          <w:tcPr>
            <w:tcW w:w="0" w:type="dxa"/>
            <w:vAlign w:val="bottom"/>
          </w:tcPr>
          <w:p>
            <w:pPr>
              <w:spacing w:after="0"/>
              <w:rPr>
                <w:sz w:val="1"/>
                <w:szCs w:val="1"/>
                <w:color w:val="auto"/>
              </w:rPr>
            </w:pPr>
          </w:p>
        </w:tc>
      </w:tr>
      <w:tr>
        <w:trPr>
          <w:trHeight w:val="130"/>
        </w:trPr>
        <w:tc>
          <w:tcPr>
            <w:tcW w:w="5720" w:type="dxa"/>
            <w:vAlign w:val="bottom"/>
            <w:gridSpan w:val="2"/>
            <w:vMerge w:val="continue"/>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cash and cash equivalents, accounts receivable, accounts payable,</w:t>
            </w:r>
          </w:p>
        </w:tc>
        <w:tc>
          <w:tcPr>
            <w:tcW w:w="5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Amounts recognized in AOCL consisted of (in thousands):</w:t>
            </w:r>
          </w:p>
        </w:tc>
        <w:tc>
          <w:tcPr>
            <w:tcW w:w="0" w:type="dxa"/>
            <w:vAlign w:val="bottom"/>
          </w:tcPr>
          <w:p>
            <w:pPr>
              <w:spacing w:after="0"/>
              <w:rPr>
                <w:sz w:val="1"/>
                <w:szCs w:val="1"/>
                <w:color w:val="auto"/>
              </w:rPr>
            </w:pPr>
          </w:p>
        </w:tc>
      </w:tr>
      <w:tr>
        <w:trPr>
          <w:trHeight w:val="86"/>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and short-term debt, including current maturities of long-term debt, when</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720" w:type="dxa"/>
            <w:vAlign w:val="bottom"/>
            <w:gridSpan w:val="2"/>
            <w:vMerge w:val="continue"/>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approximate their fair values due to their short-term nature.</w:t>
            </w: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42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Included in long-term debt is $423.9 million of fixed rate debt that is not subject to variable interest rate fluctuations. The fair value of such long-term debt is determined using Level 2 inputs by discounting the projected cash flows based on quoted market rates at which similar amounts of debt could currently be borrowed. As of October 31, 2019, the estimated fair value of long-term debt with fixed interest rates was $493.8 million compared to its carrying amount of $423.9 million. As of October 31, 2018, the estimated fair value of long-term debt with fixed interest rates was $260.5 million compared to its carrying amount of $221.5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Employee Retirement Plans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The Toro Company Investment, Savings, and Employee Stock Ownership Plan for eligible employees. The company's expenses under this plan were $23.4 million, $18.8 million, and $17.9 million for the fiscal years ended October 31, 2019, 2018, and 2017, respectively. The increase in expense for the year ended October 31, 2019, as compared to the year ended October 31, 2018, was primarily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Fiscal Years Ended October</w:t>
            </w:r>
          </w:p>
        </w:tc>
        <w:tc>
          <w:tcPr>
            <w:tcW w:w="260" w:type="dxa"/>
            <w:vAlign w:val="bottom"/>
          </w:tcPr>
          <w:p>
            <w:pPr>
              <w:spacing w:after="0"/>
              <w:rPr>
                <w:sz w:val="13"/>
                <w:szCs w:val="13"/>
                <w:color w:val="auto"/>
              </w:rPr>
            </w:pPr>
          </w:p>
        </w:tc>
        <w:tc>
          <w:tcPr>
            <w:tcW w:w="1200" w:type="dxa"/>
            <w:vAlign w:val="bottom"/>
          </w:tcPr>
          <w:p>
            <w:pPr>
              <w:jc w:val="right"/>
              <w:ind w:right="148"/>
              <w:spacing w:after="0" w:line="159"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1220" w:type="dxa"/>
            <w:vAlign w:val="bottom"/>
          </w:tcPr>
          <w:p>
            <w:pPr>
              <w:jc w:val="right"/>
              <w:ind w:right="128"/>
              <w:spacing w:after="0" w:line="15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00" w:type="dxa"/>
            <w:vAlign w:val="bottom"/>
          </w:tcPr>
          <w:p>
            <w:pPr>
              <w:spacing w:after="0"/>
              <w:rPr>
                <w:sz w:val="13"/>
                <w:szCs w:val="13"/>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2019</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 actuarial loss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0" w:type="dxa"/>
            <w:vAlign w:val="bottom"/>
          </w:tcPr>
          <w:p>
            <w:pPr>
              <w:spacing w:after="0"/>
              <w:rPr>
                <w:sz w:val="1"/>
                <w:szCs w:val="1"/>
                <w:color w:val="auto"/>
              </w:rPr>
            </w:pPr>
          </w:p>
        </w:tc>
      </w:tr>
      <w:tr>
        <w:trPr>
          <w:trHeight w:val="151"/>
        </w:trPr>
        <w:tc>
          <w:tcPr>
            <w:tcW w:w="192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0" w:type="dxa"/>
            <w:vAlign w:val="bottom"/>
          </w:tcPr>
          <w:p>
            <w:pPr>
              <w:spacing w:after="0"/>
              <w:rPr>
                <w:sz w:val="1"/>
                <w:szCs w:val="1"/>
                <w:color w:val="auto"/>
              </w:rPr>
            </w:pPr>
          </w:p>
        </w:tc>
      </w:tr>
      <w:tr>
        <w:trPr>
          <w:trHeight w:val="193"/>
        </w:trPr>
        <w:tc>
          <w:tcPr>
            <w:tcW w:w="19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2018</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actuarial loss (gain)</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51"/>
        </w:trPr>
        <w:tc>
          <w:tcPr>
            <w:tcW w:w="19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(4,071)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93"/>
        </w:trPr>
        <w:tc>
          <w:tcPr>
            <w:tcW w:w="1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amounts are included within AOCL as of October 31, 2019 and are expected to be recognized as components of net periodic benefit (income) cost during fiscal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3542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340" w:type="dxa"/>
            <w:vAlign w:val="bottom"/>
          </w:tcPr>
          <w:p>
            <w:pPr>
              <w:spacing w:after="0"/>
              <w:rPr>
                <w:sz w:val="13"/>
                <w:szCs w:val="13"/>
                <w:color w:val="auto"/>
              </w:rPr>
            </w:pP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20" w:type="dxa"/>
            <w:vAlign w:val="bottom"/>
          </w:tcPr>
          <w:p>
            <w:pPr>
              <w:spacing w:after="0"/>
              <w:rPr>
                <w:sz w:val="13"/>
                <w:szCs w:val="13"/>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actuarial gain</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51"/>
        </w:trPr>
        <w:tc>
          <w:tcPr>
            <w:tcW w:w="170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Total net periodic benefit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3"/>
        </w:trPr>
        <w:tc>
          <w:tcPr>
            <w:tcW w:w="1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3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2"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recognized in net periodic benefit cost (income) and other comprehensive loss (income) consisted of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3542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200" w:type="dxa"/>
            <w:vAlign w:val="bottom"/>
          </w:tcPr>
          <w:p>
            <w:pPr>
              <w:spacing w:after="0"/>
              <w:rPr>
                <w:sz w:val="13"/>
                <w:szCs w:val="13"/>
                <w:color w:val="auto"/>
              </w:rPr>
            </w:pPr>
          </w:p>
        </w:tc>
        <w:tc>
          <w:tcPr>
            <w:tcW w:w="122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6"/>
              </w:rPr>
              <w:t>Defined Benefit</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6"/>
              </w:rPr>
              <w:t>Pension Plans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960" w:type="dxa"/>
            <w:vAlign w:val="bottom"/>
            <w:gridSpan w:val="2"/>
            <w:shd w:val="clear" w:color="auto" w:fill="CCEEFF"/>
          </w:tcPr>
          <w:p>
            <w:pPr>
              <w:jc w:val="right"/>
              <w:ind w:right="1568"/>
              <w:spacing w:after="0"/>
              <w:rPr>
                <w:sz w:val="20"/>
                <w:szCs w:val="20"/>
                <w:color w:val="auto"/>
              </w:rPr>
            </w:pPr>
            <w:r>
              <w:rPr>
                <w:rFonts w:ascii="Times New Roman" w:cs="Times New Roman" w:eastAsia="Times New Roman" w:hAnsi="Times New Roman"/>
                <w:sz w:val="14"/>
                <w:szCs w:val="14"/>
                <w:i w:val="1"/>
                <w:iCs w:val="1"/>
                <w:color w:val="auto"/>
              </w:rPr>
              <w:t>2019</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(1,138)</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9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Amortization of unrecognized</w:t>
            </w:r>
          </w:p>
        </w:tc>
        <w:tc>
          <w:tcPr>
            <w:tcW w:w="2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5,213</w:t>
            </w: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Total recognized in other</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4,075</w:t>
            </w: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4,300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recognized in net periodic</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benefit cost (income) and other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(2,653)</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200" w:type="dxa"/>
            <w:vAlign w:val="bottom"/>
          </w:tcPr>
          <w:p>
            <w:pPr>
              <w:spacing w:after="0"/>
              <w:rPr>
                <w:sz w:val="12"/>
                <w:szCs w:val="12"/>
                <w:color w:val="auto"/>
              </w:rPr>
            </w:pPr>
          </w:p>
        </w:tc>
        <w:tc>
          <w:tcPr>
            <w:tcW w:w="1220" w:type="dxa"/>
            <w:vAlign w:val="bottom"/>
          </w:tcPr>
          <w:p>
            <w:pPr>
              <w:jc w:val="center"/>
              <w:ind w:right="109"/>
              <w:spacing w:after="0" w:line="145"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200" w:type="dxa"/>
            <w:vAlign w:val="bottom"/>
          </w:tcPr>
          <w:p>
            <w:pPr>
              <w:jc w:val="center"/>
              <w:ind w:right="88"/>
              <w:spacing w:after="0" w:line="145"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2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940" w:type="dxa"/>
            <w:vAlign w:val="bottom"/>
            <w:shd w:val="clear" w:color="auto" w:fill="CCEEFF"/>
          </w:tcPr>
          <w:p>
            <w:pPr>
              <w:jc w:val="right"/>
              <w:ind w:right="1568"/>
              <w:spacing w:after="0"/>
              <w:rPr>
                <w:sz w:val="20"/>
                <w:szCs w:val="20"/>
                <w:color w:val="auto"/>
              </w:rPr>
            </w:pPr>
            <w:r>
              <w:rPr>
                <w:rFonts w:ascii="Times New Roman" w:cs="Times New Roman" w:eastAsia="Times New Roman" w:hAnsi="Times New Roman"/>
                <w:sz w:val="14"/>
                <w:szCs w:val="14"/>
                <w:i w:val="1"/>
                <w:iCs w:val="1"/>
                <w:color w:val="auto"/>
                <w:w w:val="99"/>
              </w:rPr>
              <w:t>2018</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actuarial (gain)</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Amortization of unrecognized</w:t>
            </w:r>
          </w:p>
        </w:tc>
        <w:tc>
          <w:tcPr>
            <w:tcW w:w="2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 (loss)</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Total recognized in other</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(577)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recognized in net periodic</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benefit cost (income) and other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(1,322)</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omitted the remaining disclosures for its retirement plans as the company deems these retirement plans to be immaterial to its Consolidated Financial Statements.</w:t>
      </w: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Other Income, Net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3542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2,753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2,463</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265"/>
        </w:trPr>
        <w:tc>
          <w:tcPr>
            <w:tcW w:w="2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Retail financing revenue</w:t>
            </w:r>
          </w:p>
        </w:tc>
        <w:tc>
          <w:tcPr>
            <w:tcW w:w="3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1,178</w:t>
            </w:r>
          </w:p>
        </w:tc>
        <w:tc>
          <w:tcPr>
            <w:tcW w:w="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1,232</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75"/>
        </w:trPr>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gain</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1,558</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1,127</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265"/>
        </w:trPr>
        <w:tc>
          <w:tcPr>
            <w:tcW w:w="2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on asset disposals</w:t>
            </w:r>
          </w:p>
        </w:tc>
        <w:tc>
          <w:tcPr>
            <w:tcW w:w="3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2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Non-cash income from finance</w:t>
            </w:r>
          </w:p>
        </w:tc>
        <w:tc>
          <w:tcPr>
            <w:tcW w:w="3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11,948</w:t>
            </w:r>
          </w:p>
        </w:tc>
        <w:tc>
          <w:tcPr>
            <w:tcW w:w="2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11,143</w:t>
            </w:r>
          </w:p>
        </w:tc>
        <w:tc>
          <w:tcPr>
            <w:tcW w:w="3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affiliate</w:t>
            </w:r>
          </w:p>
        </w:tc>
        <w:tc>
          <w:tcPr>
            <w:tcW w:w="3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Litigation settlements, net of</w:t>
            </w:r>
          </w:p>
        </w:tc>
        <w:tc>
          <w:tcPr>
            <w:tcW w:w="34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(1,659)</w:t>
            </w:r>
          </w:p>
        </w:tc>
        <w:tc>
          <w:tcPr>
            <w:tcW w:w="28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3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3"/>
        </w:trPr>
        <w:tc>
          <w:tcPr>
            <w:tcW w:w="2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recoveries</w:t>
            </w: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Net periodic benefit income on</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defined benefit pension and post-</w:t>
            </w:r>
          </w:p>
        </w:tc>
        <w:tc>
          <w:tcPr>
            <w:tcW w:w="3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6,822</w:t>
            </w:r>
          </w:p>
        </w:tc>
        <w:tc>
          <w:tcPr>
            <w:tcW w:w="2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retirement plans</w:t>
            </w:r>
          </w:p>
        </w:tc>
        <w:tc>
          <w:tcPr>
            <w:tcW w:w="3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Miscellaneous</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3,823</w:t>
            </w: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3,143</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other income, net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25,939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18,408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17,187</w:t>
            </w:r>
          </w:p>
        </w:tc>
        <w:tc>
          <w:tcPr>
            <w:tcW w:w="0" w:type="dxa"/>
            <w:vAlign w:val="bottom"/>
          </w:tcPr>
          <w:p>
            <w:pPr>
              <w:spacing w:after="0"/>
              <w:rPr>
                <w:sz w:val="1"/>
                <w:szCs w:val="1"/>
                <w:color w:val="auto"/>
              </w:rPr>
            </w:pP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17 </w:t>
      </w:r>
      <w:r>
        <w:rPr>
          <w:rFonts w:ascii="Times New Roman" w:cs="Times New Roman" w:eastAsia="Times New Roman" w:hAnsi="Times New Roman"/>
          <w:sz w:val="19"/>
          <w:szCs w:val="19"/>
          <w:b w:val="1"/>
          <w:bCs w:val="1"/>
          <w:color w:val="auto"/>
        </w:rPr>
        <w:t>Subsequent Events</w:t>
      </w:r>
    </w:p>
    <w:p>
      <w:pPr>
        <w:spacing w:after="0" w:line="2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20, 2019, Toro (or one of Toro’s wholly owned subsidiaries), TCFIF (or one of TCFIF’s wholly owned subsidiaries or affiliates), and Red Iron amended certain agreements pertaining to the Red Iron joint venture, including: (i) a Third Amendment to Agreement to Form Joint Venture between Toro and TCFIF (“JV Amendment”); (ii) a Fifth Amendment to Limited Liability Company Agreement of Red Iron Acceptance, LLC between Red Iron Holding Corporation, a wholly owned subsidiary of Toro (“Red Iron Holding”), and TCFIF Joint Venture I, LLC, a wholly owned subsidiary of TCFIF (“TCFIF JV I”) (“LLC Amendment”); (iii) a Third Amendment to Credit and Security Agreement between TCFIF, as lender, and Red Iron, as borrower (“Credit Agreement Amendment”); and (iv) a First Amendment to Fourth Amended and Restated Program and Repurchase Agreement between Toro and Red Iron (“Program and Repurchase Agreement Amendment”).</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purpose of these amendments is, among other things, to: (i) adjust certain rates under the floor plan financing rate structure charged to Toro’s distributors and dealers participating in financing arrangements through the Red Iron joint venture; (ii) extend the term of Red Iron from October 31, 2024 to October 31, 2026, subject to two-year extensions thereafter unless either party provides written notice to the other party of non-renewal at least one year prior to the end of the then-current term; (iii) amend certain exclusivity-related provisions, including the definition of Toro products that are subject to exclusivity, inclusion of a two-year review period by Toro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Toro received from TCFIF in 2016 (the “2016 Exclusivity Payment”); (iv) extend the maturity date of the revolving credit facility used by Red Iron primarily to finance the acquisition of inventory from Toro and its affiliates by its distributors and dealers from October 31, 2024 to October 31, 2026 and to increase the amount available under such revolving credit facility from $550 million to $625 million; and (v) memorialize certain other non-material amendments. For additional information regarding Toro’s Red Iron joint venture, refer to Note 11,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evaluated all additional subsequent events and concluded that no subsequent events have occurred that would require recognition in the Consolidated Financial Statements or disclosure in the Notes to the Consolidated Financial Statements.</w:t>
      </w:r>
    </w:p>
    <w:p>
      <w:pPr>
        <w:spacing w:after="0" w:line="2086"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3"/>
          <w:szCs w:val="43"/>
          <w:b w:val="1"/>
          <w:bCs w:val="1"/>
          <w:color w:val="auto"/>
        </w:rPr>
        <w:t xml:space="preserve">18 </w:t>
      </w:r>
      <w:r>
        <w:rPr>
          <w:rFonts w:ascii="Times New Roman" w:cs="Times New Roman" w:eastAsia="Times New Roman" w:hAnsi="Times New Roman"/>
          <w:sz w:val="19"/>
          <w:szCs w:val="19"/>
          <w:b w:val="1"/>
          <w:bCs w:val="1"/>
          <w:color w:val="auto"/>
        </w:rPr>
        <w:t>Quarterly Financial Data</w:t>
      </w:r>
      <w:r>
        <w:rPr>
          <w:rFonts w:ascii="Times New Roman" w:cs="Times New Roman" w:eastAsia="Times New Roman" w:hAnsi="Times New Roman"/>
          <w:sz w:val="43"/>
          <w:szCs w:val="43"/>
          <w:b w:val="1"/>
          <w:bCs w:val="1"/>
          <w:color w:val="auto"/>
        </w:rPr>
        <w:t xml:space="preserve"> </w:t>
      </w:r>
      <w:r>
        <w:rPr>
          <w:rFonts w:ascii="Times New Roman" w:cs="Times New Roman" w:eastAsia="Times New Roman" w:hAnsi="Times New Roman"/>
          <w:sz w:val="19"/>
          <w:szCs w:val="19"/>
          <w:color w:val="auto"/>
        </w:rPr>
        <w:t>(Unaudited)</w:t>
      </w:r>
    </w:p>
    <w:p>
      <w:pPr>
        <w:spacing w:after="0" w:line="2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Summarized quarterly financial data for fiscal 2019 and 2018 are as follows (dollars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200025</wp:posOffset>
            </wp:positionV>
            <wp:extent cx="2538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9"/>
              </w:rPr>
              <w:t>Second</w:t>
            </w:r>
            <w:r>
              <w:rPr>
                <w:rFonts w:ascii="Times New Roman" w:cs="Times New Roman" w:eastAsia="Times New Roman" w:hAnsi="Times New Roman"/>
                <w:sz w:val="22"/>
                <w:szCs w:val="22"/>
                <w:b w:val="1"/>
                <w:bCs w:val="1"/>
                <w:color w:val="auto"/>
                <w:w w:val="99"/>
                <w:vertAlign w:val="superscript"/>
              </w:rPr>
              <w:t>2</w:t>
            </w:r>
          </w:p>
        </w:tc>
        <w:tc>
          <w:tcPr>
            <w:tcW w:w="280" w:type="dxa"/>
            <w:vAlign w:val="bottom"/>
          </w:tcPr>
          <w:p>
            <w:pPr>
              <w:spacing w:after="0"/>
              <w:rPr>
                <w:sz w:val="13"/>
                <w:szCs w:val="13"/>
                <w:color w:val="auto"/>
              </w:rPr>
            </w:pPr>
          </w:p>
        </w:tc>
        <w:tc>
          <w:tcPr>
            <w:tcW w:w="7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9"/>
              </w:rPr>
              <w:t>Third</w:t>
            </w:r>
            <w:r>
              <w:rPr>
                <w:rFonts w:ascii="Times New Roman" w:cs="Times New Roman" w:eastAsia="Times New Roman" w:hAnsi="Times New Roman"/>
                <w:sz w:val="22"/>
                <w:szCs w:val="22"/>
                <w:b w:val="1"/>
                <w:bCs w:val="1"/>
                <w:color w:val="auto"/>
                <w:w w:val="99"/>
                <w:vertAlign w:val="superscript"/>
              </w:rPr>
              <w:t>2</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264"/>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602,956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962,036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838,713</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734,379</w:t>
            </w:r>
          </w:p>
        </w:tc>
        <w:tc>
          <w:tcPr>
            <w:tcW w:w="0" w:type="dxa"/>
            <w:vAlign w:val="bottom"/>
          </w:tcPr>
          <w:p>
            <w:pPr>
              <w:spacing w:after="0"/>
              <w:rPr>
                <w:sz w:val="1"/>
                <w:szCs w:val="1"/>
                <w:color w:val="auto"/>
              </w:rPr>
            </w:pPr>
          </w:p>
        </w:tc>
      </w:tr>
      <w:tr>
        <w:trPr>
          <w:trHeight w:val="265"/>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23"/>
                <w:szCs w:val="23"/>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215,617</w:t>
            </w:r>
          </w:p>
        </w:tc>
        <w:tc>
          <w:tcPr>
            <w:tcW w:w="24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321,298</w:t>
            </w:r>
          </w:p>
        </w:tc>
        <w:tc>
          <w:tcPr>
            <w:tcW w:w="28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265,981</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245,067</w:t>
            </w: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59,540</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115,570</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60,607</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38,266</w:t>
            </w:r>
          </w:p>
        </w:tc>
        <w:tc>
          <w:tcPr>
            <w:tcW w:w="0" w:type="dxa"/>
            <w:vAlign w:val="bottom"/>
          </w:tcPr>
          <w:p>
            <w:pPr>
              <w:spacing w:after="0"/>
              <w:rPr>
                <w:sz w:val="1"/>
                <w:szCs w:val="1"/>
                <w:color w:val="auto"/>
              </w:rPr>
            </w:pPr>
          </w:p>
        </w:tc>
      </w:tr>
      <w:tr>
        <w:trPr>
          <w:trHeight w:val="153"/>
        </w:trPr>
        <w:tc>
          <w:tcPr>
            <w:tcW w:w="15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Basic net earnings per</w:t>
            </w:r>
          </w:p>
        </w:tc>
        <w:tc>
          <w:tcPr>
            <w:tcW w:w="2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0.56</w:t>
            </w:r>
          </w:p>
        </w:tc>
        <w:tc>
          <w:tcPr>
            <w:tcW w:w="240" w:type="dxa"/>
            <w:vAlign w:val="bottom"/>
          </w:tcPr>
          <w:p>
            <w:pPr>
              <w:spacing w:after="0"/>
              <w:rPr>
                <w:sz w:val="13"/>
                <w:szCs w:val="13"/>
                <w:color w:val="auto"/>
              </w:rPr>
            </w:pP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1.08</w:t>
            </w:r>
          </w:p>
        </w:tc>
        <w:tc>
          <w:tcPr>
            <w:tcW w:w="280" w:type="dxa"/>
            <w:vAlign w:val="bottom"/>
          </w:tcPr>
          <w:p>
            <w:pPr>
              <w:spacing w:after="0"/>
              <w:rPr>
                <w:sz w:val="13"/>
                <w:szCs w:val="13"/>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0.57</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93"/>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8"/>
                <w:szCs w:val="8"/>
                <w:color w:val="auto"/>
              </w:rPr>
              <w:t>1</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Diluted net earnings per</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0.56</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93"/>
        </w:trPr>
        <w:tc>
          <w:tcPr>
            <w:tcW w:w="1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8"/>
                <w:szCs w:val="8"/>
                <w:color w:val="auto"/>
              </w:rPr>
              <w:t>1</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548,246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875,280</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655,821</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539,303</w:t>
            </w:r>
          </w:p>
        </w:tc>
        <w:tc>
          <w:tcPr>
            <w:tcW w:w="0" w:type="dxa"/>
            <w:vAlign w:val="bottom"/>
          </w:tcPr>
          <w:p>
            <w:pPr>
              <w:spacing w:after="0"/>
              <w:rPr>
                <w:sz w:val="1"/>
                <w:szCs w:val="1"/>
                <w:color w:val="auto"/>
              </w:rPr>
            </w:pPr>
          </w:p>
        </w:tc>
      </w:tr>
      <w:tr>
        <w:trPr>
          <w:trHeight w:val="265"/>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Pr>
          <w:p>
            <w:pPr>
              <w:spacing w:after="0"/>
              <w:rPr>
                <w:sz w:val="23"/>
                <w:szCs w:val="23"/>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204,239</w:t>
            </w:r>
          </w:p>
        </w:tc>
        <w:tc>
          <w:tcPr>
            <w:tcW w:w="24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324,056</w:t>
            </w:r>
          </w:p>
        </w:tc>
        <w:tc>
          <w:tcPr>
            <w:tcW w:w="28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233,653</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179,063</w:t>
            </w:r>
          </w:p>
        </w:tc>
        <w:tc>
          <w:tcPr>
            <w:tcW w:w="0" w:type="dxa"/>
            <w:vAlign w:val="bottom"/>
          </w:tcPr>
          <w:p>
            <w:pPr>
              <w:spacing w:after="0"/>
              <w:rPr>
                <w:sz w:val="1"/>
                <w:szCs w:val="1"/>
                <w:color w:val="auto"/>
              </w:rPr>
            </w:pPr>
          </w:p>
        </w:tc>
      </w:tr>
      <w:tr>
        <w:trPr>
          <w:trHeight w:val="275"/>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22,604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131,289</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79,009</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39,037</w:t>
            </w:r>
          </w:p>
        </w:tc>
        <w:tc>
          <w:tcPr>
            <w:tcW w:w="0" w:type="dxa"/>
            <w:vAlign w:val="bottom"/>
          </w:tcPr>
          <w:p>
            <w:pPr>
              <w:spacing w:after="0"/>
              <w:rPr>
                <w:sz w:val="1"/>
                <w:szCs w:val="1"/>
                <w:color w:val="auto"/>
              </w:rPr>
            </w:pPr>
          </w:p>
        </w:tc>
      </w:tr>
      <w:tr>
        <w:trPr>
          <w:trHeight w:val="153"/>
        </w:trPr>
        <w:tc>
          <w:tcPr>
            <w:tcW w:w="15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Basic net earnings per</w:t>
            </w:r>
          </w:p>
        </w:tc>
        <w:tc>
          <w:tcPr>
            <w:tcW w:w="2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0.21</w:t>
            </w:r>
          </w:p>
        </w:tc>
        <w:tc>
          <w:tcPr>
            <w:tcW w:w="240" w:type="dxa"/>
            <w:vAlign w:val="bottom"/>
          </w:tcPr>
          <w:p>
            <w:pPr>
              <w:spacing w:after="0"/>
              <w:rPr>
                <w:sz w:val="13"/>
                <w:szCs w:val="13"/>
                <w:color w:val="auto"/>
              </w:rPr>
            </w:pP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tcPr>
          <w:p>
            <w:pPr>
              <w:spacing w:after="0"/>
              <w:rPr>
                <w:sz w:val="13"/>
                <w:szCs w:val="13"/>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0.75</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193"/>
        </w:trPr>
        <w:tc>
          <w:tcPr>
            <w:tcW w:w="1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8"/>
                <w:szCs w:val="8"/>
                <w:color w:val="auto"/>
              </w:rPr>
              <w:t>1</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Diluted net earnings per</w:t>
            </w: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0.73</w:t>
            </w:r>
          </w:p>
        </w:tc>
        <w:tc>
          <w:tcPr>
            <w:tcW w:w="2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93"/>
        </w:trPr>
        <w:tc>
          <w:tcPr>
            <w:tcW w:w="1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8"/>
                <w:szCs w:val="8"/>
                <w:color w:val="auto"/>
              </w:rPr>
              <w:t>1</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340" w:hanging="332"/>
        <w:spacing w:after="0" w:line="208" w:lineRule="auto"/>
        <w:tabs>
          <w:tab w:leader="none" w:pos="340"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Basic and diluted net earnings per share amounts may not equal the full year total due to changes in the number of weighted-average shares of common stock outstanding during the periods and rounding.</w:t>
      </w:r>
    </w:p>
    <w:p>
      <w:pPr>
        <w:spacing w:after="0" w:line="195" w:lineRule="exact"/>
        <w:rPr>
          <w:sz w:val="20"/>
          <w:szCs w:val="20"/>
          <w:color w:val="auto"/>
        </w:rPr>
      </w:pPr>
    </w:p>
    <w:p>
      <w:pPr>
        <w:jc w:val="both"/>
        <w:ind w:left="340" w:hanging="332"/>
        <w:spacing w:after="0" w:line="229" w:lineRule="auto"/>
        <w:tabs>
          <w:tab w:leader="none" w:pos="34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fiscal 2019, CMW's financial position, results of operations, and cash flows were reported on a calendar month end. Accordingly, April 30, 2019 and July 31, 2019 were the calendar quarterly period end dates closest to the company's quarterly fiscal periods ended May 3, 2019 and August 2, 2019, respectively. This reporting period difference did not have material impact on the company's Consolidated Results of Operations during the company's second and third fiscal quarters. For the company's fiscal 2019 fourth quarter, the reporting period end for both CMW and the company was October 31, 2019.</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company's Chairman of the Board, President and Chief Executive Officer and Vice President, Treasurer and Chief Financial Officer, the effectiveness of the design and operation of the company's disclosure controls and procedures as of the end of the period covered by this Annual Report on Form 10-K. Based on that evaluation, the company's Chairman of the Board, President and Chief Executive Officer and Vice President, Treasurer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Chairman of the Board, President and Chief Executive Officer and Vice President, Treasurer and Chief Financial Officer, as appropriate to allow timely decisions regarding required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Internal Control Over Financial Reporting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included in this Annual Report on Form 10-K within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Annual Report on Form 10-K within Part II, Item 8, "Financial Statements and Supplementary Data" under the caption "Report of Independent Registered Public Accounting Firm." With the exception of integration activities in connection with the company's acquisition of CMW, there was no change in the company's internal control over financial reporting that occurred during the company's fourth fiscal quarter ended October 31, 2019 that has materially affected, or is reasonably likely to materially affect, the company's internal control over financial reporting.</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2019, the company completed its acquisition of CMW. Prior to this acquisition, CMW was a privately-held company not subject to the Sarbanes-Oxley Act of 2002, the rules and regulations of the SEC, or other corporate governance requirements to which public companies may be subject. As of and for the fiscal year ended October 31, 2019, CMW accounted for approximately 35.0 percent of consolidated total assets and 14.8 percent of consolidated net sales of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company's ongoing integration activities, the company is in the process of incorporating internal controls</w:t>
      </w:r>
    </w:p>
    <w:p>
      <w:pPr>
        <w:spacing w:after="0" w:line="2228"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significant processes specific to CMW that the company believes are appropriate and necessary to account for the acquisition and to consolidate and report the company's financial results. In accordance with guidance issued by the SEC, companies are permitted to exclude acquisitions from their final assessment of internal control over financial reporting during the year of acquisition. Accordingly, the company has excluded CMW from the company's assessment of internal control over financial reporting as of October 31, 2019 as the company's integration activities are ongoing and incomplete. Refer to the company's management report on internal control over financial reporting included in this Annual Report on Form 10-K within Part II, Item 8, "Financial Statements and Supplementary Data" under the caption "Management's Report on Internal Control over Financial Reporting"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20, 2019, Toro (or one of Toro’s wholly owned subsidiaries), TCFIF (or one of TCFIF’s wholly owned subsidiaries or affiliates), and Red Iron amended certain agreements pertaining to the Red Iron joint venture, including: (i) a Third Amendment to Agreement to Form Joint Venture between Toro and TCFIF (“JV Amendment”); (ii) a Fifth Amendment to Limited Liability Company Agreement of Red Iron Acceptance, LLC between Red Iron Holding Corporation, a wholly owned subsidiary of Toro (“Red Iron Holding”), and TCFIF Joint Venture I, LLC, a wholly owned subsidiary of TCFIF (“TCFIF JV I”) (“LLC Amendment”); (iii) a Third Amendment to Credit and Security Agreement between TCFIF, as lender, and Red Iron, as borrower (“Credit Agreement Amendment”); and (iv) a First Amendment to Fourth Amended and Restated Program and Repurchase Agreement between Toro and Red Iron (“Program and Repurchase Agreement Amendment”).</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purpose of these amendments is, among other things, to: (i) adjust certain rates under the floor plan financing rate structure charged to Toro’s distributors and dealers participating in financing arrangements through the Red Iron joint venture; (ii) extend the term of Red Iron from October 31, 2024 to October 31, 2026, subject to two-year extensions thereafter unless either party provides written notice to the other party of non-renewal at least one year prior to the end of the then-current term; (iii) amend certain exclusivity-related provisions, including the definition of Toro products that are subject to exclusivity, inclusion of a two-year review period by Toro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Toro received from TCFIF in 2016 (the “2016 Exclusivity Payment”); (iv) extend the maturity date of the revolving credit facility used by Red Iron primarily to finance the acquisition of inventory from Toro and its affiliates by its distributors and dealers from October 31, 2024 to October 31, 2026 and to increase the amount available under such revolving credit facility from $550 million to $625 million; and (v) memorialize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other non-material amendments. Toro expects that the amendments will result in higher net sales and lower other income from Toro’s equity investment in Red Iron within Toro's Consolidated Statements of Earnings, primarily due to (a) Toro reflecting the anticipated price realization in net sales as a result of the revised rate structure and (b) Toro no longer recognizing the 2016 Exclusivity Payment in other income, net.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Toro plans to file copies of the JV Amendment, LLC Amendment, Credit Agreement Amendment, and Program and Repurchase Agreement Amendment to its Quarterly Report on Form 10-Q for the period ending January 31, 2020. For additional information regarding Toro’s Red Iron joint venture, refer to Note 11, </w:t>
      </w:r>
      <w:r>
        <w:rPr>
          <w:rFonts w:ascii="Times New Roman" w:cs="Times New Roman" w:eastAsia="Times New Roman" w:hAnsi="Times New Roman"/>
          <w:sz w:val="18"/>
          <w:szCs w:val="18"/>
          <w:i w:val="1"/>
          <w:iCs w:val="1"/>
          <w:color w:val="auto"/>
        </w:rPr>
        <w:t>Investment in Joint Venture</w:t>
      </w:r>
      <w:r>
        <w:rPr>
          <w:rFonts w:ascii="Times New Roman" w:cs="Times New Roman" w:eastAsia="Times New Roman" w:hAnsi="Times New Roman"/>
          <w:sz w:val="18"/>
          <w:szCs w:val="18"/>
          <w:color w:val="auto"/>
        </w:rPr>
        <w:t>, in the Notes to Consolidated Financial Statements included in Part II, Item 8, "Financial Statements and Supplementary Data" of this Annual Report on Form 10-K.</w:t>
      </w:r>
    </w:p>
    <w:p>
      <w:pPr>
        <w:spacing w:after="0" w:line="7975" w:lineRule="exact"/>
        <w:rPr>
          <w:sz w:val="20"/>
          <w:szCs w:val="20"/>
          <w:color w:val="auto"/>
        </w:rPr>
      </w:pPr>
    </w:p>
    <w:p>
      <w:pPr>
        <w:sectPr>
          <w:pgSz w:w="11900" w:h="16838" w:orient="portrait"/>
          <w:cols w:equalWidth="0" w:num="2">
            <w:col w:w="5600" w:space="220"/>
            <w:col w:w="5600"/>
          </w:cols>
          <w:pgMar w:left="240" w:top="121" w:right="239"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ectPr>
          <w:pgSz w:w="11900" w:h="16838" w:orient="portrait"/>
          <w:cols w:equalWidth="0" w:num="1">
            <w:col w:w="11420"/>
          </w:cols>
          <w:pgMar w:left="240" w:top="121" w:right="239" w:bottom="1440" w:gutter="0" w:footer="0" w:header="0"/>
        </w:sectPr>
      </w:pP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on executive officers required by this item is incorporated by reference from "Information About Our Executive Officers" in Part I of this Annual Report on Form 10-K. Additional information on certain executive officers and other information required by this item is incorporated by reference to information to be contained under the captions "Proposal One — Election of Directors — Information About Board Nominees and Continuing Directors," "Corporate Governance — Code of Conduct and Code of Ethics for our CEO and Senior Financial Personnel," and "Corporate Governance — Board Committees," in the company's proxy statement for its 2020 Annual Meeting of Shareholders to be filed with the SEC.</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the fourth quarter of fiscal 2019, the company did not make any material changes to the procedures by which shareholders may recommend nominees to the Board of Directors, as described in the company's proxy statement for its 2019 Annual Meeting of Shareholders. The company has a Code of Ethics for its CEO and Senior Financial Personnel, a copy of which is posted on the company's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 Information" link, then the "Corporate Governance" link, then the "Code of Conduct and Ethics" link). The company intends to satisfy the disclosure requirements of Item 5.05 of Form 8-K and applicable NYSE rules regarding amendments to or waivers from any provision of its Code of Ethics by posting such information on its website at </w:t>
      </w:r>
      <w:r>
        <w:rPr>
          <w:rFonts w:ascii="Times New Roman" w:cs="Times New Roman" w:eastAsia="Times New Roman" w:hAnsi="Times New Roman"/>
          <w:sz w:val="18"/>
          <w:szCs w:val="18"/>
          <w:u w:val="single" w:color="auto"/>
          <w:color w:val="auto"/>
        </w:rPr>
        <w:t>www.thetorocompany.com</w:t>
      </w:r>
      <w:r>
        <w:rPr>
          <w:rFonts w:ascii="Times New Roman" w:cs="Times New Roman" w:eastAsia="Times New Roman" w:hAnsi="Times New Roman"/>
          <w:sz w:val="18"/>
          <w:szCs w:val="18"/>
          <w:color w:val="auto"/>
        </w:rPr>
        <w:t xml:space="preserve"> (select the "Investor Information" link, then the "Corporate Governance" link, then the "Code of Conduct and Ethics" link).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"Executive Compensation" and "Director Compensation" in the company's proxy statement for its 2020 Annual Meeting of Shareholders to be filed with the SEC.</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"Stock Ownership" and "Equity Compensation Plan Information" in the company's proxy statement for its 2020 Annual Meeting of Shareholders to be filed with the SEC.</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proxy statement for its 2020 Annual Meeting of Shareholders to be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2020 Annual Meeting of Shareholders to be filed with the SEC.</w:t>
      </w:r>
    </w:p>
    <w:p>
      <w:pPr>
        <w:spacing w:after="0" w:line="6883" w:lineRule="exact"/>
        <w:rPr>
          <w:sz w:val="20"/>
          <w:szCs w:val="20"/>
          <w:color w:val="auto"/>
        </w:rPr>
      </w:pPr>
    </w:p>
    <w:p>
      <w:pPr>
        <w:sectPr>
          <w:pgSz w:w="11900" w:h="16838" w:orient="portrait"/>
          <w:cols w:equalWidth="0" w:num="2">
            <w:col w:w="5600" w:space="220"/>
            <w:col w:w="5600"/>
          </w:cols>
          <w:pgMar w:left="240" w:top="121" w:right="239" w:bottom="1440" w:gutter="0" w:footer="0" w:header="0"/>
          <w:type w:val="continuous"/>
        </w:sectPr>
      </w:pPr>
    </w:p>
    <w:p>
      <w:pPr>
        <w:spacing w:after="0"/>
        <w:tabs>
          <w:tab w:leader="none" w:pos="660" w:val="left"/>
          <w:tab w:leader="none" w:pos="1460" w:val="left"/>
          <w:tab w:leader="none" w:pos="2480" w:val="left"/>
          <w:tab w:leader="none" w:pos="4140" w:val="left"/>
          <w:tab w:leader="none" w:pos="4720" w:val="left"/>
        </w:tabs>
        <w:rPr>
          <w:sz w:val="20"/>
          <w:szCs w:val="20"/>
          <w:color w:val="auto"/>
        </w:rPr>
      </w:pPr>
      <w:r>
        <w:rPr>
          <w:rFonts w:ascii="Times New Roman" w:cs="Times New Roman" w:eastAsia="Times New Roman" w:hAnsi="Times New Roman"/>
          <w:sz w:val="18"/>
          <w:szCs w:val="18"/>
          <w:b w:val="1"/>
          <w:bCs w:val="1"/>
          <w:color w:val="auto"/>
        </w:rPr>
        <w:t>ITEM</w:t>
        <w:tab/>
        <w:t>13.</w:t>
      </w:r>
      <w:r>
        <w:rPr>
          <w:sz w:val="20"/>
          <w:szCs w:val="20"/>
          <w:color w:val="auto"/>
        </w:rPr>
        <w:tab/>
      </w:r>
      <w:r>
        <w:rPr>
          <w:rFonts w:ascii="Times New Roman" w:cs="Times New Roman" w:eastAsia="Times New Roman" w:hAnsi="Times New Roman"/>
          <w:sz w:val="18"/>
          <w:szCs w:val="18"/>
          <w:b w:val="1"/>
          <w:bCs w:val="1"/>
          <w:color w:val="auto"/>
        </w:rPr>
        <w:t>CERTAIN</w:t>
        <w:tab/>
        <w:t>RELATIONSHIPS</w:t>
        <w:tab/>
        <w:t>AND</w:t>
      </w:r>
      <w:r>
        <w:rPr>
          <w:sz w:val="20"/>
          <w:szCs w:val="20"/>
          <w:color w:val="auto"/>
        </w:rPr>
        <w:tab/>
      </w:r>
      <w:r>
        <w:rPr>
          <w:rFonts w:ascii="Times New Roman" w:cs="Times New Roman" w:eastAsia="Times New Roman" w:hAnsi="Times New Roman"/>
          <w:sz w:val="17"/>
          <w:szCs w:val="17"/>
          <w:b w:val="1"/>
          <w:bCs w:val="1"/>
          <w:color w:val="auto"/>
        </w:rPr>
        <w:t>RELATED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DIRECTOR INDEPENDENCE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contained under the caption "Corporate Governance —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Independence" and "Corporate Governance — Related Person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Policies and Procedures Regarding Related Person Transactions" in the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Toro Company and its consolidated subsidiaries are included in Part II, Item 8, "Financial Statements and Supplementary Data" of this report:</w:t>
      </w:r>
    </w:p>
    <w:p>
      <w:pPr>
        <w:spacing w:after="0" w:line="309"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2">
              <w:r>
                <w:rPr>
                  <w:rFonts w:ascii="Times New Roman" w:cs="Times New Roman" w:eastAsia="Times New Roman" w:hAnsi="Times New Roman"/>
                  <w:sz w:val="17"/>
                  <w:szCs w:val="17"/>
                  <w:color w:val="0000EE"/>
                  <w:w w:val="93"/>
                </w:rPr>
                <w:t>52</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3">
              <w:r>
                <w:rPr>
                  <w:rFonts w:ascii="Times New Roman" w:cs="Times New Roman" w:eastAsia="Times New Roman" w:hAnsi="Times New Roman"/>
                  <w:sz w:val="17"/>
                  <w:szCs w:val="17"/>
                  <w:color w:val="0000EE"/>
                  <w:w w:val="93"/>
                </w:rPr>
                <w:t>53</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Earnings for the fiscal years ended October 31, 2019, 2018, and 2017</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5">
              <w:r>
                <w:rPr>
                  <w:rFonts w:ascii="Times New Roman" w:cs="Times New Roman" w:eastAsia="Times New Roman" w:hAnsi="Times New Roman"/>
                  <w:sz w:val="17"/>
                  <w:szCs w:val="17"/>
                  <w:color w:val="0000EE"/>
                  <w:w w:val="93"/>
                </w:rPr>
                <w:t>55</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fiscal years ended October 31, 2019, 2018, and 2017</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5">
              <w:r>
                <w:rPr>
                  <w:rFonts w:ascii="Times New Roman" w:cs="Times New Roman" w:eastAsia="Times New Roman" w:hAnsi="Times New Roman"/>
                  <w:sz w:val="17"/>
                  <w:szCs w:val="17"/>
                  <w:color w:val="0000EE"/>
                  <w:w w:val="93"/>
                </w:rPr>
                <w:t>55</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 as of October 31, 2019 and 2018</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6">
              <w:r>
                <w:rPr>
                  <w:rFonts w:ascii="Times New Roman" w:cs="Times New Roman" w:eastAsia="Times New Roman" w:hAnsi="Times New Roman"/>
                  <w:sz w:val="17"/>
                  <w:szCs w:val="17"/>
                  <w:color w:val="0000EE"/>
                  <w:w w:val="93"/>
                </w:rPr>
                <w:t>56</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fiscal years ended October 31, 2019, 2018, and 2017</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7">
              <w:r>
                <w:rPr>
                  <w:rFonts w:ascii="Times New Roman" w:cs="Times New Roman" w:eastAsia="Times New Roman" w:hAnsi="Times New Roman"/>
                  <w:sz w:val="17"/>
                  <w:szCs w:val="17"/>
                  <w:color w:val="0000EE"/>
                  <w:w w:val="93"/>
                </w:rPr>
                <w:t>57</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 for the fiscal years ended October 31, 2019, 2018, and 2017</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8">
              <w:r>
                <w:rPr>
                  <w:rFonts w:ascii="Times New Roman" w:cs="Times New Roman" w:eastAsia="Times New Roman" w:hAnsi="Times New Roman"/>
                  <w:sz w:val="17"/>
                  <w:szCs w:val="17"/>
                  <w:color w:val="0000EE"/>
                  <w:w w:val="93"/>
                </w:rPr>
                <w:t>58</w:t>
              </w:r>
            </w:hyperlink>
          </w:p>
        </w:tc>
      </w:tr>
      <w:tr>
        <w:trPr>
          <w:trHeight w:val="237"/>
        </w:trPr>
        <w:tc>
          <w:tcPr>
            <w:tcW w:w="984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59">
              <w:r>
                <w:rPr>
                  <w:rFonts w:ascii="Times New Roman" w:cs="Times New Roman" w:eastAsia="Times New Roman" w:hAnsi="Times New Roman"/>
                  <w:sz w:val="17"/>
                  <w:szCs w:val="17"/>
                  <w:color w:val="0000EE"/>
                  <w:w w:val="93"/>
                </w:rPr>
                <w:t>59</w:t>
              </w:r>
            </w:hyperlink>
          </w:p>
        </w:tc>
      </w:tr>
    </w:tbl>
    <w:p>
      <w:pPr>
        <w:spacing w:after="0" w:line="25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Financial Statement Schedules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 schedule of The Toro Company and its subsidiaries is included herein:</w:t>
      </w:r>
    </w:p>
    <w:p>
      <w:pPr>
        <w:spacing w:after="0" w:line="200" w:lineRule="exact"/>
        <w:rPr>
          <w:sz w:val="20"/>
          <w:szCs w:val="20"/>
          <w:color w:val="auto"/>
        </w:rPr>
      </w:pPr>
    </w:p>
    <w:p>
      <w:pPr>
        <w:spacing w:after="0" w:line="23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9800" w:type="dxa"/>
            <w:vAlign w:val="bottom"/>
          </w:tcPr>
          <w:p>
            <w:pPr>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tc>
        <w:tc>
          <w:tcPr>
            <w:tcW w:w="180" w:type="dxa"/>
            <w:vAlign w:val="bottom"/>
            <w:tcBorders>
              <w:bottom w:val="single" w:sz="8" w:color="0000EE"/>
            </w:tcBorders>
          </w:tcPr>
          <w:p>
            <w:pPr>
              <w:jc w:val="right"/>
              <w:spacing w:after="0"/>
              <w:rPr>
                <w:rFonts w:ascii="Times New Roman" w:cs="Times New Roman" w:eastAsia="Times New Roman" w:hAnsi="Times New Roman"/>
                <w:sz w:val="17"/>
                <w:szCs w:val="17"/>
                <w:color w:val="0000EE"/>
                <w:w w:val="93"/>
              </w:rPr>
            </w:pPr>
            <w:hyperlink w:anchor="page96">
              <w:r>
                <w:rPr>
                  <w:rFonts w:ascii="Times New Roman" w:cs="Times New Roman" w:eastAsia="Times New Roman" w:hAnsi="Times New Roman"/>
                  <w:sz w:val="17"/>
                  <w:szCs w:val="17"/>
                  <w:color w:val="0000EE"/>
                  <w:w w:val="93"/>
                </w:rPr>
                <w:t>96</w:t>
              </w:r>
            </w:hyperlink>
          </w:p>
        </w:tc>
      </w:tr>
    </w:tbl>
    <w:p>
      <w:pPr>
        <w:spacing w:after="0" w:line="25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 required information is inapplicable, immaterial, or the information is presented in the Consolidated Financial Statements or related Notes to Consolidated Financial Statements.</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incorporated herein by reference or are filed or furnished with this report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240665</wp:posOffset>
            </wp:positionV>
            <wp:extent cx="63887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83" w:lineRule="exact"/>
        <w:rPr>
          <w:sz w:val="20"/>
          <w:szCs w:val="20"/>
          <w:color w:val="auto"/>
        </w:rPr>
      </w:pPr>
    </w:p>
    <w:tbl>
      <w:tblPr>
        <w:tblLayout w:type="fixed"/>
        <w:tblInd w:w="1360" w:type="dxa"/>
        <w:tblCellMar>
          <w:top w:w="0" w:type="dxa"/>
          <w:left w:w="0" w:type="dxa"/>
          <w:bottom w:w="0" w:type="dxa"/>
          <w:right w:w="0" w:type="dxa"/>
        </w:tblCellMar>
      </w:tblPr>
      <w:tr>
        <w:trPr>
          <w:trHeight w:val="212"/>
        </w:trPr>
        <w:tc>
          <w:tcPr>
            <w:tcW w:w="1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2.1 (1)</w:t>
            </w: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Agreement to Form Joint Venture dated August 12, 2009 by and between The Toro Company and TCF Inventory Finance, Inc.</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(incorporated by reference to Exhibit 2.1 to Registrant's Current Report on Form 8-K dated August 12, 2009, Commission File No. 1-</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380" w:type="dxa"/>
            <w:vAlign w:val="bottom"/>
            <w:tcBorders>
              <w:top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5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0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2.2 (2)</w:t>
            </w:r>
          </w:p>
        </w:tc>
        <w:tc>
          <w:tcPr>
            <w:tcW w:w="4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gridSpan w:val="11"/>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First Amendment to Agreement to Form Joint Venture dated June 6, 2012 by and between The Toro Company and TCF Inventory</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Finance, Inc. (incorporated by reference to Exhibit 2.1 to Registrant's Quarterly Report on Form 10-Q for the fiscal quarter ended</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68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May 4, 2012, Commission File 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2.3 (3)</w:t>
            </w:r>
          </w:p>
        </w:tc>
        <w:tc>
          <w:tcPr>
            <w:tcW w:w="23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gridSpan w:val="11"/>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Second Amendment to Agreement to Form Joint Venture dated November 29, 2016 by and between The Toro Company and TCF</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Inventory Finance, Inc. (incorporated by reference to Exhibit 2.1 to Registrant's Current Report on Form 8-K dated November 29,</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2016,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2.4 (1)</w:t>
            </w:r>
          </w:p>
        </w:tc>
        <w:tc>
          <w:tcPr>
            <w:tcW w:w="23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Limited Liability Company Agreement of Red Iron Acceptance, LLC dated August 12, 2009 by and between Red Iron Holding</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Corporation and TCFIF Joint Venture I, LLC (incorporated by reference to Exhibit 2.2 to Registrant's Current Report on Form 8-K</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dated August 12, 2009,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2.5</w:t>
            </w: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Amendment No. 1 to Limited Liability Company Agreement of Red Iron Acceptance, LLC dated May 31, 2011 by and between Red</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680" w:type="dxa"/>
            <w:vAlign w:val="bottom"/>
            <w:tcBorders>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Iron Holding Corporation and TCFIF Joint Venture I, LLC (incorporated by reference to Exhibit 2.4 to Registrant's Annual Report on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Form 10-K for the fiscal year ended October 31, 2012,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2.6 (2)</w:t>
            </w: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Second Amendment to Limited Liability Company Agreement of Red Iron Acceptance, LLC dated June 6, 2012 by and between Red</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00" w:type="dxa"/>
            <w:vAlign w:val="bottom"/>
            <w:tcBorders>
              <w:bottom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Iron Holding Corporation and TCFIF Joint Venture I, LLC (incorporated by reference to Exhibit 2.2 to Registrant's Quarterly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on Form 10-Q for the fiscal quarter ended May 4, 2012,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2.7 (3)</w:t>
            </w: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gridSpan w:val="11"/>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Third Amendment to Limited Liability Company Agreement of Red Iron Acceptance, LLC dated November 29, 2016 by and</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between Red Iron Holding Corporation and TCFIF Joint Venture I, LLC (incorporated by reference to Exhibit 2.2 to Registrant's</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68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Current Report on Form 8-K dated November 29, 2016, Commission File 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2.8</w:t>
            </w: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gridSpan w:val="11"/>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Receivable Purchase Agreement dated October 1, 2009 by and among Toro Credit Company, as Seller, The Toro Company, and Red</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Iron Acceptance, LLC, as Buyer (incorporated by reference to Exhibit 2.1 to Registrant's Current Report on Form 8-K dated</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868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October 1, 2009, Commission File No. 1-8649).</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2.9 (3)</w:t>
            </w:r>
          </w:p>
        </w:tc>
        <w:tc>
          <w:tcPr>
            <w:tcW w:w="31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8720" w:type="dxa"/>
            <w:vAlign w:val="bottom"/>
            <w:gridSpan w:val="11"/>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Fourth Amended and Restated Program and Repurchase Agreement dated as of November 29, 2016 by and between The Toro</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8720" w:type="dxa"/>
            <w:vAlign w:val="bottom"/>
            <w:gridSpan w:val="11"/>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Company and Red Iron Acceptance, LLC (incorporated by reference to Exhibit 2.3 to Registrant's Current Report on Form 8-K dated</w:t>
              </w:r>
            </w:hyperlink>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November 29, 2016, Commission File No. 1-8649).</w:t>
              </w:r>
            </w:hyperlink>
          </w:p>
        </w:tc>
        <w:tc>
          <w:tcPr>
            <w:tcW w:w="5320" w:type="dxa"/>
            <w:vAlign w:val="bottom"/>
            <w:tcBorders>
              <w:top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92"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792"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2.10</w:t>
            </w: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Asset Purchase Agreement dated as of October 27, 2014 among The Toro Company, Northern Star Industries, Inc. and its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shareholders (incorporated by reference to Exhibit 2.1 to Registrant's Current Report on Form 8-K dated October 27, 2014,</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2.11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Agreement and Plan of Merger dated as of February 14, 2019 among The Toro Company, Helix Company, Inc., The Charles Machine</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Works, Inc. and Agent 186 LLC, as Shareholders’ Agent (incorporated by reference to Exhibit 2.1 to Registrant’s Current Report on</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Form 8-K dated February 14, 2019,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3.1 and 4.1</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on Form 8-K dated June 17, 2008, Commission File 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Registrant’s Current Report on Form 8-K dated March 12, 2013, Commission File 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Amended and Restated Bylaws of The Toro Company (incorporated by reference to Exhibit 3.1 to Registrant’s Current Report on</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02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Form 8-K dated July 19, 2016, Commission File No. 1-8649).</w:t>
              </w:r>
            </w:hyperlink>
          </w:p>
        </w:tc>
        <w:tc>
          <w:tcPr>
            <w:tcW w:w="46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4.4</w:t>
            </w: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Specimen Form of Common Stock Certificate (incorporated by reference to Exhibit 4(c) to Registrant's Quarterly Report on Form 10-</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Q for the quarter ended August 1, 2008, Commission File No. 1-8649).</w:t>
              </w:r>
            </w:hyperlink>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4.5</w:t>
            </w:r>
          </w:p>
        </w:tc>
        <w:tc>
          <w:tcPr>
            <w:tcW w:w="45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rPr>
            </w:pPr>
            <w:hyperlink w:anchor="page98">
              <w:r>
                <w:rPr>
                  <w:rFonts w:ascii="Times New Roman" w:cs="Times New Roman" w:eastAsia="Times New Roman" w:hAnsi="Times New Roman"/>
                  <w:sz w:val="16"/>
                  <w:szCs w:val="16"/>
                  <w:color w:val="0000FF"/>
                </w:rPr>
                <w:t>Description of Common Stock of The Toro Company (filed herewith).</w:t>
              </w:r>
            </w:hyperlink>
          </w:p>
        </w:tc>
        <w:tc>
          <w:tcPr>
            <w:tcW w:w="40" w:type="dxa"/>
            <w:vAlign w:val="bottom"/>
            <w:tcBorders>
              <w:top w:val="single" w:sz="8" w:color="0000FF"/>
            </w:tcBorders>
          </w:tcPr>
          <w:p>
            <w:pPr>
              <w:spacing w:after="0"/>
              <w:rPr>
                <w:sz w:val="20"/>
                <w:szCs w:val="20"/>
                <w:color w:val="auto"/>
              </w:rPr>
            </w:pPr>
          </w:p>
        </w:tc>
        <w:tc>
          <w:tcPr>
            <w:tcW w:w="41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4.6</w:t>
            </w:r>
          </w:p>
        </w:tc>
        <w:tc>
          <w:tcPr>
            <w:tcW w:w="87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K dated June 24, 1997, Commission File No. 1-8649). (Filed on paper - hyperlink not required pursuant to Rule 105 of Regulation 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T)</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4.7</w:t>
            </w: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Indenture dated as of April 20, 2007, between Registrant and The Bank of New York Trust Company, N.A., as Trustee, relating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The Toro Company’s 6.625% Notes due May 1, 2037 (incorporated by reference to Exhibit 4.3 to Registrant’s Registration Statement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748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on Form S-3 filed with the Securities and Exchange Commission on April 23, 2007, Registration No. 333-142282).</w:t>
              </w:r>
            </w:hyperlink>
          </w:p>
        </w:tc>
        <w:tc>
          <w:tcPr>
            <w:tcW w:w="1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4.8</w:t>
            </w: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Trustee, relating to The Toro Company’s 6.625% Notes due May 1, 2037 (incorporated by reference to Exhibit 4.1 to Registrant’s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Current Report on Form 8-K dated April 23, 2007, Commission File 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4.9</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The Toro Company 6.625% Note due May 1, 2037 (incorporated by reference to Exhibit 4.2 to Registrant’s Current Report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300" w:type="dxa"/>
            <w:vAlign w:val="bottom"/>
            <w:tcBorders>
              <w:bottom w:val="single" w:sz="8" w:color="0000FF"/>
            </w:tcBorders>
            <w:gridSpan w:val="8"/>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on Form 8-K dated April 23, 2007, Commission File No. 1-8649).</w:t>
              </w:r>
            </w:hyperlink>
          </w:p>
        </w:tc>
        <w:tc>
          <w:tcPr>
            <w:tcW w:w="440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w:t>
            </w: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Exhibit 10.1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Amendment No. 1 to The Toro Company Amended and Restated 2010 Equity and Incentive Plan, as Amended and Restated, dated as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w:anchor="page100">
              <w:r>
                <w:rPr>
                  <w:rFonts w:ascii="Times New Roman" w:cs="Times New Roman" w:eastAsia="Times New Roman" w:hAnsi="Times New Roman"/>
                  <w:sz w:val="16"/>
                  <w:szCs w:val="16"/>
                  <w:color w:val="0000FF"/>
                </w:rPr>
                <w:t>of December 3, 2019 (filed herewith).</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10.3</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The Toro Company Performance Share Plan (As Amended January 15, 2008) (incorporated by reference to Exhibit 10.2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Registrant's Current Report on Form 8-K dated January 15, 2008,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10.4</w:t>
            </w: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Exhibit 10.8 to Registrant's Quarterly Report on Form 10-Q for the fiscal quarter ended February 3, 2017, Commission File No. 1-</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120" w:type="dxa"/>
            <w:vAlign w:val="bottom"/>
            <w:gridSpan w:val="2"/>
          </w:tcPr>
          <w:p>
            <w:pPr>
              <w:spacing w:after="0" w:line="183"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10.5</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20"/>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Exhibit 10.9 to Registrant's Quarterly Report on Form 10-Q for the fiscal quarter ended February 3, 2017, Commission File No. 1-</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120" w:type="dxa"/>
            <w:vAlign w:val="bottom"/>
            <w:gridSpan w:val="2"/>
          </w:tcPr>
          <w:p>
            <w:pPr>
              <w:spacing w:after="0" w:line="183"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10.6</w:t>
            </w: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reference to Exhibit 10.10 to Registrant's Quarterly Report on Form 10-Q for the fiscal quarter ended February 3, 2017, Commission</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10.7</w:t>
            </w:r>
          </w:p>
        </w:tc>
        <w:tc>
          <w:tcPr>
            <w:tcW w:w="112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(incorporated by reference to Exhibit 10.11 to Registrant's Quarterly Report on Form 10-Q for the fiscal quarter ended February 3,</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2017,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10.8</w:t>
            </w:r>
          </w:p>
        </w:tc>
        <w:tc>
          <w:tcPr>
            <w:tcW w:w="2380" w:type="dxa"/>
            <w:vAlign w:val="bottom"/>
            <w:gridSpan w:val="4"/>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Form of Nonemployee Director Stock Option Agreement between The Toro Company and its Non-Employee Directors under The</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Toro Company 2010 Equity and Incentive Plan (incorporated by reference to 10.14 to Registrant's Annual Report on Form 10-K for</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fiscal year ended October 31, 2014,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10.9</w:t>
            </w:r>
          </w:p>
        </w:tc>
        <w:tc>
          <w:tcPr>
            <w:tcW w:w="4340" w:type="dxa"/>
            <w:vAlign w:val="bottom"/>
            <w:gridSpan w:val="9"/>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Form of Nonemployee Director Stock Option Agreement between The Toro Company and its Non-Employee Directors under The</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Exhibit 10.11 to Registrant’s Annual Report on Form 10-K for the fiscal year ended October 31, 2016, Commission File No. 1-</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1120" w:type="dxa"/>
            <w:vAlign w:val="bottom"/>
            <w:gridSpan w:val="2"/>
          </w:tcPr>
          <w:p>
            <w:pPr>
              <w:spacing w:after="0" w:line="183"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8649).</w:t>
              </w:r>
              <w:r>
                <w:rPr>
                  <w:rFonts w:ascii="Times New Roman" w:cs="Times New Roman" w:eastAsia="Times New Roman" w:hAnsi="Times New Roman"/>
                  <w:sz w:val="16"/>
                  <w:szCs w:val="16"/>
                  <w:color w:val="000000"/>
                </w:rPr>
                <w:t>*</w:t>
              </w:r>
            </w:hyperlink>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10.10</w:t>
            </w:r>
          </w:p>
        </w:tc>
        <w:tc>
          <w:tcPr>
            <w:tcW w:w="420" w:type="dxa"/>
            <w:vAlign w:val="bottom"/>
            <w:shd w:val="clear" w:color="auto" w:fill="0000FF"/>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bottom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Company 2010 Equity and Incentive Plan (incorporated by reference to Exhibit 10.16 to Registrant's Annual Report on Form 10-K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for the fiscal year ended October 31, 2014,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10.11</w:t>
            </w:r>
          </w:p>
        </w:tc>
        <w:tc>
          <w:tcPr>
            <w:tcW w:w="4800" w:type="dxa"/>
            <w:vAlign w:val="bottom"/>
            <w:gridSpan w:val="1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20"/>
          </w:tcPr>
          <w:p>
            <w:pPr>
              <w:spacing w:after="0" w:line="183"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Company Amended and Restated 2010 Equity and Incentive Plan, as amended and restated (incorporated by reference to Exhibit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14</w:t>
              </w:r>
              <w:r>
                <w:rPr>
                  <w:rFonts w:ascii="Times New Roman" w:cs="Times New Roman" w:eastAsia="Times New Roman" w:hAnsi="Times New Roman"/>
                  <w:sz w:val="16"/>
                  <w:szCs w:val="16"/>
                  <w:color w:val="0000FF"/>
                </w:rPr>
                <w:t xml:space="preserve">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121" w:right="25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10.12</w:t>
            </w:r>
          </w:p>
        </w:tc>
        <w:tc>
          <w:tcPr>
            <w:tcW w:w="8700" w:type="dxa"/>
            <w:vAlign w:val="bottom"/>
            <w:gridSpan w:val="15"/>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Company Performance Share Plan (incorporated by reference to Exhibit 10(t) to Registrant's Annual Report on Form 10-K for the</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fiscal year ended October 31, 2007,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10.13</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Company 2010 Equity and Incentive Plan (incorporated by reference to Exhibit 10.18 to Registrant's Annual Report on Form 10-K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for the fiscal year ended October 31, 2014,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10.14</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Company Amended and Restated 2010 Equity and Incentive Plan, as amended and restated (incorporated by reference to Exhibit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r>
                <w:rPr>
                  <w:rFonts w:ascii="Times New Roman" w:cs="Times New Roman" w:eastAsia="Times New Roman" w:hAnsi="Times New Roman"/>
                  <w:sz w:val="16"/>
                  <w:szCs w:val="16"/>
                  <w:color w:val="0000FF"/>
                </w:rPr>
                <w:t xml:space="preserve">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10.15</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Form of Annual Performance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Company Amended and Restated 2010 Equity and Incentive Plan, as amended and restated (incorporated by reference to Exhibit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18</w:t>
              </w:r>
              <w:r>
                <w:rPr>
                  <w:rFonts w:ascii="Times New Roman" w:cs="Times New Roman" w:eastAsia="Times New Roman" w:hAnsi="Times New Roman"/>
                  <w:sz w:val="16"/>
                  <w:szCs w:val="16"/>
                  <w:color w:val="0000FF"/>
                </w:rPr>
                <w:t xml:space="preserve">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10.16</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Form of Restricted Stock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Company Amended and Restated 2010 Equity and Incentive Plan, as amended and restated (incorporated by reference to Exhibit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r>
                <w:rPr>
                  <w:rFonts w:ascii="Times New Roman" w:cs="Times New Roman" w:eastAsia="Times New Roman" w:hAnsi="Times New Roman"/>
                  <w:sz w:val="16"/>
                  <w:szCs w:val="16"/>
                  <w:color w:val="0000FF"/>
                </w:rPr>
                <w:t xml:space="preserve">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10.17</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Form of Restricted Stock Unit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Company 2010 Equity and Incentive Plan (incorporated by reference to Exhibit 10.21 to Registrant's Annual Report on Form 10-K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for the fiscal year ended October 31, 2014,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10.18</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Form of Restricted Stock Unit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Company Amended and Restated 2010 Equity and Incentive Plan, as amended and restated (incorporated by reference to Exhibit</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21</w:t>
              </w:r>
              <w:r>
                <w:rPr>
                  <w:rFonts w:ascii="Times New Roman" w:cs="Times New Roman" w:eastAsia="Times New Roman" w:hAnsi="Times New Roman"/>
                  <w:sz w:val="16"/>
                  <w:szCs w:val="16"/>
                  <w:color w:val="0000FF"/>
                </w:rPr>
                <w:t xml:space="preserve"> to Registrant’s Annual Report on Form 10-K for the fiscal year ended October 31,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10.19</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Indemnification Agreement with the members of the Board of Directors (incorporated by reference to Exhibit 10(u) to Registrant's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Annual Report on Form 10-K for the fiscal year ended October 31, 2006,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10.20</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The Toro Company Change in Control Severance Compensation Policy and attached Form of Release (incorporated by reference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Exhibit 10.1 to Registrant's Current Report on Form 8-K dated January 18, 2011,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10.21</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Offer Letter dated July 25, 2011 between The Toro Company and Renee J. Peterson (incorporated by reference to Exhibit 10.1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Registrant's Current Report on Form 8-K dated July 29, 2011,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10.22</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Offer Letter dated August 18, 2015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Registrant's Current Report on Form 8-K dated August 19, 2015, Commission File No. 1-8649).</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10.23</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Offer Letter dated July 19, 2016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Registrant's Current Report on Form 8-K dated July 19, 2016, Commission File No. 1-8649).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10.24</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Credit Agreement dated as of June 19, 2018 among The Toro Company, Toro Luxembourg S. a. r. l. and certain subsidiaries, as</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Borrowers, the lenders from time to time party thereto, Bank of America, N.A., as Administrative Agent, Swingline Lender and</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Letter of Credit Issuer, and Wells Fargo Bank, National Association, as Syndication Agent (incorporated by reference to Exhibit 10.1</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to Registrant’s Current Report on Form 8-K dated June 19, 2018, Commission File 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10.25 (1)</w:t>
            </w: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Credit and Security Agreement dated August 12, 2009 by and between Red Iron Acceptance, LLC and TCF Inventory Finance, Inc.</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(incorporated by reference to Exhibit 10.1 to Registrant's Current Report on Form 8-K dated August 12, 2009, Commission File</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10.26 (2)</w:t>
            </w:r>
          </w:p>
        </w:tc>
        <w:tc>
          <w:tcPr>
            <w:tcW w:w="8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First Amendment to Credit and Security Agreement dated June 6, 2012 by and between Red Iron Acceptance, LLC and TCF</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Inventory Finance,  Inc. (incorporated by reference to Exhibit 10.1 to Registrant's Quarterly Report on Form 10-Q for the fiscal</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quarter ended May 4, 2012, Commission File No. 1-8649).</w:t>
              </w:r>
            </w:hyperlink>
          </w:p>
        </w:tc>
        <w:tc>
          <w:tcPr>
            <w:tcW w:w="486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10.27</w:t>
            </w:r>
          </w:p>
        </w:tc>
        <w:tc>
          <w:tcPr>
            <w:tcW w:w="87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Second Amendment to Credit and Security Agreement dated November 29, 2016 by and between Red Iron Acceptance, LLC and</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TCF Inventory Finance, Inc. (incorporated by reference to Exhibit 10.1 to Registrant's Current Report on Form 8-K dated</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3360" w:type="dxa"/>
            <w:vAlign w:val="bottom"/>
            <w:tcBorders>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November 29, 2016, Commission File No. 1-8649).</w:t>
              </w:r>
            </w:hyperlink>
          </w:p>
        </w:tc>
        <w:tc>
          <w:tcPr>
            <w:tcW w:w="53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10.28</w:t>
            </w:r>
          </w:p>
        </w:tc>
        <w:tc>
          <w:tcPr>
            <w:tcW w:w="8700" w:type="dxa"/>
            <w:vAlign w:val="bottom"/>
            <w:gridSpan w:val="15"/>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Term Loan Credit Agreement dated as of March 19, 2019, by and among The Toro Company, as Borrower, the lenders from time to</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20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time party thereto, Bank of America, N.A., as Administrative Agent, and JP Morgan Chase Bank, N.A. and Wells Fargo Bank,</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National Association, as Syndication Agents (incorporated by reference to Exhibit 10.1 to Registrant’s Current Report on Form 8-K</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dated March 19, 2019, Commission File No. 1-8649).</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10.29</w:t>
            </w:r>
          </w:p>
        </w:tc>
        <w:tc>
          <w:tcPr>
            <w:tcW w:w="198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vMerge w:val="continue"/>
          </w:tcPr>
          <w:p>
            <w:pPr>
              <w:spacing w:after="0"/>
              <w:rPr>
                <w:sz w:val="20"/>
                <w:szCs w:val="20"/>
                <w:color w:val="auto"/>
              </w:rPr>
            </w:pPr>
          </w:p>
        </w:tc>
        <w:tc>
          <w:tcPr>
            <w:tcW w:w="8700" w:type="dxa"/>
            <w:vAlign w:val="bottom"/>
            <w:gridSpan w:val="15"/>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Note Purchase Agreement, dated as of April 30, 2019, by and among The Toro Company and the purchasers listed on the Purchaser</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670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Schedule thereto (incorporated by reference to Exhibit 10.1 to the Registrant’s Current Report on Form 8-K dated April 30, 2019,</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700" w:type="dxa"/>
            <w:vAlign w:val="bottom"/>
            <w:gridSpan w:val="15"/>
          </w:tcPr>
          <w:p>
            <w:pPr>
              <w:spacing w:after="0" w:line="183"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Commission File No. 1-8649).</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700" w:hanging="1314"/>
        <w:spacing w:after="0"/>
        <w:tabs>
          <w:tab w:leader="none" w:pos="2700" w:val="left"/>
        </w:tabs>
        <w:numPr>
          <w:ilvl w:val="0"/>
          <w:numId w:val="78"/>
        </w:numPr>
        <w:rPr>
          <w:rFonts w:ascii="Times New Roman" w:cs="Times New Roman" w:eastAsia="Times New Roman" w:hAnsi="Times New Roman"/>
          <w:sz w:val="16"/>
          <w:szCs w:val="16"/>
          <w:u w:val="single" w:color="auto"/>
          <w:color w:val="0000FF"/>
        </w:rPr>
      </w:pPr>
      <w:hyperlink w:anchor="page101">
        <w:r>
          <w:rPr>
            <w:rFonts w:ascii="Times New Roman" w:cs="Times New Roman" w:eastAsia="Times New Roman" w:hAnsi="Times New Roman"/>
            <w:sz w:val="16"/>
            <w:szCs w:val="16"/>
            <w:u w:val="single" w:color="auto"/>
            <w:color w:val="0000FF"/>
          </w:rPr>
          <w:t>Subsidiaries of Registrant (filed herewith).</w:t>
        </w:r>
      </w:hyperlink>
    </w:p>
    <w:p>
      <w:pPr>
        <w:spacing w:after="0" w:line="78"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132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2"/>
              </w:rPr>
              <w:t>23.1</w:t>
            </w:r>
          </w:p>
        </w:tc>
        <w:tc>
          <w:tcPr>
            <w:tcW w:w="498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w:anchor="page104">
              <w:r>
                <w:rPr>
                  <w:rFonts w:ascii="Times New Roman" w:cs="Times New Roman" w:eastAsia="Times New Roman" w:hAnsi="Times New Roman"/>
                  <w:sz w:val="16"/>
                  <w:szCs w:val="16"/>
                  <w:color w:val="0000FF"/>
                </w:rPr>
                <w:t>Consent of Independent Registered Public Accounting Firm (filed herewith).</w:t>
              </w:r>
            </w:hyperlink>
          </w:p>
        </w:tc>
        <w:tc>
          <w:tcPr>
            <w:tcW w:w="3720" w:type="dxa"/>
            <w:vAlign w:val="bottom"/>
          </w:tcPr>
          <w:p>
            <w:pPr>
              <w:spacing w:after="0"/>
              <w:rPr>
                <w:sz w:val="16"/>
                <w:szCs w:val="16"/>
                <w:color w:val="auto"/>
              </w:rPr>
            </w:pPr>
          </w:p>
        </w:tc>
      </w:tr>
      <w:tr>
        <w:trPr>
          <w:trHeight w:val="250"/>
        </w:trPr>
        <w:tc>
          <w:tcPr>
            <w:tcW w:w="132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2"/>
              </w:rPr>
              <w:t>31.1</w:t>
            </w:r>
          </w:p>
        </w:tc>
        <w:tc>
          <w:tcPr>
            <w:tcW w:w="870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w:anchor="page105">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hyperlink>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8" w:lineRule="exact"/>
        <w:rPr>
          <w:sz w:val="20"/>
          <w:szCs w:val="20"/>
          <w:color w:val="auto"/>
        </w:rPr>
      </w:pPr>
    </w:p>
    <w:p>
      <w:pPr>
        <w:ind w:left="1380"/>
        <w:spacing w:after="0"/>
        <w:tabs>
          <w:tab w:leader="none" w:pos="26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b w:val="1"/>
          <w:bCs w:val="1"/>
          <w:color w:val="auto"/>
        </w:rPr>
        <w:t>31.2</w:t>
      </w:r>
      <w:r>
        <w:rPr>
          <w:sz w:val="20"/>
          <w:szCs w:val="20"/>
          <w:color w:val="auto"/>
        </w:rPr>
        <w:tab/>
      </w:r>
      <w:hyperlink w:anchor="page106">
        <w:r>
          <w:rPr>
            <w:rFonts w:ascii="Times New Roman" w:cs="Times New Roman" w:eastAsia="Times New Roman" w:hAnsi="Times New Roman"/>
            <w:sz w:val="16"/>
            <w:szCs w:val="16"/>
            <w:u w:val="single" w:color="auto"/>
            <w:color w:val="0000FF"/>
          </w:rPr>
          <w:t>Certification of Chief Financial Officer Pursuant to Rule 13a-14(a) (Section 302 of the Sarbanes-Oxley Act of 2002) (filed herewith).</w:t>
        </w:r>
      </w:hyperlink>
    </w:p>
    <w:p>
      <w:pPr>
        <w:spacing w:after="0" w:line="88" w:lineRule="exact"/>
        <w:rPr>
          <w:sz w:val="20"/>
          <w:szCs w:val="20"/>
          <w:color w:val="auto"/>
        </w:rPr>
      </w:pPr>
    </w:p>
    <w:p>
      <w:pPr>
        <w:ind w:left="2700" w:right="40" w:hanging="1314"/>
        <w:spacing w:after="0" w:line="298" w:lineRule="auto"/>
        <w:tabs>
          <w:tab w:leader="none" w:pos="2700" w:val="left"/>
        </w:tabs>
        <w:numPr>
          <w:ilvl w:val="0"/>
          <w:numId w:val="79"/>
        </w:numPr>
        <w:rPr>
          <w:rFonts w:ascii="Times New Roman" w:cs="Times New Roman" w:eastAsia="Times New Roman" w:hAnsi="Times New Roman"/>
          <w:sz w:val="16"/>
          <w:szCs w:val="16"/>
          <w:u w:val="single" w:color="auto"/>
          <w:color w:val="0000FF"/>
        </w:rPr>
      </w:pPr>
      <w:hyperlink w:anchor="page107">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w:t>
        </w:r>
      </w:hyperlink>
      <w:r>
        <w:rPr>
          <w:rFonts w:ascii="Times New Roman" w:cs="Times New Roman" w:eastAsia="Times New Roman" w:hAnsi="Times New Roman"/>
          <w:sz w:val="16"/>
          <w:szCs w:val="16"/>
          <w:u w:val="single" w:color="auto"/>
          <w:color w:val="0000FF"/>
        </w:rPr>
        <w:t xml:space="preserve"> </w:t>
      </w:r>
      <w:hyperlink w:anchor="page107">
        <w:r>
          <w:rPr>
            <w:rFonts w:ascii="Times New Roman" w:cs="Times New Roman" w:eastAsia="Times New Roman" w:hAnsi="Times New Roman"/>
            <w:sz w:val="16"/>
            <w:szCs w:val="16"/>
            <w:u w:val="single" w:color="auto"/>
            <w:color w:val="0000FF"/>
          </w:rPr>
          <w:t>Section 906 of the Sarbanes-Oxley Act of 2002 (furnished herewith).</w:t>
        </w:r>
      </w:hyperlink>
    </w:p>
    <w:p>
      <w:pPr>
        <w:spacing w:after="0" w:line="2" w:lineRule="exact"/>
        <w:rPr>
          <w:rFonts w:ascii="Times New Roman" w:cs="Times New Roman" w:eastAsia="Times New Roman" w:hAnsi="Times New Roman"/>
          <w:sz w:val="16"/>
          <w:szCs w:val="16"/>
          <w:b w:val="1"/>
          <w:bCs w:val="1"/>
          <w:color w:val="auto"/>
        </w:rPr>
      </w:pPr>
    </w:p>
    <w:p>
      <w:pPr>
        <w:jc w:val="both"/>
        <w:ind w:left="2700" w:right="20" w:hanging="1314"/>
        <w:spacing w:after="0" w:line="269" w:lineRule="auto"/>
        <w:tabs>
          <w:tab w:leader="none" w:pos="270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Annual Report on Form 10-K for the fiscal year ended October 31, 2019, filed with the SEC on December 20, 2019, formatted in eXtensible Business Reporting Language (XBRL): (i) Consolidated Statements of Earnings for each of the fiscal years in the three-year period ended October 31, 2019, (ii) Consolidated Statements of Comprehensive Income for each of the fiscal years in the three-year period ended October 31, 2019, (iii) Consolidated Balance Sheets as of October 31, 2019 and 2018, (iv) Consolidated Statements of Cash Flows for each of the fiscal years in the three-year period ended October 31, 2019, (v) Consolidated Statements of Stockholders' Equity each of the fiscal years in the three-year period ended October 31, 2019, and (vi) Notes to Consolidated Financial Statements (filed herewith).</w:t>
      </w:r>
    </w:p>
    <w:p>
      <w:pPr>
        <w:spacing w:after="0" w:line="29" w:lineRule="exact"/>
        <w:rPr>
          <w:rFonts w:ascii="Times New Roman" w:cs="Times New Roman" w:eastAsia="Times New Roman" w:hAnsi="Times New Roman"/>
          <w:sz w:val="16"/>
          <w:szCs w:val="16"/>
          <w:b w:val="1"/>
          <w:bCs w:val="1"/>
          <w:color w:val="auto"/>
        </w:rPr>
      </w:pPr>
    </w:p>
    <w:p>
      <w:pPr>
        <w:ind w:left="2700" w:hanging="1314"/>
        <w:spacing w:after="0"/>
        <w:tabs>
          <w:tab w:leader="none" w:pos="2700" w:val="left"/>
        </w:tabs>
        <w:numPr>
          <w:ilvl w:val="1"/>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71" w:lineRule="exact"/>
        <w:rPr>
          <w:rFonts w:ascii="Times New Roman" w:cs="Times New Roman" w:eastAsia="Times New Roman" w:hAnsi="Times New Roman"/>
          <w:sz w:val="16"/>
          <w:szCs w:val="16"/>
          <w:b w:val="1"/>
          <w:bCs w:val="1"/>
          <w:color w:val="auto"/>
        </w:rPr>
      </w:pPr>
    </w:p>
    <w:p>
      <w:pPr>
        <w:ind w:left="1300" w:hanging="320"/>
        <w:spacing w:after="0" w:line="280" w:lineRule="auto"/>
        <w:tabs>
          <w:tab w:leader="none" w:pos="132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001-08649, CF #35552). The redacted material was filed separately with the Securities and Exchange Commission.</w:t>
      </w:r>
    </w:p>
    <w:p>
      <w:pPr>
        <w:spacing w:after="0" w:line="164" w:lineRule="exact"/>
        <w:rPr>
          <w:rFonts w:ascii="Times New Roman" w:cs="Times New Roman" w:eastAsia="Times New Roman" w:hAnsi="Times New Roman"/>
          <w:sz w:val="15"/>
          <w:szCs w:val="15"/>
          <w:color w:val="auto"/>
        </w:rPr>
      </w:pPr>
    </w:p>
    <w:p>
      <w:pPr>
        <w:ind w:left="1300" w:hanging="320"/>
        <w:spacing w:after="0" w:line="280" w:lineRule="auto"/>
        <w:tabs>
          <w:tab w:leader="none" w:pos="132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001-08649, CF # 35553). The redacted material was filed separately with the Securities and Exchange Commission.</w:t>
      </w:r>
    </w:p>
    <w:p>
      <w:pPr>
        <w:spacing w:after="0" w:line="164" w:lineRule="exact"/>
        <w:rPr>
          <w:rFonts w:ascii="Times New Roman" w:cs="Times New Roman" w:eastAsia="Times New Roman" w:hAnsi="Times New Roman"/>
          <w:sz w:val="15"/>
          <w:szCs w:val="15"/>
          <w:color w:val="auto"/>
        </w:rPr>
      </w:pPr>
    </w:p>
    <w:p>
      <w:pPr>
        <w:ind w:left="1300" w:hanging="320"/>
        <w:spacing w:after="0" w:line="280" w:lineRule="auto"/>
        <w:tabs>
          <w:tab w:leader="none" w:pos="132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redacted and are subject to an order granting confidential treatment under the Securities Exchange Act of 1934, as amended (File No. 001-08649, CF # 34521). The redacted material was filed separately with the Securities and Exchange Commission.</w:t>
      </w:r>
    </w:p>
    <w:p>
      <w:pPr>
        <w:spacing w:after="0" w:line="165" w:lineRule="exact"/>
        <w:rPr>
          <w:rFonts w:ascii="Times New Roman" w:cs="Times New Roman" w:eastAsia="Times New Roman" w:hAnsi="Times New Roman"/>
          <w:sz w:val="16"/>
          <w:szCs w:val="16"/>
          <w:b w:val="1"/>
          <w:bCs w:val="1"/>
          <w:color w:val="auto"/>
        </w:rPr>
      </w:pPr>
    </w:p>
    <w:p>
      <w:pPr>
        <w:ind w:left="1320" w:hanging="340"/>
        <w:spacing w:after="0"/>
        <w:tabs>
          <w:tab w:leader="none" w:pos="13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219" w:lineRule="exact"/>
        <w:rPr>
          <w:rFonts w:ascii="Times New Roman" w:cs="Times New Roman" w:eastAsia="Times New Roman" w:hAnsi="Times New Roman"/>
          <w:sz w:val="16"/>
          <w:szCs w:val="16"/>
          <w:b w:val="1"/>
          <w:bCs w:val="1"/>
          <w:color w:val="auto"/>
        </w:rPr>
      </w:pPr>
    </w:p>
    <w:p>
      <w:pPr>
        <w:ind w:left="1300" w:right="20" w:hanging="320"/>
        <w:spacing w:after="0" w:line="280" w:lineRule="auto"/>
        <w:tabs>
          <w:tab w:leader="none" w:pos="1345"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64" w:lineRule="exact"/>
        <w:rPr>
          <w:rFonts w:ascii="Times New Roman" w:cs="Times New Roman" w:eastAsia="Times New Roman" w:hAnsi="Times New Roman"/>
          <w:sz w:val="16"/>
          <w:szCs w:val="16"/>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rFonts w:ascii="Times New Roman" w:cs="Times New Roman" w:eastAsia="Times New Roman" w:hAnsi="Times New Roman"/>
          <w:sz w:val="16"/>
          <w:szCs w:val="16"/>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225" w:lineRule="exact"/>
        <w:rPr>
          <w:rFonts w:ascii="Times New Roman" w:cs="Times New Roman" w:eastAsia="Times New Roman" w:hAnsi="Times New Roman"/>
          <w:sz w:val="16"/>
          <w:szCs w:val="16"/>
          <w:b w:val="1"/>
          <w:bCs w:val="1"/>
          <w:color w:val="auto"/>
        </w:rPr>
      </w:pPr>
    </w:p>
    <w:p>
      <w:pPr>
        <w:ind w:right="8960" w:firstLine="8"/>
        <w:spacing w:after="0" w:line="498" w:lineRule="auto"/>
        <w:tabs>
          <w:tab w:leader="none" w:pos="2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Item 15(a)(2) above.</w:t>
      </w:r>
    </w:p>
    <w:p>
      <w:pPr>
        <w:spacing w:after="0" w:line="1" w:lineRule="exact"/>
        <w:rPr>
          <w:rFonts w:ascii="Times New Roman" w:cs="Times New Roman" w:eastAsia="Times New Roman" w:hAnsi="Times New Roman"/>
          <w:sz w:val="16"/>
          <w:szCs w:val="16"/>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6"/>
          <w:szCs w:val="16"/>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rFonts w:ascii="Times New Roman" w:cs="Times New Roman" w:eastAsia="Times New Roman" w:hAnsi="Times New Roman"/>
          <w:sz w:val="16"/>
          <w:szCs w:val="16"/>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Balance as of the</w:t>
            </w:r>
          </w:p>
        </w:tc>
        <w:tc>
          <w:tcPr>
            <w:tcW w:w="3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Balance as of the</w:t>
            </w:r>
          </w:p>
        </w:tc>
      </w:tr>
      <w:tr>
        <w:trPr>
          <w:trHeight w:val="216"/>
        </w:trPr>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Beginning of the</w:t>
            </w:r>
          </w:p>
        </w:tc>
        <w:tc>
          <w:tcPr>
            <w:tcW w:w="3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Costs and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End of the Fiscal</w:t>
            </w:r>
          </w:p>
        </w:tc>
      </w:tr>
      <w:tr>
        <w:trPr>
          <w:trHeight w:val="265"/>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10"/>
              <w:spacing w:after="0" w:line="265" w:lineRule="exact"/>
              <w:rPr>
                <w:sz w:val="20"/>
                <w:szCs w:val="20"/>
                <w:color w:val="auto"/>
              </w:rPr>
            </w:pPr>
            <w:r>
              <w:rPr>
                <w:rFonts w:ascii="Times New Roman" w:cs="Times New Roman" w:eastAsia="Times New Roman" w:hAnsi="Times New Roman"/>
                <w:sz w:val="18"/>
                <w:szCs w:val="18"/>
                <w:b w:val="1"/>
                <w:bCs w:val="1"/>
                <w:color w:val="auto"/>
                <w:w w:val="98"/>
              </w:rPr>
              <w:t>Expenses</w:t>
            </w:r>
            <w:r>
              <w:rPr>
                <w:rFonts w:ascii="Times New Roman" w:cs="Times New Roman" w:eastAsia="Times New Roman" w:hAnsi="Times New Roman"/>
                <w:sz w:val="25"/>
                <w:szCs w:val="25"/>
                <w:b w:val="1"/>
                <w:bCs w:val="1"/>
                <w:color w:val="auto"/>
                <w:w w:val="98"/>
                <w:vertAlign w:val="superscript"/>
              </w:rPr>
              <w:t>1</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0"/>
              <w:spacing w:after="0" w:line="265" w:lineRule="exact"/>
              <w:rPr>
                <w:sz w:val="20"/>
                <w:szCs w:val="20"/>
                <w:color w:val="auto"/>
              </w:rPr>
            </w:pPr>
            <w:r>
              <w:rPr>
                <w:rFonts w:ascii="Times New Roman" w:cs="Times New Roman" w:eastAsia="Times New Roman" w:hAnsi="Times New Roman"/>
                <w:sz w:val="18"/>
                <w:szCs w:val="18"/>
                <w:b w:val="1"/>
                <w:bCs w:val="1"/>
                <w:color w:val="auto"/>
              </w:rPr>
              <w:t>Deductions</w:t>
            </w:r>
            <w:r>
              <w:rPr>
                <w:rFonts w:ascii="Times New Roman" w:cs="Times New Roman" w:eastAsia="Times New Roman" w:hAnsi="Times New Roman"/>
                <w:sz w:val="25"/>
                <w:szCs w:val="25"/>
                <w:b w:val="1"/>
                <w:bCs w:val="1"/>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ended October 31, 2019</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advertising and marketing programs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89,450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402,087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394,789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103,417</w:t>
            </w:r>
          </w:p>
        </w:tc>
      </w:tr>
      <w:tr>
        <w:trPr>
          <w:trHeight w:val="27"/>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ended October 31, 2018</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advertising and marketing programs</w:t>
            </w:r>
          </w:p>
        </w:tc>
        <w:tc>
          <w:tcPr>
            <w:tcW w:w="34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85,934</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387,774</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384,258</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89,450</w:t>
            </w:r>
          </w:p>
        </w:tc>
      </w:tr>
      <w:tr>
        <w:trPr>
          <w:trHeight w:val="27"/>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year ended October 31, 2017</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advertising and marketing programs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81,315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373,370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85,934</w:t>
            </w:r>
          </w:p>
        </w:tc>
      </w:tr>
      <w:tr>
        <w:trPr>
          <w:trHeight w:val="27"/>
        </w:trPr>
        <w:tc>
          <w:tcPr>
            <w:tcW w:w="3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jc w:val="both"/>
        <w:ind w:left="340" w:hanging="332"/>
        <w:spacing w:after="0" w:line="221" w:lineRule="auto"/>
        <w:tabs>
          <w:tab w:leader="none" w:pos="340" w:val="left"/>
        </w:tabs>
        <w:numPr>
          <w:ilvl w:val="0"/>
          <w:numId w:val="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Provision consists of off-invoice discounts, rebate programs, incentive discounts, financing programs, various commissions, and cooperative advertising. The expense of each program is classified either as a reduction from gross sales or as a component of selling, general, and administrative expense as explained in more detail in the section entitled "Sales Promotions and Incentives" included in Part II, Item 7, "Management's Discussion and Analysis of Financial Condition and Results of Operations" of this report and in Note 1, </w:t>
      </w:r>
      <w:r>
        <w:rPr>
          <w:rFonts w:ascii="Times New Roman" w:cs="Times New Roman" w:eastAsia="Times New Roman" w:hAnsi="Times New Roman"/>
          <w:sz w:val="15"/>
          <w:szCs w:val="15"/>
          <w:i w:val="1"/>
          <w:iCs w:val="1"/>
          <w:color w:val="auto"/>
        </w:rPr>
        <w:t xml:space="preserve">Summary of Significant Accounting Policies and Related Data </w:t>
      </w:r>
      <w:r>
        <w:rPr>
          <w:rFonts w:ascii="Times New Roman" w:cs="Times New Roman" w:eastAsia="Times New Roman" w:hAnsi="Times New Roman"/>
          <w:sz w:val="15"/>
          <w:szCs w:val="15"/>
          <w:color w:val="auto"/>
        </w:rPr>
        <w:t>of the Notes to Consolidated Financial Statements, in the section entitled "Sales Promotions and Incentives" included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Part II, Item 8, "Financial Statements and Supplementary Data" of this report.</w:t>
      </w:r>
    </w:p>
    <w:p>
      <w:pPr>
        <w:spacing w:after="0" w:line="10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Claims paid.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2675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(Registrant)</w:t>
      </w:r>
    </w:p>
    <w:p>
      <w:pPr>
        <w:spacing w:after="0" w:line="63" w:lineRule="exact"/>
        <w:rPr>
          <w:sz w:val="20"/>
          <w:szCs w:val="20"/>
          <w:color w:val="auto"/>
        </w:rPr>
      </w:pPr>
    </w:p>
    <w:p>
      <w:pPr>
        <w:ind w:left="40"/>
        <w:spacing w:after="0"/>
        <w:tabs>
          <w:tab w:leader="none" w:pos="600" w:val="left"/>
          <w:tab w:leader="none" w:pos="8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J. Peterson</w:t>
      </w:r>
      <w:r>
        <w:rPr>
          <w:sz w:val="20"/>
          <w:szCs w:val="20"/>
          <w:color w:val="auto"/>
        </w:rPr>
        <w:tab/>
      </w:r>
      <w:r>
        <w:rPr>
          <w:rFonts w:ascii="Times New Roman" w:cs="Times New Roman" w:eastAsia="Times New Roman" w:hAnsi="Times New Roman"/>
          <w:sz w:val="17"/>
          <w:szCs w:val="17"/>
          <w:color w:val="auto"/>
        </w:rPr>
        <w:t>Dated: 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267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Vice President, Treasurer and</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9" w:lineRule="exact"/>
        <w:rPr>
          <w:sz w:val="20"/>
          <w:szCs w:val="20"/>
          <w:color w:val="auto"/>
        </w:rPr>
      </w:pPr>
    </w:p>
    <w:p>
      <w:pPr>
        <w:ind w:left="40"/>
        <w:spacing w:after="0"/>
        <w:tabs>
          <w:tab w:leader="none" w:pos="3100" w:val="left"/>
          <w:tab w:leader="none" w:pos="91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865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86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886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Janet K. Cooper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Chairman of the Board, President and Chief Executive Officer and Director</w:t>
      </w:r>
      <w:r>
        <w:rPr>
          <w:sz w:val="20"/>
          <w:szCs w:val="20"/>
          <w:color w:val="auto"/>
        </w:rPr>
        <w:tab/>
      </w:r>
      <w:r>
        <w:rPr>
          <w:rFonts w:ascii="Times New Roman" w:cs="Times New Roman" w:eastAsia="Times New Roman" w:hAnsi="Times New Roman"/>
          <w:sz w:val="18"/>
          <w:szCs w:val="18"/>
          <w:color w:val="auto"/>
        </w:rPr>
        <w:t>December 20,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2"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Vice President, Treasurer and Chief Financial Officer</w:t>
      </w:r>
      <w:r>
        <w:rPr>
          <w:sz w:val="20"/>
          <w:szCs w:val="20"/>
          <w:color w:val="auto"/>
        </w:rPr>
        <w:tab/>
      </w:r>
      <w:r>
        <w:rPr>
          <w:rFonts w:ascii="Times New Roman" w:cs="Times New Roman" w:eastAsia="Times New Roman" w:hAnsi="Times New Roman"/>
          <w:sz w:val="18"/>
          <w:szCs w:val="18"/>
          <w:color w:val="auto"/>
        </w:rPr>
        <w:t>December 20,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2"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December 20, 2019</w:t>
      </w:r>
    </w:p>
    <w:p>
      <w:pPr>
        <w:spacing w:after="0" w:line="346" w:lineRule="exact"/>
        <w:rPr>
          <w:sz w:val="20"/>
          <w:szCs w:val="20"/>
          <w:color w:val="auto"/>
        </w:rPr>
      </w:pPr>
    </w:p>
    <w:p>
      <w:pPr>
        <w:sectPr>
          <w:pgSz w:w="11900" w:h="16838" w:orient="portrait"/>
          <w:cols w:equalWidth="0" w:num="2">
            <w:col w:w="2400" w:space="720"/>
            <w:col w:w="83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Gary L. Ellis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Gary L. Ellis</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Jeffrey M. Ettinger</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Jeffrey M. Ettinger</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Katherine J. Harless</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Katherine J. Harless</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Jeffrey L. Harmening</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Jeffrey L. Harmening</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 Christian Koch</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 Christian Koch</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Joyce A. Mullen</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Joyce A. Mullen</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C. O'Rourke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James C. O'Rourke</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Gregg W. Steinhafel</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Gregg W. Steinhafel</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G. Vale</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December 20, 2019</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Michael G. Vale</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567"/>
        </w:trPr>
        <w:tc>
          <w:tcPr>
            <w:tcW w:w="2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9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420"/>
          </w:cols>
          <w:pgMar w:left="240" w:top="121" w:right="2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2019, The Toro Company, a Delaware corporation (“Toro,” “we,” “us” and “our”), has one class of securities registered under Section 12 of the Securities Exchange Act of 1934, as amended: common stock, par value $1.00 per share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Restated Certificate of Incorporation, as amended (the “Certificate of Incorporation”) and our Amended and Restated Bylaws (the “Bylaws”), each of which is filed as an exhibit to our Annual Report on Form 10-K for the fiscal year ended October 31, 2019 and incorporated by reference herein. We encourage you to read our Certificate of Incorporation, our Bylaws and the applicable provisions of the General Corporation Law of the State of Delaware (the “DGCL”)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up to 176,850,000 shares of capital stock, consisting of:</w:t>
      </w:r>
    </w:p>
    <w:p>
      <w:pPr>
        <w:spacing w:after="0" w:line="225"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175,000,000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voting preferred stock, par value $1.00 per share (“voting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 shares of non-voting preferred stock, par value $1.00 per share (“non-voting preferred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rights, preferences and privileges of the voting preferred stock and non-voting preferred stock (collectively, the “preferred stock”) may be designated from time to time by the Board of Directors of Toro (the “Board”).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amend from time to time our Certificate of Incorporation to increase the number of authorized shares of common stock, voting preferred stock or non-voting preferred stock. Any such amendment would require the approval of the holders of a majority of the voting power of the shares entitled to vote thereon. As of October 31, 2019, we had no shares of voting preferred stock or non-voting preferred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all matters submitted to a vote of shareholders, each holder of common stock is entitled to one vote for each share registered in the holder’s name on our books. Our common stock does not have cumulative voting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Bylaws provide that, unless a different or minimum vote is required by our Certificate of Incorporation, our Bylaws, the rules or regulations of any stock exchange applicable to us or any law or regulation applicable to us or our securities, all matters, other than the election of directors, as noted below, shall be decided by the affirmative vote of the holders of a majority in voting power of the shares of stock of Toro that are present in person or represented by proxy at the meeting and entitled to vote thereon. Our Certificate of Incorporation provides that the Board is divided into three classes, and, pursuant to our Bylaws, at all meetings of shareholders for the election of directors at which a quorum is present, a plurality of votes cast is sufficient to elect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Board declares a dividend, holders of common stock will receive payments from our funds that are legally available to pay dividends. However, this dividend right is subject to any preferential dividend rights we may grant to the persons who hold preferred stock, if any is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company is liquidated or dissolves, the holders of our common stock will be entitled to share ratably in the assets of our company remaining after the payment of all of our liabilities, subject to any preferential liquidation rights of any preferred stock that at the time may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common stock do not have preemptive rights or subscription rights, and they have no right to convert their common stock into any other securities. There are no redemption or sinking fund provisions applicable to our common stock. The rights, preferences, and privileges of our common shareholders are subject to the rights of the shareholders of any series of preferred stock that we may designate in the future. Our Certificate of Incorporation and Bylaws do not restrict the ability of a holder of our common stock to transfer his or her shares of common stock. All shares of our outstanding common stock are fully paid and non-assessable.</w:t>
      </w:r>
    </w:p>
    <w:p>
      <w:pPr>
        <w:sectPr>
          <w:pgSz w:w="11900" w:h="16838" w:orient="portrait"/>
          <w:cols w:equalWidth="0" w:num="1">
            <w:col w:w="11420"/>
          </w:cols>
          <w:pgMar w:left="240" w:top="657"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“TTC”.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and Bylaws and the DGCL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and the DGCL contain provisions that may deter or render more difficult certain proposals, such as proposals to acquire control of Toro, which a holder of our common stock may consider to be in his, her or its best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Certificate of Incorporation and Bylaws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provisions of our Certificate of Incorporation and Bylaws may have the anti-takeover effect of preventing, discouraging or delaying any change in the control of Toro:</w:t>
      </w:r>
    </w:p>
    <w:p>
      <w:pPr>
        <w:spacing w:after="0" w:line="162"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classified into three classes, each of which serves for three years, with one class being elected each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and only with the approval of holders of at least 80% of the voting power of our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on the Board must be filled only by the remaining directors then in office;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action must be taken at a meeting of shareholders, and shareholders may not act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shareholders may be called only by the Board pursuant to a resolution adopted by a majority of the entire Board;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price” provision requires the approval by the holders of 80% of the then outstanding common stock as a condition for mergers and certain other business combinations of Toro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vote required to alter, amend or repeal the foregoing provisions of our Certificate of Incorporation, and substantially identical provisions of our Bylaws, is 80% of the outstanding voting power of Toro;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issue shares of preferred stock, with designations, rights and preferences as may be determined from time to time by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do not have the right to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follow advance notice procedure to submit proposed nominations of persons for election to the Board and other proposals for business to be brought before an annual meeting of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are subject to Section 203 of the DGCL, known as the Delaware Business Combination Statute. In general, Section 203 prohibits a publicly held Delaware corporation from engaging in a “business combination” with an “interested shareholder” within three years of the time the shareholder became an interested shareholder, unless:</w:t>
      </w:r>
    </w:p>
    <w:p>
      <w:pPr>
        <w:spacing w:after="0" w:line="176" w:lineRule="exact"/>
        <w:rPr>
          <w:sz w:val="20"/>
          <w:szCs w:val="20"/>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shareholder became an interested shareholder, the board of directors of the corporation approved either the business combination or the transaction that resulted in the shareholder becoming an interested shareholder;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exclusive of shares owned by directors who are also officers and by certain employee stock plans; or</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the shareholders by the affirmative vote of at least two-thirds of the outstanding voting stock that is not owned by the interested shareholder.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for purposes of the Delaware Business Combination Statute, a “business combination” includes a merger, asset or stock sale or other transaction resulting in a financial benefit to the interested shareholder, and an “interested shareholder” is a person who owns, individually or through other persons, 15% or more of the corporation’s outstanding voting stock.</w:t>
      </w:r>
    </w:p>
    <w:p>
      <w:pPr>
        <w:sectPr>
          <w:pgSz w:w="11900" w:h="16838" w:orient="portrait"/>
          <w:cols w:equalWidth="0" w:num="1">
            <w:col w:w="11420"/>
          </w:cols>
          <w:pgMar w:left="240" w:top="657"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AMENDED AND RESTATED 2010 EQUITY AND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w:t>
      </w: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and shareholders of The Toro Company, a Delaware corporation (the “Company”), have heretofore approved and adopted The Toro Company Amended and Restated 2010 Equity and Incentive Plan, as amended and restated (the “Plan”), and pursuant to the power of amendment reserved to the Compensation and Human Resources Committee of the Board (the “Committee”) in Section 20.1 of the Plan, the Committee has adopted and approved this Amendment No. 1 to the Plan (this “Amendment”), effective as November 1, 2019.</w:t>
      </w:r>
    </w:p>
    <w:p>
      <w:pPr>
        <w:spacing w:after="0" w:line="18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 of the Plan is hereby amended and restated in its entirety to read as follows:</w:t>
      </w:r>
    </w:p>
    <w:p>
      <w:pPr>
        <w:spacing w:after="0" w:line="22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Nonemployee Director Shares</w:t>
      </w:r>
      <w:r>
        <w:rPr>
          <w:rFonts w:ascii="Times New Roman" w:cs="Times New Roman" w:eastAsia="Times New Roman" w:hAnsi="Times New Roman"/>
          <w:sz w:val="18"/>
          <w:szCs w:val="18"/>
          <w:color w:val="auto"/>
        </w:rPr>
        <w:t>. On the first business day of each fiscal year, the Company shall issue to each person who is then a Nonemployee Director Shares in an amount equal to $65,000 (or such other amount as may be determined by the Committee from time to time, which Committee shall consist solely of directors who are “independent directors” (as defined in the rules of the New York Stock Exchange)) divided by the three-month fair market value of one Share, rounded down to the greatest number of whole Shares (“Nonemployee Director Shares”), subject to adjustment as provided in Section 4.4(a).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87" w:lineRule="exact"/>
        <w:rPr>
          <w:rFonts w:ascii="Times New Roman" w:cs="Times New Roman" w:eastAsia="Times New Roman" w:hAnsi="Times New Roman"/>
          <w:sz w:val="18"/>
          <w:szCs w:val="18"/>
          <w:color w:val="auto"/>
        </w:rPr>
      </w:pPr>
    </w:p>
    <w:p>
      <w:pPr>
        <w:ind w:left="660" w:right="4180" w:hanging="328"/>
        <w:spacing w:after="0" w:line="498"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11.2(a) of the Plan is hereby amended and restated in its entirety to read as follows: “11.2. </w:t>
      </w:r>
      <w:r>
        <w:rPr>
          <w:rFonts w:ascii="Times New Roman" w:cs="Times New Roman" w:eastAsia="Times New Roman" w:hAnsi="Times New Roman"/>
          <w:sz w:val="18"/>
          <w:szCs w:val="18"/>
          <w:b w:val="1"/>
          <w:bCs w:val="1"/>
          <w:color w:val="auto"/>
        </w:rPr>
        <w:t>Nonemployee Director Options</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Subject to the terms and conditions of this Section 11.2, on the first business day of each fiscal year,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to each person who is then a Nonemployee Director, a Nonqualified Stock Option to purchase Shares (a “Nonemployee Director Option”). Each Nonemployee Director Option shall have a grant date fair value of $55,000 (or such other amount as may be determined by the Committee from time to time, which Committee shall consist solely of directors who are “independent directors” (as defined in the rules of the New York Stock Exchange)), determined using a standard Black-Scholes, binomial or monte carlo valuation formula, based on assumptions consistent with those used to value option grants disclosed under Schedule 14A under the Exchange Act or successor requirements, for the Grant Date.”</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Except as specifically set forth in Sections 1 and 2 of this Amendment, the Plan shall remain unchanged and shall continue in full force and effect.</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Toro Company has hereunto subscribed its name effective this 3rd day of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34290</wp:posOffset>
            </wp:positionV>
            <wp:extent cx="16122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Richard M. Olson</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Its: Chairman and CEO</w:t>
      </w:r>
    </w:p>
    <w:p>
      <w:pPr>
        <w:sectPr>
          <w:pgSz w:w="11900" w:h="16838" w:orient="portrait"/>
          <w:cols w:equalWidth="0" w:num="1">
            <w:col w:w="11420"/>
          </w:cols>
          <w:pgMar w:left="240" w:top="657" w:right="239" w:bottom="1440" w:gutter="0" w:footer="0" w:header="0"/>
        </w:sectPr>
      </w:pPr>
    </w:p>
    <w:bookmarkStart w:id="100" w:name="page101"/>
    <w:bookmarkEnd w:id="100"/>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tc>
      </w:tr>
      <w:tr>
        <w:trPr>
          <w:trHeight w:val="323"/>
        </w:trPr>
        <w:tc>
          <w:tcPr>
            <w:tcW w:w="348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THE TORO COMPANY AND SUBSIDIARIES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5"/>
        </w:trPr>
        <w:tc>
          <w:tcPr>
            <w:tcW w:w="3480" w:type="dxa"/>
            <w:vAlign w:val="bottom"/>
          </w:tcPr>
          <w:p>
            <w:pPr>
              <w:spacing w:after="0"/>
              <w:rPr>
                <w:sz w:val="24"/>
                <w:szCs w:val="24"/>
                <w:color w:val="auto"/>
              </w:rPr>
            </w:pPr>
          </w:p>
        </w:tc>
        <w:tc>
          <w:tcPr>
            <w:tcW w:w="564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Subsidiaries of Registrant</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December 13, 2019.</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3480" w:type="dxa"/>
            <w:vAlign w:val="bottom"/>
            <w:tcBorders>
              <w:bottom w:val="single" w:sz="8" w:color="auto"/>
            </w:tcBorders>
          </w:tcPr>
          <w:p>
            <w:pPr>
              <w:spacing w:after="0"/>
              <w:rPr>
                <w:sz w:val="21"/>
                <w:szCs w:val="21"/>
                <w:color w:val="auto"/>
              </w:rPr>
            </w:pPr>
          </w:p>
        </w:tc>
        <w:tc>
          <w:tcPr>
            <w:tcW w:w="56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161"/>
        </w:trPr>
        <w:tc>
          <w:tcPr>
            <w:tcW w:w="3480" w:type="dxa"/>
            <w:vAlign w:val="bottom"/>
          </w:tcPr>
          <w:p>
            <w:pPr>
              <w:spacing w:after="0"/>
              <w:rPr>
                <w:sz w:val="14"/>
                <w:szCs w:val="14"/>
                <w:color w:val="auto"/>
              </w:rPr>
            </w:pPr>
          </w:p>
        </w:tc>
        <w:tc>
          <w:tcPr>
            <w:tcW w:w="5640" w:type="dxa"/>
            <w:vAlign w:val="bottom"/>
          </w:tcPr>
          <w:p>
            <w:pPr>
              <w:ind w:left="3040"/>
              <w:spacing w:after="0" w:line="161"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0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rPr>
              <w:t>Percentage of Voting</w:t>
            </w:r>
          </w:p>
        </w:tc>
        <w:tc>
          <w:tcPr>
            <w:tcW w:w="220" w:type="dxa"/>
            <w:vAlign w:val="bottom"/>
          </w:tcPr>
          <w:p>
            <w:pPr>
              <w:spacing w:after="0"/>
              <w:rPr>
                <w:sz w:val="14"/>
                <w:szCs w:val="14"/>
                <w:color w:val="auto"/>
              </w:rPr>
            </w:pPr>
          </w:p>
        </w:tc>
      </w:tr>
      <w:tr>
        <w:trPr>
          <w:trHeight w:val="206"/>
        </w:trPr>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564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5"/>
                <w:szCs w:val="15"/>
                <w:b w:val="1"/>
                <w:bCs w:val="1"/>
                <w:color w:val="auto"/>
              </w:rPr>
              <w:t>Incorporation</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Securities Owned</w:t>
            </w:r>
          </w:p>
        </w:tc>
        <w:tc>
          <w:tcPr>
            <w:tcW w:w="220" w:type="dxa"/>
            <w:vAlign w:val="bottom"/>
            <w:tcBorders>
              <w:bottom w:val="single" w:sz="8" w:color="auto"/>
            </w:tcBorders>
          </w:tcPr>
          <w:p>
            <w:pPr>
              <w:spacing w:after="0"/>
              <w:rPr>
                <w:sz w:val="17"/>
                <w:szCs w:val="17"/>
                <w:color w:val="auto"/>
              </w:rPr>
            </w:pPr>
          </w:p>
        </w:tc>
      </w:tr>
      <w:tr>
        <w:trPr>
          <w:trHeight w:val="315"/>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American Augers,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Anvil Land and Properties, Inc.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Oklahoma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Bull Emerging Ventures,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Bureau Commercial Marketing SAS</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France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DW/TXS Construction Equipment (Beijing) Co., Ltd.</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China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Earth Tool Company, LLC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Wisconsin</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Earth Tool Parent Company,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Exmark Manufacturing Company Incorporated</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Nebraska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Georgia Equipment Specialists, LLC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Georgia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Hahn Equipment Co.</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HammerHead Tool Company, LLC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Wisconsin</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Hayter Holdings Limited</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United Kingdom</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Hayter Limited</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United Kingdom</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International Underground Systems, SL</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Spain</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Irritrol Systems Europe Productions S.r.l.</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Italy</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Irritrol Systems Europe S.r.l.</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Italy</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Lawn-Boy,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Michigan Underground Specialists, LLC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Michigan</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MTI Distributing,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Perrot-Polska s.p. zoo</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Poland</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Radius HDD Direct LLC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Oklahoma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Rain Master Irrigation Systems, Inc.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California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Red Iron Acceptance, LLC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 Iron Holding Corporation</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Regnerbau Calw GmbH</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Germany</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RS Lining Systems, LLC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Storr Tractor Company</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Subsite, LLC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Oklahoma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Texas Underground Xperts,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Texas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Charles Machine Works, Inc.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Oklahoma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Holiman Co. Inc.</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Pennsylvania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ShopToro Company</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The Toro Company (Asia) Pte. Limited</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Singapore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Toro Company (Canada), Inc.</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New Brunswick, Canada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(China) Irrigation Equipment Co., Ltd.</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People’s Republic of China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Australia Group Sales Pty. Ltd.</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Australia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Australia Pty. Limited</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Australia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Company de Mexico, S. de R.L. de C.V.</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Mexico</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Credit Company</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Europe N.V.</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Belgium</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3480" w:type="dxa"/>
            <w:vAlign w:val="bottom"/>
          </w:tcPr>
          <w:p>
            <w:pPr>
              <w:spacing w:after="0"/>
              <w:rPr>
                <w:sz w:val="4"/>
                <w:szCs w:val="4"/>
                <w:color w:val="auto"/>
              </w:rPr>
            </w:pPr>
          </w:p>
        </w:tc>
        <w:tc>
          <w:tcPr>
            <w:tcW w:w="56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Finance Company</w:t>
            </w:r>
          </w:p>
        </w:tc>
        <w:tc>
          <w:tcPr>
            <w:tcW w:w="5640" w:type="dxa"/>
            <w:vAlign w:val="bottom"/>
            <w:tcBorders>
              <w:bottom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5"/>
                <w:szCs w:val="15"/>
                <w:color w:val="auto"/>
              </w:rPr>
              <w:t>California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3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Finance Ltd.</w:t>
            </w:r>
          </w:p>
        </w:tc>
        <w:tc>
          <w:tcPr>
            <w:tcW w:w="56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Cayman Islands</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ectPr>
          <w:pgSz w:w="11900" w:h="16930" w:orient="portrait"/>
          <w:cols w:equalWidth="0" w:num="1">
            <w:col w:w="11420"/>
          </w:cols>
          <w:pgMar w:left="240" w:top="549" w:right="239"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Germany I GmbH</w:t>
            </w:r>
          </w:p>
        </w:tc>
        <w:tc>
          <w:tcPr>
            <w:tcW w:w="4760" w:type="dxa"/>
            <w:vAlign w:val="bottom"/>
            <w:tcBorders>
              <w:bottom w:val="single" w:sz="8" w:color="CCEEFF"/>
            </w:tcBorders>
            <w:shd w:val="clear" w:color="auto" w:fill="CCEEFF"/>
          </w:tcPr>
          <w:p>
            <w:pPr>
              <w:ind w:left="2240"/>
              <w:spacing w:after="0"/>
              <w:rPr>
                <w:sz w:val="20"/>
                <w:szCs w:val="20"/>
                <w:color w:val="auto"/>
              </w:rPr>
            </w:pPr>
            <w:r>
              <w:rPr>
                <w:rFonts w:ascii="Times New Roman" w:cs="Times New Roman" w:eastAsia="Times New Roman" w:hAnsi="Times New Roman"/>
                <w:sz w:val="15"/>
                <w:szCs w:val="15"/>
                <w:color w:val="auto"/>
              </w:rPr>
              <w:t>Germany</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Global Services Company</w:t>
            </w:r>
          </w:p>
        </w:tc>
        <w:tc>
          <w:tcPr>
            <w:tcW w:w="4760" w:type="dxa"/>
            <w:vAlign w:val="bottom"/>
          </w:tcPr>
          <w:p>
            <w:pPr>
              <w:ind w:left="2240"/>
              <w:spacing w:after="0"/>
              <w:rPr>
                <w:sz w:val="20"/>
                <w:szCs w:val="20"/>
                <w:color w:val="auto"/>
              </w:rPr>
            </w:pPr>
            <w:r>
              <w:rPr>
                <w:rFonts w:ascii="Times New Roman" w:cs="Times New Roman" w:eastAsia="Times New Roman" w:hAnsi="Times New Roman"/>
                <w:sz w:val="15"/>
                <w:szCs w:val="15"/>
                <w:color w:val="auto"/>
              </w:rPr>
              <w:t>Minnesota</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International Company</w:t>
            </w:r>
          </w:p>
        </w:tc>
        <w:tc>
          <w:tcPr>
            <w:tcW w:w="4760" w:type="dxa"/>
            <w:vAlign w:val="bottom"/>
            <w:tcBorders>
              <w:bottom w:val="single" w:sz="8" w:color="CCEEFF"/>
            </w:tcBorders>
            <w:shd w:val="clear" w:color="auto" w:fill="CCEEFF"/>
          </w:tcPr>
          <w:p>
            <w:pPr>
              <w:ind w:left="2240"/>
              <w:spacing w:after="0"/>
              <w:rPr>
                <w:sz w:val="20"/>
                <w:szCs w:val="20"/>
                <w:color w:val="auto"/>
              </w:rPr>
            </w:pPr>
            <w:r>
              <w:rPr>
                <w:rFonts w:ascii="Times New Roman" w:cs="Times New Roman" w:eastAsia="Times New Roman" w:hAnsi="Times New Roman"/>
                <w:sz w:val="15"/>
                <w:szCs w:val="15"/>
                <w:color w:val="auto"/>
              </w:rPr>
              <w:t>Minnesota</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LLC</w:t>
            </w:r>
          </w:p>
        </w:tc>
        <w:tc>
          <w:tcPr>
            <w:tcW w:w="4760" w:type="dxa"/>
            <w:vAlign w:val="bottom"/>
          </w:tcPr>
          <w:p>
            <w:pPr>
              <w:ind w:left="2240"/>
              <w:spacing w:after="0"/>
              <w:rPr>
                <w:sz w:val="20"/>
                <w:szCs w:val="20"/>
                <w:color w:val="auto"/>
              </w:rPr>
            </w:pPr>
            <w:r>
              <w:rPr>
                <w:rFonts w:ascii="Times New Roman" w:cs="Times New Roman" w:eastAsia="Times New Roman" w:hAnsi="Times New Roman"/>
                <w:sz w:val="15"/>
                <w:szCs w:val="15"/>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300" w:type="dxa"/>
            <w:vAlign w:val="bottom"/>
            <w:tcBorders>
              <w:bottom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07" w:right="23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15"/>
                <w:szCs w:val="15"/>
                <w:color w:val="auto"/>
              </w:rPr>
            </w:pPr>
          </w:p>
        </w:tc>
        <w:tc>
          <w:tcPr>
            <w:tcW w:w="4620" w:type="dxa"/>
            <w:vAlign w:val="bottom"/>
          </w:tcPr>
          <w:p>
            <w:pPr>
              <w:ind w:left="2020"/>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Percentage of Voting</w:t>
            </w:r>
          </w:p>
        </w:tc>
        <w:tc>
          <w:tcPr>
            <w:tcW w:w="220" w:type="dxa"/>
            <w:vAlign w:val="bottom"/>
          </w:tcPr>
          <w:p>
            <w:pPr>
              <w:spacing w:after="0"/>
              <w:rPr>
                <w:sz w:val="15"/>
                <w:szCs w:val="15"/>
                <w:color w:val="auto"/>
              </w:rPr>
            </w:pPr>
          </w:p>
        </w:tc>
      </w:tr>
      <w:tr>
        <w:trPr>
          <w:trHeight w:val="206"/>
        </w:trPr>
        <w:tc>
          <w:tcPr>
            <w:tcW w:w="4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46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5"/>
                <w:szCs w:val="15"/>
                <w:b w:val="1"/>
                <w:bCs w:val="1"/>
                <w:color w:val="auto"/>
              </w:rPr>
              <w:t>Incorporation</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Securities Owned</w:t>
            </w:r>
          </w:p>
        </w:tc>
        <w:tc>
          <w:tcPr>
            <w:tcW w:w="220" w:type="dxa"/>
            <w:vAlign w:val="bottom"/>
            <w:tcBorders>
              <w:bottom w:val="single" w:sz="8" w:color="auto"/>
            </w:tcBorders>
          </w:tcPr>
          <w:p>
            <w:pPr>
              <w:spacing w:after="0"/>
              <w:rPr>
                <w:sz w:val="17"/>
                <w:szCs w:val="17"/>
                <w:color w:val="auto"/>
              </w:rPr>
            </w:pPr>
          </w:p>
        </w:tc>
      </w:tr>
      <w:tr>
        <w:trPr>
          <w:trHeight w:val="315"/>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Luxembourg S.à.r.l.</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Luxembourg</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Manufacturing and Sales, S.R.L.</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Romania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Manufacturing LLC</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Mexico Holdings LLC</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Principal Manufacturing Limited</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England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Purchasing Company</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R&amp;D Company</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Receivables Company</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Delaware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Sales Company</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Toro Technology Center India LLP</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India</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Toro Warranty Company</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Minnesota</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89"/>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Tover Overseas B.V.</w:t>
            </w:r>
          </w:p>
        </w:tc>
        <w:tc>
          <w:tcPr>
            <w:tcW w:w="4620" w:type="dxa"/>
            <w:vAlign w:val="bottom"/>
          </w:tcPr>
          <w:p>
            <w:pPr>
              <w:ind w:left="2040"/>
              <w:spacing w:after="0"/>
              <w:rPr>
                <w:sz w:val="20"/>
                <w:szCs w:val="20"/>
                <w:color w:val="auto"/>
              </w:rPr>
            </w:pPr>
            <w:r>
              <w:rPr>
                <w:rFonts w:ascii="Times New Roman" w:cs="Times New Roman" w:eastAsia="Times New Roman" w:hAnsi="Times New Roman"/>
                <w:sz w:val="15"/>
                <w:szCs w:val="15"/>
                <w:color w:val="auto"/>
              </w:rPr>
              <w:t>Netherlands</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9"/>
        </w:trPr>
        <w:tc>
          <w:tcPr>
            <w:tcW w:w="45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Tover Overseas I C.V.</w:t>
            </w:r>
          </w:p>
        </w:tc>
        <w:tc>
          <w:tcPr>
            <w:tcW w:w="462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5"/>
                <w:szCs w:val="15"/>
                <w:color w:val="auto"/>
              </w:rPr>
              <w:t>Netherlands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50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715"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333-47260, 333-57198, 333-89260, 333-89262, 333-135033, 333-119504, 333-151086, 333-159767, 333-39052, 033-59563, 333-11860, 333-100004, 333-87461, 333-165582, 333-204336, and 333-215251) on Form S-8 of The Toro Company of our report dated December 20, 2019, with respect to the consolidated balance sheets of The Toro Company and subsidiaries as of October 31, 2019 and 2018, the related consolidated statements of earnings, comprehensive income, stockholders’ equity, and cash flows for each of the years in the three-year period ended October 31, 2019, and the related notes and financial statement schedule, and the effectiveness of internal control over financial reporting as of October 31, 2019, which report appears in the October 31, 2019 annual report on Form 10-K of The Toro Company.</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 dated December 20, 2019 on the effectiveness of internal control over financial reporting as of October 31, 2019, contains an explanatory paragraph that states management excluded from its assessment of its system of internal control over financial reporting the operations of The Charles Machine Works, Inc. ("CMW"), which was acquired on April 1, 2019 and accounted for approximately 35.0 percent of total assets and 14.8 percent of net sales included in the consolidated financial statements of The Toro Company as of and for the year ended October 31, 2019. Our audit of the internal control over financial reporting of The Toro Company also excluded an evaluation of the internal control over financial reporting of CMW.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KPMG LLP</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20, 2019</w:t>
      </w:r>
    </w:p>
    <w:p>
      <w:pPr>
        <w:sectPr>
          <w:pgSz w:w="11900" w:h="16838" w:orient="portrait"/>
          <w:cols w:equalWidth="0" w:num="1">
            <w:col w:w="11420"/>
          </w:cols>
          <w:pgMar w:left="240" w:top="549"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0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5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2019</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02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The Toro Company (the “Company”) on Form 10-K for the fiscal year ended October 31, 2019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M. Olson</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20, 2019</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30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20, 2019</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bullet"/>
      <w:start w:val="1"/>
    </w:lvl>
  </w:abstractNum>
  <w:abstractNum w:abstractNumId="3">
    <w:nsid w:val="684A481A"/>
    <w:multiLevelType w:val="hybridMultilevel"/>
    <w:lvl w:ilvl="0">
      <w:lvlJc w:val="left"/>
      <w:lvlText w:val="2"/>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1"/>
      <w:numFmt w:val="bullet"/>
      <w:start w:val="1"/>
    </w:lvl>
  </w:abstractNum>
  <w:abstractNum w:abstractNumId="14">
    <w:nsid w:val="4F4EF005"/>
    <w:multiLevelType w:val="hybridMultilevel"/>
    <w:lvl w:ilvl="0">
      <w:lvlJc w:val="left"/>
      <w:lvlText w:val="2"/>
      <w:numFmt w:val="bullet"/>
      <w:start w:val="1"/>
    </w:lvl>
  </w:abstractNum>
  <w:abstractNum w:abstractNumId="15">
    <w:nsid w:val="23F9C13C"/>
    <w:multiLevelType w:val="hybridMultilevel"/>
    <w:lvl w:ilvl="0">
      <w:lvlJc w:val="left"/>
      <w:lvlText w:val="1"/>
      <w:numFmt w:val="bullet"/>
      <w:start w:val="1"/>
    </w:lvl>
  </w:abstractNum>
  <w:abstractNum w:abstractNumId="16">
    <w:nsid w:val="649BB77C"/>
    <w:multiLevelType w:val="hybridMultilevel"/>
    <w:lvl w:ilvl="0">
      <w:lvlJc w:val="left"/>
      <w:lvlText w:val="2"/>
      <w:numFmt w:val="bullet"/>
      <w:start w:val="1"/>
    </w:lvl>
  </w:abstractNum>
  <w:abstractNum w:abstractNumId="17">
    <w:nsid w:val="275AC794"/>
    <w:multiLevelType w:val="hybridMultilevel"/>
    <w:lvl w:ilvl="0">
      <w:lvlJc w:val="left"/>
      <w:lvlText w:val="3"/>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bullet"/>
      <w:start w:val="1"/>
    </w:lvl>
  </w:abstractNum>
  <w:abstractNum w:abstractNumId="44">
    <w:nsid w:val="15014ACB"/>
    <w:multiLevelType w:val="hybridMultilevel"/>
    <w:lvl w:ilvl="0">
      <w:lvlJc w:val="left"/>
      <w:lvlText w:val="2"/>
      <w:numFmt w:val="bullet"/>
      <w:start w:val="1"/>
    </w:lvl>
  </w:abstractNum>
  <w:abstractNum w:abstractNumId="45">
    <w:nsid w:val="5F5E7FD0"/>
    <w:multiLevelType w:val="hybridMultilevel"/>
    <w:lvl w:ilvl="0">
      <w:lvlJc w:val="left"/>
      <w:lvlText w:val="3"/>
      <w:numFmt w:val="bullet"/>
      <w:start w:val="1"/>
    </w:lvl>
  </w:abstractNum>
  <w:abstractNum w:abstractNumId="46">
    <w:nsid w:val="98A3148"/>
    <w:multiLevelType w:val="hybridMultilevel"/>
    <w:lvl w:ilvl="0">
      <w:lvlJc w:val="left"/>
      <w:lvlText w:val="4"/>
      <w:numFmt w:val="bullet"/>
      <w:start w:val="1"/>
    </w:lvl>
  </w:abstractNum>
  <w:abstractNum w:abstractNumId="47">
    <w:nsid w:val="799D0247"/>
    <w:multiLevelType w:val="hybridMultilevel"/>
    <w:lvl w:ilvl="0">
      <w:lvlJc w:val="left"/>
      <w:lvlText w:val="5"/>
      <w:numFmt w:val="bullet"/>
      <w:start w:val="1"/>
    </w:lvl>
  </w:abstractNum>
  <w:abstractNum w:abstractNumId="48">
    <w:nsid w:val="6B94764"/>
    <w:multiLevelType w:val="hybridMultilevel"/>
    <w:lvl w:ilvl="0">
      <w:lvlJc w:val="left"/>
      <w:lvlText w:val="1"/>
      <w:numFmt w:val="bullet"/>
      <w:start w:val="1"/>
    </w:lvl>
  </w:abstractNum>
  <w:abstractNum w:abstractNumId="49">
    <w:nsid w:val="42C296BD"/>
    <w:multiLevelType w:val="hybridMultilevel"/>
    <w:lvl w:ilvl="0">
      <w:lvlJc w:val="left"/>
      <w:lvlText w:val="2"/>
      <w:numFmt w:val="bullet"/>
      <w:start w:val="1"/>
    </w:lvl>
  </w:abstractNum>
  <w:abstractNum w:abstractNumId="50">
    <w:nsid w:val="168E121F"/>
    <w:multiLevelType w:val="hybridMultilevel"/>
    <w:lvl w:ilvl="0">
      <w:lvlJc w:val="left"/>
      <w:lvlText w:val="3"/>
      <w:numFmt w:val="bullet"/>
      <w:start w:val="1"/>
    </w:lvl>
  </w:abstractNum>
  <w:abstractNum w:abstractNumId="51">
    <w:nsid w:val="1EBA5D23"/>
    <w:multiLevelType w:val="hybridMultilevel"/>
    <w:lvl w:ilvl="0">
      <w:lvlJc w:val="left"/>
      <w:lvlText w:val="4"/>
      <w:numFmt w:val="bullet"/>
      <w:start w:val="1"/>
    </w:lvl>
  </w:abstractNum>
  <w:abstractNum w:abstractNumId="52">
    <w:nsid w:val="661E3F1E"/>
    <w:multiLevelType w:val="hybridMultilevel"/>
    <w:lvl w:ilvl="0">
      <w:lvlJc w:val="left"/>
      <w:lvlText w:val="(%1)"/>
      <w:numFmt w:val="lowerRoman"/>
      <w:start w:val="2"/>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bullet"/>
      <w:start w:val="1"/>
    </w:lvl>
  </w:abstractNum>
  <w:abstractNum w:abstractNumId="63">
    <w:nsid w:val="1A32234B"/>
    <w:multiLevelType w:val="hybridMultilevel"/>
    <w:lvl w:ilvl="0">
      <w:lvlJc w:val="left"/>
      <w:lvlText w:val="3"/>
      <w:numFmt w:val="bullet"/>
      <w:start w:val="1"/>
    </w:lvl>
  </w:abstractNum>
  <w:abstractNum w:abstractNumId="64">
    <w:nsid w:val="3B0FD379"/>
    <w:multiLevelType w:val="hybridMultilevel"/>
    <w:lvl w:ilvl="0">
      <w:lvlJc w:val="left"/>
      <w:lvlText w:val="4"/>
      <w:numFmt w:val="bullet"/>
      <w:start w:val="1"/>
    </w:lvl>
  </w:abstractNum>
  <w:abstractNum w:abstractNumId="65">
    <w:nsid w:val="68EB2F63"/>
    <w:multiLevelType w:val="hybridMultilevel"/>
    <w:lvl w:ilvl="0">
      <w:lvlJc w:val="left"/>
      <w:lvlText w:val="5"/>
      <w:numFmt w:val="bullet"/>
      <w:start w:val="1"/>
    </w:lvl>
  </w:abstractNum>
  <w:abstractNum w:abstractNumId="66">
    <w:nsid w:val="4962813B"/>
    <w:multiLevelType w:val="hybridMultilevel"/>
    <w:lvl w:ilvl="0">
      <w:lvlJc w:val="left"/>
      <w:lvlText w:val="6"/>
      <w:numFmt w:val="bullet"/>
      <w:start w:val="1"/>
    </w:lvl>
  </w:abstractNum>
  <w:abstractNum w:abstractNumId="67">
    <w:nsid w:val="60B6DF70"/>
    <w:multiLevelType w:val="hybridMultilevel"/>
    <w:lvl w:ilvl="0">
      <w:lvlJc w:val="left"/>
      <w:lvlText w:val="(%1)"/>
      <w:numFmt w:val="lowerRoman"/>
      <w:start w:val="2"/>
    </w:lvl>
  </w:abstractNum>
  <w:abstractNum w:abstractNumId="68">
    <w:nsid w:val="6A5EE64"/>
    <w:multiLevelType w:val="hybridMultilevel"/>
    <w:lvl w:ilvl="0">
      <w:lvlJc w:val="left"/>
      <w:lvlText w:val="7"/>
      <w:numFmt w:val="bullet"/>
      <w:start w:val="1"/>
    </w:lvl>
  </w:abstractNum>
  <w:abstractNum w:abstractNumId="69">
    <w:nsid w:val="14330624"/>
    <w:multiLevelType w:val="hybridMultilevel"/>
    <w:lvl w:ilvl="0">
      <w:lvlJc w:val="left"/>
      <w:lvlText w:val="8"/>
      <w:numFmt w:val="bullet"/>
      <w:start w:val="1"/>
    </w:lvl>
  </w:abstractNum>
  <w:abstractNum w:abstractNumId="70">
    <w:nsid w:val="7FFFCA11"/>
    <w:multiLevelType w:val="hybridMultilevel"/>
    <w:lvl w:ilvl="0">
      <w:lvlJc w:val="left"/>
      <w:lvlText w:val="9"/>
      <w:numFmt w:val="bullet"/>
      <w:start w:val="1"/>
    </w:lvl>
  </w:abstractNum>
  <w:abstractNum w:abstractNumId="71">
    <w:nsid w:val="1A27709E"/>
    <w:multiLevelType w:val="hybridMultilevel"/>
    <w:lvl w:ilvl="0">
      <w:lvlJc w:val="left"/>
      <w:lvlText w:val="1"/>
      <w:numFmt w:val="bullet"/>
      <w:start w:val="1"/>
    </w:lvl>
  </w:abstractNum>
  <w:abstractNum w:abstractNumId="72">
    <w:nsid w:val="71EA1109"/>
    <w:multiLevelType w:val="hybridMultilevel"/>
    <w:lvl w:ilvl="0">
      <w:lvlJc w:val="left"/>
      <w:lvlText w:val="1"/>
      <w:numFmt w:val="bullet"/>
      <w:start w:val="1"/>
    </w:lvl>
  </w:abstractNum>
  <w:abstractNum w:abstractNumId="73">
    <w:nsid w:val="100F59DC"/>
    <w:multiLevelType w:val="hybridMultilevel"/>
    <w:lvl w:ilvl="0">
      <w:lvlJc w:val="left"/>
      <w:lvlText w:val="2"/>
      <w:numFmt w:val="bullet"/>
      <w:start w:val="1"/>
    </w:lvl>
  </w:abstractNum>
  <w:abstractNum w:abstractNumId="74">
    <w:nsid w:val="7FB7E0AA"/>
    <w:multiLevelType w:val="hybridMultilevel"/>
    <w:lvl w:ilvl="0">
      <w:lvlJc w:val="left"/>
      <w:lvlText w:val="(%1)"/>
      <w:numFmt w:val="lowerLetter"/>
      <w:start w:val="1"/>
    </w:lvl>
    <w:lvl w:ilvl="1">
      <w:lvlJc w:val="left"/>
      <w:lvlText w:val="%2."/>
      <w:numFmt w:val="decimal"/>
      <w:start w:val="1"/>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1."/>
      <w:numFmt w:val="decimal"/>
      <w:start w:val="3"/>
    </w:lvl>
  </w:abstractNum>
  <w:abstractNum w:abstractNumId="77">
    <w:nsid w:val="94211F2"/>
    <w:multiLevelType w:val="hybridMultilevel"/>
    <w:lvl w:ilvl="0">
      <w:lvlJc w:val="left"/>
      <w:lvlText w:val="%1"/>
      <w:numFmt w:val="decimal"/>
      <w:start w:val="21"/>
    </w:lvl>
  </w:abstractNum>
  <w:abstractNum w:abstractNumId="78">
    <w:nsid w:val="885E1B"/>
    <w:multiLevelType w:val="hybridMultilevel"/>
    <w:lvl w:ilvl="0">
      <w:lvlJc w:val="left"/>
      <w:lvlText w:val="%1"/>
      <w:numFmt w:val="decimal"/>
      <w:start w:val="32"/>
    </w:lvl>
  </w:abstractNum>
  <w:abstractNum w:abstractNumId="79">
    <w:nsid w:val="76272110"/>
    <w:multiLevelType w:val="hybridMultilevel"/>
    <w:lvl w:ilvl="0">
      <w:lvlJc w:val="left"/>
      <w:lvlText w:val="%1"/>
      <w:numFmt w:val="decimal"/>
      <w:start w:val="101"/>
    </w:lvl>
  </w:abstractNum>
  <w:abstractNum w:abstractNumId="80">
    <w:nsid w:val="4C04A8AF"/>
    <w:multiLevelType w:val="hybridMultilevel"/>
    <w:lvl w:ilvl="0">
      <w:lvlJc w:val="left"/>
      <w:lvlText w:val="%1"/>
      <w:numFmt w:val="decimal"/>
      <w:start w:val="1"/>
    </w:lvl>
    <w:lvl w:ilvl="1">
      <w:lvlJc w:val="left"/>
      <w:lvlText w:val="%2"/>
      <w:numFmt w:val="decimal"/>
      <w:start w:val="104"/>
    </w:lvl>
  </w:abstractNum>
  <w:abstractNum w:abstractNumId="81">
    <w:nsid w:val="1716703B"/>
    <w:multiLevelType w:val="hybridMultilevel"/>
    <w:lvl w:ilvl="0">
      <w:lvlJc w:val="left"/>
      <w:lvlText w:val="(%1)"/>
      <w:numFmt w:val="decimal"/>
      <w:start w:val="1"/>
    </w:lvl>
    <w:lvl w:ilvl="1">
      <w:lvlJc w:val="left"/>
      <w:lvlText w:val="%2"/>
      <w:numFmt w:val="decimal"/>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1)"/>
      <w:numFmt w:val="lowerLetter"/>
      <w:start w:val="3"/>
    </w:lvl>
  </w:abstractNum>
  <w:abstractNum w:abstractNumId="85">
    <w:nsid w:val="68EBC550"/>
    <w:multiLevelType w:val="hybridMultilevel"/>
    <w:lvl w:ilvl="0">
      <w:lvlJc w:val="left"/>
      <w:lvlText w:val="1"/>
      <w:numFmt w:val="bullet"/>
      <w:start w:val="1"/>
    </w:lvl>
  </w:abstractNum>
  <w:abstractNum w:abstractNumId="86">
    <w:nsid w:val="2DF6D648"/>
    <w:multiLevelType w:val="hybridMultilevel"/>
    <w:lvl w:ilvl="0">
      <w:lvlJc w:val="left"/>
      <w:lvlText w:val="2"/>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87" Type="http://schemas.openxmlformats.org/officeDocument/2006/relationships/hyperlink" Target="http://www.sec.gov/Archives/edgar/data/737758/000110465909049400/a09-22980_1ex2d1.htm" TargetMode="External"/><Relationship Id="rId88" Type="http://schemas.openxmlformats.org/officeDocument/2006/relationships/hyperlink" Target="http://www.sec.gov/Archives/edgar/data/737758/000110465912042503/a12-8999_1ex2d1.htm" TargetMode="External"/><Relationship Id="rId89" Type="http://schemas.openxmlformats.org/officeDocument/2006/relationships/hyperlink" Target="http://www.sec.gov/Archives/edgar/data/737758/000110465916160429/a16-22419_1ex2d1.htm" TargetMode="External"/><Relationship Id="rId90" Type="http://schemas.openxmlformats.org/officeDocument/2006/relationships/hyperlink" Target="http://www.sec.gov/Archives/edgar/data/737758/000110465909049400/a09-22980_1ex2d2.htm" TargetMode="External"/><Relationship Id="rId91" Type="http://schemas.openxmlformats.org/officeDocument/2006/relationships/hyperlink" Target="http://www.sec.gov/Archives/edgar/data/737758/000104746912011370/a2212200zex-2_4.htm" TargetMode="External"/><Relationship Id="rId92" Type="http://schemas.openxmlformats.org/officeDocument/2006/relationships/hyperlink" Target="http://www.sec.gov/Archives/edgar/data/737758/000110465912042503/a12-8999_1ex2d2.htm" TargetMode="External"/><Relationship Id="rId93" Type="http://schemas.openxmlformats.org/officeDocument/2006/relationships/hyperlink" Target="http://www.sec.gov/Archives/edgar/data/737758/000110465916160429/a16-22419_1ex2d2.htm" TargetMode="External"/><Relationship Id="rId94" Type="http://schemas.openxmlformats.org/officeDocument/2006/relationships/hyperlink" Target="http://www.sec.gov/Archives/edgar/data/737758/000110465909057708/a09-29565_1ex2d1.htm" TargetMode="External"/><Relationship Id="rId95" Type="http://schemas.openxmlformats.org/officeDocument/2006/relationships/hyperlink" Target="http://www.sec.gov/Archives/edgar/data/737758/000110465916160429/a16-22419_1ex2d3.htm" TargetMode="External"/><Relationship Id="rId96" Type="http://schemas.openxmlformats.org/officeDocument/2006/relationships/hyperlink" Target="http://www.sec.gov/Archives/edgar/data/737758/000119312514383396/d810155dex21.htm" TargetMode="External"/><Relationship Id="rId97" Type="http://schemas.openxmlformats.org/officeDocument/2006/relationships/hyperlink" Target="http://www.sec.gov/Archives/edgar/data/737758/000156459019003064/ttc-ex21_6.htm" TargetMode="External"/><Relationship Id="rId98" Type="http://schemas.openxmlformats.org/officeDocument/2006/relationships/hyperlink" Target="http://www.sec.gov/Archives/edgar/data/737758/000073775808000033/form8-k06172008exhibitcert.htm" TargetMode="External"/><Relationship Id="rId99" Type="http://schemas.openxmlformats.org/officeDocument/2006/relationships/hyperlink" Target="http://www.sec.gov/Archives/edgar/data/737758/000119312513105223/d501846dex31.htm" TargetMode="External"/><Relationship Id="rId100" Type="http://schemas.openxmlformats.org/officeDocument/2006/relationships/hyperlink" Target="http://www.sec.gov/Archives/edgar/data/737758/000110465916133324/a16-15127_1ex3d1.htm" TargetMode="External"/><Relationship Id="rId101" Type="http://schemas.openxmlformats.org/officeDocument/2006/relationships/hyperlink" Target="http://www.sec.gov/Archives/edgar/data/737758/000073775808000041/stock_certificate1.htm" TargetMode="External"/><Relationship Id="rId102" Type="http://schemas.openxmlformats.org/officeDocument/2006/relationships/hyperlink" Target="http://www.sec.gov/Archives/edgar/data/737758/000110465907030051/a07-10570_1ex4d3.htm" TargetMode="External"/><Relationship Id="rId103" Type="http://schemas.openxmlformats.org/officeDocument/2006/relationships/hyperlink" Target="http://www.sec.gov/Archives/edgar/data/737758/000110465907031757/a07-10570_5ex4d1.htm" TargetMode="External"/><Relationship Id="rId104" Type="http://schemas.openxmlformats.org/officeDocument/2006/relationships/hyperlink" Target="http://www.sec.gov/Archives/edgar/data/737758/000110465907031757/a07-10570_5ex4d2.htm" TargetMode="External"/><Relationship Id="rId105" Type="http://schemas.openxmlformats.org/officeDocument/2006/relationships/hyperlink" Target="http://www.sec.gov/Archives/edgar/data/737758/000104746916017295/a2230524zex-10_1.htm" TargetMode="External"/><Relationship Id="rId106" Type="http://schemas.openxmlformats.org/officeDocument/2006/relationships/hyperlink" Target="http://www.sec.gov/Archives/edgar/data/737758/000073775808000002/ex10_2.htm" TargetMode="External"/><Relationship Id="rId107" Type="http://schemas.openxmlformats.org/officeDocument/2006/relationships/hyperlink" Target="http://www.sec.gov/Archives/edgar/data/737758/000073775817000012/ttc-2017q1xexhibit108.htm" TargetMode="External"/><Relationship Id="rId108" Type="http://schemas.openxmlformats.org/officeDocument/2006/relationships/hyperlink" Target="http://www.sec.gov/Archives/edgar/data/737758/000073775817000012/ttc-2017q1xexhibit109.htm" TargetMode="External"/><Relationship Id="rId109" Type="http://schemas.openxmlformats.org/officeDocument/2006/relationships/hyperlink" Target="http://www.sec.gov/Archives/edgar/data/737758/000073775817000012/ttc-2017q1xexhibit1010.htm" TargetMode="External"/><Relationship Id="rId110" Type="http://schemas.openxmlformats.org/officeDocument/2006/relationships/hyperlink" Target="http://www.sec.gov/Archives/edgar/data/737758/000073775817000012/ttc-2017q1xexhibit1011.htm" TargetMode="External"/><Relationship Id="rId111" Type="http://schemas.openxmlformats.org/officeDocument/2006/relationships/hyperlink" Target="http://www.sec.gov/Archives/edgar/data/737758/000104746914010062/a2222522zex-10_14.htm" TargetMode="External"/><Relationship Id="rId112" Type="http://schemas.openxmlformats.org/officeDocument/2006/relationships/hyperlink" Target="http://www.sec.gov/Archives/edgar/data/737758/000104746916017295/a2230524zex-10_11.htm" TargetMode="External"/><Relationship Id="rId113" Type="http://schemas.openxmlformats.org/officeDocument/2006/relationships/hyperlink" Target="http://www.sec.gov/Archives/edgar/data/737758/000104746914010062/a2222522zex-10_16.htm" TargetMode="External"/><Relationship Id="rId114" Type="http://schemas.openxmlformats.org/officeDocument/2006/relationships/hyperlink" Target="http://www.sec.gov/Archives/edgar/data/737758/000104746916017295/a2230524zex-10_14.htm" TargetMode="External"/><Relationship Id="rId115" Type="http://schemas.openxmlformats.org/officeDocument/2006/relationships/hyperlink" Target="http://www.sec.gov/Archives/edgar/data/737758/000110465907090459/a07-31527_3ex10dt.htm" TargetMode="External"/><Relationship Id="rId116" Type="http://schemas.openxmlformats.org/officeDocument/2006/relationships/hyperlink" Target="http://www.sec.gov/Archives/edgar/data/737758/000104746914010062/a2222522zex-10_18.htm" TargetMode="External"/><Relationship Id="rId117" Type="http://schemas.openxmlformats.org/officeDocument/2006/relationships/hyperlink" Target="http://www.sec.gov/Archives/edgar/data/737758/000104746916017295/a2230524zex-10_17.htm" TargetMode="External"/><Relationship Id="rId118" Type="http://schemas.openxmlformats.org/officeDocument/2006/relationships/hyperlink" Target="http://www.sec.gov/Archives/edgar/data/737758/000104746916017295/a2230524zex-10_18.htm" TargetMode="External"/><Relationship Id="rId119" Type="http://schemas.openxmlformats.org/officeDocument/2006/relationships/hyperlink" Target="http://www.sec.gov/Archives/edgar/data/737758/000104746916017295/a2230524zex-10_19.htm" TargetMode="External"/><Relationship Id="rId120" Type="http://schemas.openxmlformats.org/officeDocument/2006/relationships/hyperlink" Target="http://www.sec.gov/Archives/edgar/data/737758/000104746914010062/a2222522zex-10_21.htm" TargetMode="External"/><Relationship Id="rId121" Type="http://schemas.openxmlformats.org/officeDocument/2006/relationships/hyperlink" Target="http://www.sec.gov/Archives/edgar/data/737758/000104746916017295/a2230524zex-10_21.htm" TargetMode="External"/><Relationship Id="rId122" Type="http://schemas.openxmlformats.org/officeDocument/2006/relationships/hyperlink" Target="http://www.sec.gov/Archives/edgar/data/737758/000110465906083580/a06-25975_3ex10du.htm" TargetMode="External"/><Relationship Id="rId123" Type="http://schemas.openxmlformats.org/officeDocument/2006/relationships/hyperlink" Target="http://www.sec.gov/Archives/edgar/data/737758/000095012311004529/c62420exv10w1.htm" TargetMode="External"/><Relationship Id="rId124" Type="http://schemas.openxmlformats.org/officeDocument/2006/relationships/hyperlink" Target="http://www.sec.gov/Archives/edgar/data/737758/000119312511201885/dex101.htm" TargetMode="External"/><Relationship Id="rId125" Type="http://schemas.openxmlformats.org/officeDocument/2006/relationships/hyperlink" Target="http://www.sec.gov/Archives/edgar/data/737758/000119312515295667/d37887dex101.htm" TargetMode="External"/><Relationship Id="rId126" Type="http://schemas.openxmlformats.org/officeDocument/2006/relationships/hyperlink" Target="http://www.sec.gov/Archives/edgar/data/737758/000110465916133324/a16-15127_1ex10d1.htm" TargetMode="External"/><Relationship Id="rId127" Type="http://schemas.openxmlformats.org/officeDocument/2006/relationships/hyperlink" Target="http://www.sec.gov/Archives/edgar/data/737758/000073775818000025/exhibit101.htm" TargetMode="External"/><Relationship Id="rId128" Type="http://schemas.openxmlformats.org/officeDocument/2006/relationships/hyperlink" Target="http://www.sec.gov/Archives/edgar/data/737758/000110465909049400/a09-22980_1ex10d1.htm" TargetMode="External"/><Relationship Id="rId129" Type="http://schemas.openxmlformats.org/officeDocument/2006/relationships/hyperlink" Target="http://www.sec.gov/Archives/edgar/data/737758/000110465912042503/a12-8999_1ex10d1.htm" TargetMode="External"/><Relationship Id="rId130" Type="http://schemas.openxmlformats.org/officeDocument/2006/relationships/hyperlink" Target="http://www.sec.gov/Archives/edgar/data/737758/000110465916160429/a16-22419_1ex10d1.htm" TargetMode="External"/><Relationship Id="rId131" Type="http://schemas.openxmlformats.org/officeDocument/2006/relationships/hyperlink" Target="http://www.sec.gov/Archives/edgar/data/737758/000156459019008652/ttc-ex101_6.htm" TargetMode="External"/><Relationship Id="rId132" Type="http://schemas.openxmlformats.org/officeDocument/2006/relationships/hyperlink" Target="http://www.sec.gov/Archives/edgar/data/737758/000156459019014346/ttc-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2019-12-28T00:55:33Z</dcterms:created>
  <dcterms:modified xsi:type="dcterms:W3CDTF">2019-12-28T00:55:33Z</dcterms:modified>
</cp:coreProperties>
</file>