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94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49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Dordell Timothy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12/01/2009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VP, Secretary, General Counsel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ind w:right="74"/>
              <w:spacing w:after="0"/>
              <w:rPr>
                <w:sz w:val="20"/>
                <w:szCs w:val="20"/>
                <w:color w:val="auto"/>
              </w:rPr>
            </w:pPr>
            <w:r>
              <w:rPr>
                <w:rFonts w:ascii="Arial" w:cs="Arial" w:eastAsia="Arial" w:hAnsi="Arial"/>
                <w:sz w:val="17"/>
                <w:szCs w:val="17"/>
                <w:color w:val="0000FF"/>
              </w:rPr>
              <w:t>1,832.893</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I</w:t>
            </w: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ind w:right="174"/>
              <w:spacing w:after="0" w:line="214" w:lineRule="exact"/>
              <w:rPr>
                <w:sz w:val="20"/>
                <w:szCs w:val="20"/>
                <w:color w:val="auto"/>
              </w:rPr>
            </w:pPr>
            <w:r>
              <w:rPr>
                <w:rFonts w:ascii="Arial" w:cs="Arial" w:eastAsia="Arial" w:hAnsi="Arial"/>
                <w:sz w:val="17"/>
                <w:szCs w:val="17"/>
                <w:color w:val="0000FF"/>
              </w:rPr>
              <w:t>73.189</w:t>
            </w:r>
            <w:r>
              <w:rPr>
                <w:rFonts w:ascii="Arial" w:cs="Arial" w:eastAsia="Arial" w:hAnsi="Arial"/>
                <w:sz w:val="22"/>
                <w:szCs w:val="22"/>
                <w:color w:val="008000"/>
                <w:vertAlign w:val="superscript"/>
              </w:rPr>
              <w:t>(2)</w:t>
            </w:r>
          </w:p>
        </w:tc>
        <w:tc>
          <w:tcPr>
            <w:tcW w:w="960" w:type="dxa"/>
            <w:vAlign w:val="bottom"/>
          </w:tcPr>
          <w:p>
            <w:pPr>
              <w:ind w:left="460"/>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40.73</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12/01/2009</w:t>
            </w:r>
          </w:p>
        </w:tc>
        <w:tc>
          <w:tcPr>
            <w:tcW w:w="112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16,000</w:t>
            </w:r>
          </w:p>
        </w:tc>
        <w:tc>
          <w:tcPr>
            <w:tcW w:w="30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12/01/2019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16,000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16,000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0"/>
                <w:szCs w:val="20"/>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Toro Company Dividend Reinvestment Plan since the date of his last report: 0.281 shares acquired on January 12, 2009, 0.387 shares acquired on April 13, 2009, 0.34 shares acquired on July 10, 2009, and 0.263 shares acquired on October 19, 2009.</w:t>
      </w:r>
    </w:p>
    <w:p>
      <w:pPr>
        <w:spacing w:after="0" w:line="9" w:lineRule="exact"/>
        <w:rPr>
          <w:rFonts w:ascii="Arial" w:cs="Arial" w:eastAsia="Arial" w:hAnsi="Arial"/>
          <w:sz w:val="13"/>
          <w:szCs w:val="13"/>
          <w:color w:val="008000"/>
        </w:rPr>
      </w:pPr>
    </w:p>
    <w:p>
      <w:pPr>
        <w:ind w:left="40" w:right="2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dividend reinvestment feature of The Toro Company Investment, Savings &amp; ESOP (IS&amp;ESOP) since the date of his last report: 0.004 shares acquired on January 12, 2009, 0.418 shares acquired on April 13, 2009, 0.367 shares acquired on July 10, 2009, and 0.279 shares acquired on October 19, 2009. Also includes 71.098 shares acquired on March 5, 2009 through issuer contributions to the IS&amp;ESOP.</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Amy E. Dahl,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12/02/2009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Amy E. Dahl, Timothy P.Dordell and Stephen P. Wolfe, signing singly, true and lawful attorneys-in-fact relative to the filings identified below in connection with the undersigned's derivative and non-derivative securities of The Toro Company (the ?Company?) to:</w:t>
      </w:r>
    </w:p>
    <w:p>
      <w:pPr>
        <w:spacing w:after="0" w:line="200" w:lineRule="exact"/>
        <w:rPr>
          <w:sz w:val="20"/>
          <w:szCs w:val="20"/>
          <w:color w:val="auto"/>
        </w:rPr>
      </w:pPr>
    </w:p>
    <w:p>
      <w:pPr>
        <w:ind w:right="3419" w:firstLine="7"/>
        <w:spacing w:after="0" w:line="253"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16(a) of the Securities Exchange Act of 1934, as amended, and the rules thereunder;</w:t>
      </w:r>
    </w:p>
    <w:p>
      <w:pPr>
        <w:spacing w:after="0" w:line="195" w:lineRule="exact"/>
        <w:rPr>
          <w:rFonts w:ascii="Courier New" w:cs="Courier New" w:eastAsia="Courier New" w:hAnsi="Courier New"/>
          <w:sz w:val="17"/>
          <w:szCs w:val="17"/>
          <w:color w:val="auto"/>
        </w:rPr>
      </w:pPr>
    </w:p>
    <w:p>
      <w:pPr>
        <w:ind w:right="351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and 5 and the timely filing of such forms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right="3299" w:firstLine="7"/>
        <w:spacing w:after="0" w:line="251"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either of their discretions.</w:t>
      </w:r>
    </w:p>
    <w:p>
      <w:pPr>
        <w:spacing w:after="0" w:line="199"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w:t>
      </w:r>
    </w:p>
    <w:p>
      <w:pPr>
        <w:spacing w:after="0" w:line="19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/s/ Timothy P. Dordell</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Timothy P. Dordell</w:t>
      </w:r>
    </w:p>
    <w:p>
      <w:pPr>
        <w:spacing w:after="0" w:line="21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02/09/2009</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2019-12-17T00:17:34Z</dcterms:created>
  <dcterms:modified xsi:type="dcterms:W3CDTF">2019-12-17T00:17:34Z</dcterms:modified>
</cp:coreProperties>
</file>