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As filed with the Securities and Exchange Commission on September 21, 1999</w:t>
      </w:r>
    </w:p>
    <w:p>
      <w:pPr>
        <w:sectPr>
          <w:pgSz w:w="11900" w:h="16838" w:orient="portrait"/>
          <w:cols w:equalWidth="0" w:num="1">
            <w:col w:w="9679"/>
          </w:cols>
          <w:pgMar w:left="780" w:top="655" w:right="1440" w:bottom="1440" w:gutter="0" w:footer="0" w:header="0"/>
        </w:sectPr>
      </w:pPr>
    </w:p>
    <w:p>
      <w:pPr>
        <w:spacing w:after="0" w:line="224" w:lineRule="exact"/>
        <w:rPr>
          <w:sz w:val="24"/>
          <w:szCs w:val="24"/>
          <w:color w:val="auto"/>
        </w:rPr>
      </w:pPr>
    </w:p>
    <w:p>
      <w:pPr>
        <w:ind w:left="5160"/>
        <w:spacing w:after="0"/>
        <w:rPr>
          <w:sz w:val="20"/>
          <w:szCs w:val="20"/>
          <w:color w:val="auto"/>
        </w:rPr>
      </w:pPr>
      <w:r>
        <w:rPr>
          <w:rFonts w:ascii="Courier New" w:cs="Courier New" w:eastAsia="Courier New" w:hAnsi="Courier New"/>
          <w:sz w:val="16"/>
          <w:szCs w:val="16"/>
          <w:color w:val="auto"/>
        </w:rPr>
        <w:t>Registration No. 333-</w:t>
      </w:r>
    </w:p>
    <w:p>
      <w:pPr>
        <w:spacing w:after="0" w:line="218"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REGISTRATION STATEMENT</w:t>
      </w:r>
    </w:p>
    <w:p>
      <w:pPr>
        <w:jc w:val="center"/>
        <w:ind w:right="179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1699"/>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THE TORO COMPANY</w:t>
      </w:r>
    </w:p>
    <w:p>
      <w:pPr>
        <w:jc w:val="center"/>
        <w:ind w:right="1699"/>
        <w:spacing w:after="0" w:line="238" w:lineRule="auto"/>
        <w:rPr>
          <w:sz w:val="20"/>
          <w:szCs w:val="20"/>
          <w:color w:val="auto"/>
        </w:rPr>
      </w:pPr>
      <w:r>
        <w:rPr>
          <w:rFonts w:ascii="Courier New" w:cs="Courier New" w:eastAsia="Courier New" w:hAnsi="Courier New"/>
          <w:sz w:val="18"/>
          <w:szCs w:val="18"/>
          <w:color w:val="auto"/>
        </w:rPr>
        <w:t>(Exact name of issuer as specified in its charter)</w:t>
      </w:r>
    </w:p>
    <w:p>
      <w:pPr>
        <w:spacing w:after="0" w:line="202" w:lineRule="exact"/>
        <w:rPr>
          <w:sz w:val="24"/>
          <w:szCs w:val="24"/>
          <w:color w:val="auto"/>
        </w:rPr>
      </w:pPr>
    </w:p>
    <w:p>
      <w:pPr>
        <w:ind w:left="1260"/>
        <w:spacing w:after="0"/>
        <w:tabs>
          <w:tab w:leader="none" w:pos="440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41-0580470</w:t>
      </w:r>
    </w:p>
    <w:p>
      <w:pPr>
        <w:ind w:left="520"/>
        <w:spacing w:after="0"/>
        <w:tabs>
          <w:tab w:leader="none" w:pos="418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6"/>
          <w:szCs w:val="16"/>
          <w:color w:val="auto"/>
        </w:rPr>
        <w:t>(I.R.S. Employer</w:t>
      </w:r>
    </w:p>
    <w:p>
      <w:pPr>
        <w:ind w:left="100"/>
        <w:spacing w:after="0"/>
        <w:tabs>
          <w:tab w:leader="none" w:pos="3980" w:val="left"/>
        </w:tabs>
        <w:rPr>
          <w:sz w:val="20"/>
          <w:szCs w:val="20"/>
          <w:color w:val="auto"/>
        </w:rPr>
      </w:pPr>
      <w:r>
        <w:rPr>
          <w:rFonts w:ascii="Courier New" w:cs="Courier New" w:eastAsia="Courier New" w:hAnsi="Courier New"/>
          <w:sz w:val="18"/>
          <w:szCs w:val="18"/>
          <w:color w:val="auto"/>
        </w:rPr>
        <w:t>of incorporation or organization)</w:t>
      </w:r>
      <w:r>
        <w:rPr>
          <w:sz w:val="20"/>
          <w:szCs w:val="20"/>
          <w:color w:val="auto"/>
        </w:rPr>
        <w:tab/>
      </w: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ind w:left="2620"/>
        <w:spacing w:after="0"/>
        <w:rPr>
          <w:sz w:val="20"/>
          <w:szCs w:val="20"/>
          <w:color w:val="auto"/>
        </w:rPr>
      </w:pPr>
      <w:r>
        <w:rPr>
          <w:rFonts w:ascii="Courier New" w:cs="Courier New" w:eastAsia="Courier New" w:hAnsi="Courier New"/>
          <w:sz w:val="18"/>
          <w:szCs w:val="18"/>
          <w:color w:val="auto"/>
        </w:rPr>
        <w:t>8111 Lyndale Avenue South</w:t>
      </w:r>
    </w:p>
    <w:p>
      <w:pPr>
        <w:ind w:left="252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126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THE TORO COMPANY</w:t>
      </w:r>
    </w:p>
    <w:p>
      <w:pPr>
        <w:jc w:val="center"/>
        <w:ind w:right="1699"/>
        <w:spacing w:after="0" w:line="238" w:lineRule="auto"/>
        <w:rPr>
          <w:sz w:val="20"/>
          <w:szCs w:val="20"/>
          <w:color w:val="auto"/>
        </w:rPr>
      </w:pPr>
      <w:r>
        <w:rPr>
          <w:rFonts w:ascii="Courier New" w:cs="Courier New" w:eastAsia="Courier New" w:hAnsi="Courier New"/>
          <w:sz w:val="18"/>
          <w:szCs w:val="18"/>
          <w:color w:val="auto"/>
        </w:rPr>
        <w:t>PERFORMANCE SHARE PLAN</w:t>
      </w:r>
    </w:p>
    <w:p>
      <w:pPr>
        <w:jc w:val="center"/>
        <w:ind w:right="1699"/>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J. Lawrence McIntyre, Esquire</w:t>
      </w:r>
    </w:p>
    <w:p>
      <w:pPr>
        <w:ind w:left="1580"/>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ind w:left="3160"/>
        <w:spacing w:after="0"/>
        <w:rPr>
          <w:sz w:val="20"/>
          <w:szCs w:val="20"/>
          <w:color w:val="auto"/>
        </w:rPr>
      </w:pPr>
      <w:r>
        <w:rPr>
          <w:rFonts w:ascii="Courier New" w:cs="Courier New" w:eastAsia="Courier New" w:hAnsi="Courier New"/>
          <w:sz w:val="18"/>
          <w:szCs w:val="18"/>
          <w:color w:val="auto"/>
        </w:rPr>
        <w:t>The Toro Company</w:t>
      </w:r>
    </w:p>
    <w:p>
      <w:pPr>
        <w:ind w:left="2620"/>
        <w:spacing w:after="0" w:line="237" w:lineRule="auto"/>
        <w:rPr>
          <w:sz w:val="20"/>
          <w:szCs w:val="20"/>
          <w:color w:val="auto"/>
        </w:rPr>
      </w:pPr>
      <w:r>
        <w:rPr>
          <w:rFonts w:ascii="Courier New" w:cs="Courier New" w:eastAsia="Courier New" w:hAnsi="Courier New"/>
          <w:sz w:val="18"/>
          <w:szCs w:val="18"/>
          <w:color w:val="auto"/>
        </w:rPr>
        <w:t>8111 Lyndale Avenue South</w:t>
      </w:r>
    </w:p>
    <w:p>
      <w:pPr>
        <w:ind w:left="252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2200"/>
        <w:spacing w:after="0"/>
        <w:rPr>
          <w:sz w:val="20"/>
          <w:szCs w:val="20"/>
          <w:color w:val="auto"/>
        </w:rPr>
      </w:pPr>
      <w:r>
        <w:rPr>
          <w:rFonts w:ascii="Courier New" w:cs="Courier New" w:eastAsia="Courier New" w:hAnsi="Courier New"/>
          <w:sz w:val="18"/>
          <w:szCs w:val="18"/>
          <w:color w:val="auto"/>
        </w:rPr>
        <w:t>Telephone number : (612) 888-8801</w:t>
      </w:r>
    </w:p>
    <w:p>
      <w:pPr>
        <w:ind w:left="940"/>
        <w:spacing w:after="0" w:line="237" w:lineRule="auto"/>
        <w:rPr>
          <w:sz w:val="20"/>
          <w:szCs w:val="20"/>
          <w:color w:val="auto"/>
        </w:rPr>
      </w:pPr>
      <w:r>
        <w:rPr>
          <w:rFonts w:ascii="Courier New" w:cs="Courier New" w:eastAsia="Courier New" w:hAnsi="Courier New"/>
          <w:sz w:val="18"/>
          <w:szCs w:val="18"/>
          <w:color w:val="auto"/>
        </w:rPr>
        <w:t>(Name, address and telephone number of agent for service)</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Helen P. Starr, Esquire</w:t>
      </w:r>
    </w:p>
    <w:p>
      <w:pPr>
        <w:ind w:left="3160"/>
        <w:spacing w:after="0" w:line="238" w:lineRule="auto"/>
        <w:rPr>
          <w:sz w:val="20"/>
          <w:szCs w:val="20"/>
          <w:color w:val="auto"/>
        </w:rPr>
      </w:pPr>
      <w:r>
        <w:rPr>
          <w:rFonts w:ascii="Courier New" w:cs="Courier New" w:eastAsia="Courier New" w:hAnsi="Courier New"/>
          <w:sz w:val="18"/>
          <w:szCs w:val="18"/>
          <w:color w:val="auto"/>
        </w:rPr>
        <w:t>Perkins Coie LLP</w:t>
      </w:r>
    </w:p>
    <w:p>
      <w:pPr>
        <w:ind w:left="2520"/>
        <w:spacing w:after="0"/>
        <w:rPr>
          <w:sz w:val="20"/>
          <w:szCs w:val="20"/>
          <w:color w:val="auto"/>
        </w:rPr>
      </w:pPr>
      <w:r>
        <w:rPr>
          <w:rFonts w:ascii="Courier New" w:cs="Courier New" w:eastAsia="Courier New" w:hAnsi="Courier New"/>
          <w:sz w:val="18"/>
          <w:szCs w:val="18"/>
          <w:color w:val="auto"/>
        </w:rPr>
        <w:t>607 Fourteenth Street, N.W.</w:t>
      </w:r>
    </w:p>
    <w:p>
      <w:pPr>
        <w:ind w:left="2840"/>
        <w:spacing w:after="0" w:line="237" w:lineRule="auto"/>
        <w:rPr>
          <w:sz w:val="20"/>
          <w:szCs w:val="20"/>
          <w:color w:val="auto"/>
        </w:rPr>
      </w:pPr>
      <w:r>
        <w:rPr>
          <w:rFonts w:ascii="Courier New" w:cs="Courier New" w:eastAsia="Courier New" w:hAnsi="Courier New"/>
          <w:sz w:val="18"/>
          <w:szCs w:val="18"/>
          <w:color w:val="auto"/>
        </w:rPr>
        <w:t>Washington, D.C. 20005</w:t>
      </w:r>
    </w:p>
    <w:p>
      <w:pPr>
        <w:sectPr>
          <w:pgSz w:w="11900" w:h="16838" w:orient="portrait"/>
          <w:cols w:equalWidth="0" w:num="1">
            <w:col w:w="9679"/>
          </w:cols>
          <w:pgMar w:left="780" w:top="655" w:right="1440" w:bottom="144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Title of</w:t>
            </w:r>
          </w:p>
        </w:tc>
        <w:tc>
          <w:tcPr>
            <w:tcW w:w="880" w:type="dxa"/>
            <w:vAlign w:val="bottom"/>
          </w:tcPr>
          <w:p>
            <w:pPr>
              <w:spacing w:after="0"/>
              <w:rPr>
                <w:sz w:val="17"/>
                <w:szCs w:val="17"/>
                <w:color w:val="auto"/>
              </w:rPr>
            </w:pPr>
          </w:p>
        </w:tc>
        <w:tc>
          <w:tcPr>
            <w:tcW w:w="238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6"/>
              </w:rPr>
              <w:t>Amount to</w:t>
            </w:r>
          </w:p>
        </w:tc>
        <w:tc>
          <w:tcPr>
            <w:tcW w:w="1640" w:type="dxa"/>
            <w:vAlign w:val="bottom"/>
          </w:tcPr>
          <w:p>
            <w:pPr>
              <w:ind w:left="360"/>
              <w:spacing w:after="0"/>
              <w:rPr>
                <w:sz w:val="20"/>
                <w:szCs w:val="20"/>
                <w:color w:val="auto"/>
              </w:rPr>
            </w:pPr>
            <w:r>
              <w:rPr>
                <w:rFonts w:ascii="Courier New" w:cs="Courier New" w:eastAsia="Courier New" w:hAnsi="Courier New"/>
                <w:sz w:val="18"/>
                <w:szCs w:val="18"/>
                <w:color w:val="auto"/>
              </w:rPr>
              <w:t>Proposed</w:t>
            </w:r>
          </w:p>
        </w:tc>
        <w:tc>
          <w:tcPr>
            <w:tcW w:w="1580" w:type="dxa"/>
            <w:vAlign w:val="bottom"/>
          </w:tcPr>
          <w:p>
            <w:pPr>
              <w:ind w:left="300"/>
              <w:spacing w:after="0"/>
              <w:rPr>
                <w:sz w:val="20"/>
                <w:szCs w:val="20"/>
                <w:color w:val="auto"/>
              </w:rPr>
            </w:pPr>
            <w:r>
              <w:rPr>
                <w:rFonts w:ascii="Courier New" w:cs="Courier New" w:eastAsia="Courier New" w:hAnsi="Courier New"/>
                <w:sz w:val="18"/>
                <w:szCs w:val="18"/>
                <w:color w:val="auto"/>
              </w:rPr>
              <w:t>Proposed</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Amount of</w:t>
            </w:r>
          </w:p>
        </w:tc>
        <w:tc>
          <w:tcPr>
            <w:tcW w:w="380" w:type="dxa"/>
            <w:vAlign w:val="bottom"/>
          </w:tcPr>
          <w:p>
            <w:pPr>
              <w:spacing w:after="0"/>
              <w:rPr>
                <w:sz w:val="17"/>
                <w:szCs w:val="17"/>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8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to</w:t>
            </w:r>
          </w:p>
        </w:tc>
        <w:tc>
          <w:tcPr>
            <w:tcW w:w="238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8"/>
              </w:rPr>
              <w:t>be registered</w:t>
            </w:r>
          </w:p>
        </w:tc>
        <w:tc>
          <w:tcPr>
            <w:tcW w:w="16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maximum</w:t>
            </w:r>
          </w:p>
        </w:tc>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maximum</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fee</w:t>
            </w:r>
          </w:p>
        </w:tc>
      </w:tr>
      <w:tr>
        <w:trPr>
          <w:trHeight w:val="203"/>
        </w:trPr>
        <w:tc>
          <w:tcPr>
            <w:tcW w:w="2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be registered</w:t>
            </w:r>
          </w:p>
        </w:tc>
        <w:tc>
          <w:tcPr>
            <w:tcW w:w="2380" w:type="dxa"/>
            <w:vAlign w:val="bottom"/>
          </w:tcPr>
          <w:p>
            <w:pPr>
              <w:spacing w:after="0"/>
              <w:rPr>
                <w:sz w:val="17"/>
                <w:szCs w:val="17"/>
                <w:color w:val="auto"/>
              </w:rPr>
            </w:pPr>
          </w:p>
        </w:tc>
        <w:tc>
          <w:tcPr>
            <w:tcW w:w="16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offering</w:t>
            </w:r>
          </w:p>
        </w:tc>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aggregate</w:t>
            </w: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price per</w:t>
            </w:r>
          </w:p>
        </w:tc>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offering</w:t>
            </w: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0"/>
        </w:trPr>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40" w:type="dxa"/>
            <w:vAlign w:val="bottom"/>
          </w:tcPr>
          <w:p>
            <w:pPr>
              <w:ind w:left="360"/>
              <w:spacing w:after="0"/>
              <w:rPr>
                <w:sz w:val="20"/>
                <w:szCs w:val="20"/>
                <w:color w:val="auto"/>
              </w:rPr>
            </w:pPr>
            <w:r>
              <w:rPr>
                <w:rFonts w:ascii="Courier New" w:cs="Courier New" w:eastAsia="Courier New" w:hAnsi="Courier New"/>
                <w:sz w:val="18"/>
                <w:szCs w:val="18"/>
                <w:color w:val="auto"/>
              </w:rPr>
              <w:t>share</w:t>
            </w:r>
          </w:p>
        </w:tc>
        <w:tc>
          <w:tcPr>
            <w:tcW w:w="1580" w:type="dxa"/>
            <w:vAlign w:val="bottom"/>
          </w:tcPr>
          <w:p>
            <w:pPr>
              <w:ind w:left="300"/>
              <w:spacing w:after="0"/>
              <w:rPr>
                <w:sz w:val="20"/>
                <w:szCs w:val="20"/>
                <w:color w:val="auto"/>
              </w:rPr>
            </w:pPr>
            <w:r>
              <w:rPr>
                <w:rFonts w:ascii="Courier New" w:cs="Courier New" w:eastAsia="Courier New" w:hAnsi="Courier New"/>
                <w:sz w:val="18"/>
                <w:szCs w:val="18"/>
                <w:color w:val="auto"/>
              </w:rPr>
              <w:t>price</w:t>
            </w: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2620" w:val="left"/>
          <w:tab w:leader="none" w:pos="4720" w:val="left"/>
          <w:tab w:leader="none" w:pos="6300" w:val="left"/>
          <w:tab w:leader="none" w:pos="832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8"/>
          <w:szCs w:val="18"/>
          <w:color w:val="auto"/>
        </w:rPr>
        <w:t>500,000 shares(b)</w:t>
        <w:tab/>
        <w:t>$37.47(c)</w:t>
      </w:r>
      <w:r>
        <w:rPr>
          <w:sz w:val="20"/>
          <w:szCs w:val="20"/>
          <w:color w:val="auto"/>
        </w:rPr>
        <w:tab/>
      </w:r>
      <w:r>
        <w:rPr>
          <w:rFonts w:ascii="Courier New" w:cs="Courier New" w:eastAsia="Courier New" w:hAnsi="Courier New"/>
          <w:sz w:val="18"/>
          <w:szCs w:val="18"/>
          <w:color w:val="auto"/>
        </w:rPr>
        <w:t>$18,735,000(c)</w:t>
      </w:r>
      <w:r>
        <w:rPr>
          <w:sz w:val="20"/>
          <w:szCs w:val="20"/>
          <w:color w:val="auto"/>
        </w:rPr>
        <w:tab/>
      </w:r>
      <w:r>
        <w:rPr>
          <w:rFonts w:ascii="Courier New" w:cs="Courier New" w:eastAsia="Courier New" w:hAnsi="Courier New"/>
          <w:sz w:val="16"/>
          <w:szCs w:val="16"/>
          <w:color w:val="auto"/>
        </w:rPr>
        <w:t>$5,204(d)</w:t>
      </w:r>
    </w:p>
    <w:p>
      <w:pPr>
        <w:spacing w:after="0" w:line="238" w:lineRule="auto"/>
        <w:rPr>
          <w:sz w:val="20"/>
          <w:szCs w:val="20"/>
          <w:color w:val="auto"/>
        </w:rPr>
      </w:pPr>
      <w:r>
        <w:rPr>
          <w:rFonts w:ascii="Courier New" w:cs="Courier New" w:eastAsia="Courier New" w:hAnsi="Courier New"/>
          <w:sz w:val="18"/>
          <w:szCs w:val="18"/>
          <w:color w:val="auto"/>
        </w:rPr>
        <w:t>par value $1.00 per</w:t>
      </w:r>
    </w:p>
    <w:p>
      <w:pPr>
        <w:spacing w:after="0"/>
        <w:rPr>
          <w:sz w:val="20"/>
          <w:szCs w:val="20"/>
          <w:color w:val="auto"/>
        </w:rPr>
      </w:pPr>
      <w:r>
        <w:rPr>
          <w:rFonts w:ascii="Courier New" w:cs="Courier New" w:eastAsia="Courier New" w:hAnsi="Courier New"/>
          <w:sz w:val="18"/>
          <w:szCs w:val="18"/>
          <w:color w:val="auto"/>
        </w:rPr>
        <w:t>share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540" w:right="1880"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Common Stock has one Preferred Share Purchase Right attached to it. Value attributable to such Rights, if any, is reflected in the market price of the Common Stock.</w:t>
      </w:r>
    </w:p>
    <w:p>
      <w:pPr>
        <w:spacing w:after="0" w:line="6" w:lineRule="exact"/>
        <w:rPr>
          <w:rFonts w:ascii="Courier New" w:cs="Courier New" w:eastAsia="Courier New" w:hAnsi="Courier New"/>
          <w:sz w:val="18"/>
          <w:szCs w:val="18"/>
          <w:color w:val="auto"/>
        </w:rPr>
      </w:pPr>
    </w:p>
    <w:p>
      <w:pPr>
        <w:ind w:left="540" w:right="2740"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indeterminate number of shares will be issued from time to time to participants in the Plan.</w:t>
      </w:r>
    </w:p>
    <w:p>
      <w:pPr>
        <w:spacing w:after="0" w:line="5" w:lineRule="exact"/>
        <w:rPr>
          <w:rFonts w:ascii="Courier New" w:cs="Courier New" w:eastAsia="Courier New" w:hAnsi="Courier New"/>
          <w:sz w:val="18"/>
          <w:szCs w:val="18"/>
          <w:color w:val="auto"/>
        </w:rPr>
      </w:pPr>
    </w:p>
    <w:p>
      <w:pPr>
        <w:ind w:left="540" w:right="1880"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to calculate the registration fee, pursuant to Rule 457(c), on the basis of the average of the high and low prices reported in the consolidated reporting system on September 15, 1999.</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fee to be applied to account number 737758.</w:t>
      </w:r>
    </w:p>
    <w:p>
      <w:pPr>
        <w:sectPr>
          <w:pgSz w:w="11900" w:h="16838" w:orient="portrait"/>
          <w:cols w:equalWidth="0" w:num="1">
            <w:col w:w="10220"/>
          </w:cols>
          <w:pgMar w:left="240" w:top="717" w:right="1439" w:bottom="1440" w:gutter="0" w:footer="0" w:header="0"/>
        </w:sectPr>
      </w:pPr>
    </w:p>
    <w:bookmarkStart w:id="2" w:name="page3"/>
    <w:bookmarkEnd w:id="2"/>
    <w:p>
      <w:pPr>
        <w:ind w:left="3160"/>
        <w:spacing w:after="0"/>
        <w:rPr>
          <w:sz w:val="20"/>
          <w:szCs w:val="20"/>
          <w:color w:val="auto"/>
        </w:rPr>
      </w:pPr>
      <w:r>
        <w:rPr>
          <w:rFonts w:ascii="Courier New" w:cs="Courier New" w:eastAsia="Courier New" w:hAnsi="Courier New"/>
          <w:sz w:val="18"/>
          <w:szCs w:val="18"/>
          <w:color w:val="auto"/>
        </w:rPr>
        <w:t>INCORPORATION BY REFERENCE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documents are incorporated by reference in this Registration Statement:</w:t>
      </w:r>
    </w:p>
    <w:p>
      <w:pPr>
        <w:spacing w:after="0" w:line="208" w:lineRule="exact"/>
        <w:rPr>
          <w:sz w:val="20"/>
          <w:szCs w:val="20"/>
          <w:color w:val="auto"/>
        </w:rPr>
      </w:pPr>
    </w:p>
    <w:p>
      <w:pPr>
        <w:ind w:left="1060" w:right="231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Annual Report on Form 10-K for the fiscal year ended October 31, 1998 (File No. 1-8649).</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Quarterly Report on Form 10-Q for the quarter ended January 29, 1999 (File No. 1-8649).</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Quarterly Report on Form 10-Q for the quarter ended April 30, 1999 (File No. 1-8649).</w:t>
      </w:r>
    </w:p>
    <w:p>
      <w:pPr>
        <w:spacing w:after="0" w:line="208"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Quarterly Report on Form 10-Q for the quarter ended July 30, 1999 (File No. 1-8649).</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descriptions of its Common Stock and Preferred Share Purchase Rights contained in its Registration Statements filed with the Commission pursuant to Section 12 of the Securities Exchange Act of 1934 (the "Exchange Act"), including any amendment or report filed for the purpose of updating such descriptions (File No. 1-8649).</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All documents subsequently filed by Registrant pursuant to Sections 13(a), 13(c), 14 and 15(d) of the Securities Exchange Act of 1934,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 Any statement contained in a document incorporated or deemed to be incorporated by reference herein shall be deemed to be modified or replaced for purposes of this Registration Statement to the extent that a statement contained herein or in any other subsequently filed document which also is or is deemed to be incorporated by reference herein modifies or replaces such statement. Any such statement so modified or replaced shall not be deemed, except as so modified or replaced, to constitute a part of this Registration Statement.</w:t>
      </w:r>
    </w:p>
    <w:p>
      <w:pPr>
        <w:spacing w:after="0" w:line="38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opinion of counsel as to the legality of the securities being registered, which is Exhibit 5 to this Registration Statement, is rendered by J. Lawrence McIntyre. Mr. McIntyre is Vice President, Secretary and General Counsel to Registrant and is eligible to participate in the Plan. As of June 30, 1999, Mr. McIntyre owned 8,073 shares of Common Stock and options to purchase 29,576 shares of Common Stock of Registrant.</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145 of the General Corporation Law of the State of Delaware empowers a corporation incorporated under the statute to indemnify its directors, officers, employees and agents and its former directors, officers, employees and agents and those who serve in such capacities with another enterprise at the corporation's request against expenses (including attorneys' fees), as well as judgments, fines and settlements, actually and reasonably incurred by them in connection with any action, suit or proceeding in which they or any of them were or are made parties or are threatened to be made parties by reason of their serving or having served in such capacity. The power to indemnify exists only where such officer, director, employee or agent has acted in good faith and in a manner he reasonably believed to be in or not opposed to the best interests of the corporation and, in the case of a criminal action, where such person had no reasonable cause to believe his conduct was unlawful. Unless a court determines to the contrary, a corporation has no power of indemnification in an action or suit by or in the right of the corporation, where such person has been adjudged liable to the corporation. Indemnification against expenses is mandatory to the extent a claim, issue or matter has been successfully defended. Indemnification and advancement of expenses are not deemed exclusive of any other rights to which those indemnified may be entitled under any bylaw, agreement, vote of stockholders or otherwise. A Delaware corporation also has the power to purchase and maintain insurance on behalf of any person it has the power to indemnify, whether or not indemnity against liability would be allowed under the statute.</w:t>
      </w:r>
    </w:p>
    <w:p>
      <w:pPr>
        <w:spacing w:after="0" w:line="211"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Section 1 of Article XI of the Registrant's Certificate of the Incorporation provides, in accordance with Section 102(b)(7) of the Delaware General Corporation Law, for the elimination or limitation of the personal liability of a director to the Registrant or its stockholders for monetary damages for breach of fiduciary duty as a director under certain circumstances.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 of Article XI of the Registrant's Certificate of Incorporation mandates indemnification of a director or officer of Registrant or a person serving at the request of the Registrant as a director, officer, employee or agent of another entity to the fullest extent authorized by the Delaware General Corporation Law against expenses, liability and loss and authorizes the Board to express such rights in written contracts.</w:t>
      </w:r>
    </w:p>
    <w:p>
      <w:pPr>
        <w:spacing w:after="0" w:line="210"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The Registrant also maintains liability insurance policies which provide for indemnification of a director or officer of Registrant or a person serving at the request of the Registrant as a director, officer, employee or agent of another entity against certain liabilities under certain circumstances.</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Instruments defining the rights of security holders, including indentures</w:t>
      </w:r>
    </w:p>
    <w:p>
      <w:pPr>
        <w:spacing w:after="0" w:line="206" w:lineRule="exact"/>
        <w:rPr>
          <w:rFonts w:ascii="Courier New" w:cs="Courier New" w:eastAsia="Courier New" w:hAnsi="Courier New"/>
          <w:sz w:val="18"/>
          <w:szCs w:val="18"/>
          <w:color w:val="auto"/>
        </w:rPr>
      </w:pPr>
    </w:p>
    <w:p>
      <w:pPr>
        <w:ind w:left="1060" w:right="19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4(a) Specimen form of Common Stock certificate (incorporated by reference to Exhibit 4(c) to Registrant's Registration Statement on Form S-8, Registration No. 2-94417)</w:t>
      </w:r>
    </w:p>
    <w:p>
      <w:pPr>
        <w:spacing w:after="0" w:line="208" w:lineRule="exact"/>
        <w:rPr>
          <w:rFonts w:ascii="Courier New" w:cs="Courier New" w:eastAsia="Courier New" w:hAnsi="Courier New"/>
          <w:sz w:val="18"/>
          <w:szCs w:val="18"/>
          <w:color w:val="auto"/>
        </w:rPr>
      </w:pPr>
    </w:p>
    <w:p>
      <w:pPr>
        <w:ind w:left="1060" w:right="187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4(b) Certificate of Incorporation of Registrant (incorporated by reference to Exhibit 4.2 to Registrant's Registration Statement on Form S-3, Registration No. 33-16125)</w:t>
      </w:r>
    </w:p>
    <w:p>
      <w:pPr>
        <w:spacing w:after="0" w:line="208" w:lineRule="exact"/>
        <w:rPr>
          <w:rFonts w:ascii="Courier New" w:cs="Courier New" w:eastAsia="Courier New" w:hAnsi="Courier New"/>
          <w:sz w:val="18"/>
          <w:szCs w:val="18"/>
          <w:color w:val="auto"/>
        </w:rPr>
      </w:pPr>
    </w:p>
    <w:p>
      <w:pPr>
        <w:ind w:left="1060" w:right="241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4(c) Certificate of Amendment to Certificate of Incorporation dated December 9, 1986 (incorporated by reference to Exhibit 3 to Registrant's Quarterly Report on Form 10-Q for the quarter ended January 30, 1987, Commission File No. 1-8649)</w:t>
      </w:r>
    </w:p>
    <w:p>
      <w:pPr>
        <w:spacing w:after="0" w:line="207" w:lineRule="exact"/>
        <w:rPr>
          <w:rFonts w:ascii="Courier New" w:cs="Courier New" w:eastAsia="Courier New" w:hAnsi="Courier New"/>
          <w:sz w:val="18"/>
          <w:szCs w:val="18"/>
          <w:color w:val="auto"/>
        </w:rPr>
      </w:pPr>
    </w:p>
    <w:p>
      <w:pPr>
        <w:ind w:left="1060" w:right="1359" w:hanging="527"/>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4(d) Certificate of Designation to Certificate of Incorporation dated May 28, 1998 (incorporated by reference to Exhibit (c)(1) to Registrant's Current Report on Form 8-K dated May 27, 1998, Commission File No. 1-8649)</w:t>
      </w:r>
    </w:p>
    <w:p>
      <w:pPr>
        <w:spacing w:after="0" w:line="178" w:lineRule="exact"/>
        <w:rPr>
          <w:rFonts w:ascii="Courier New" w:cs="Courier New" w:eastAsia="Courier New" w:hAnsi="Courier New"/>
          <w:sz w:val="18"/>
          <w:szCs w:val="18"/>
          <w:color w:val="auto"/>
        </w:rPr>
      </w:pPr>
    </w:p>
    <w:p>
      <w:pPr>
        <w:ind w:left="1060" w:right="177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4(e) Bylaws of Registrant, as amended (incorporated by reference to Exhibit 3(ii) and 4(d) to Registrant's Form 10-Q for the quarter ended April 30, 1999)</w:t>
      </w:r>
    </w:p>
    <w:p>
      <w:pPr>
        <w:spacing w:after="0" w:line="208" w:lineRule="exact"/>
        <w:rPr>
          <w:rFonts w:ascii="Courier New" w:cs="Courier New" w:eastAsia="Courier New" w:hAnsi="Courier New"/>
          <w:sz w:val="18"/>
          <w:szCs w:val="18"/>
          <w:color w:val="auto"/>
        </w:rPr>
      </w:pPr>
    </w:p>
    <w:p>
      <w:pPr>
        <w:ind w:left="1060" w:right="1879" w:hanging="527"/>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4(f) Rights Agreement dated as of May 20, 1998, between the Registrant and Norwest Bank Minnesota National Association, relating to rights to purchase Series B Junior Participating Voting Preferred Stock (incorporated by reference to Exhibit (c)(1) to Registrant's Current Report on Form 8-K dated May 27, 1998, Commission File No. 1-8649).</w:t>
      </w:r>
    </w:p>
    <w:p>
      <w:pPr>
        <w:spacing w:after="0" w:line="184" w:lineRule="exact"/>
        <w:rPr>
          <w:rFonts w:ascii="Courier New" w:cs="Courier New" w:eastAsia="Courier New" w:hAnsi="Courier New"/>
          <w:sz w:val="18"/>
          <w:szCs w:val="18"/>
          <w:color w:val="auto"/>
        </w:rPr>
      </w:pPr>
    </w:p>
    <w:p>
      <w:pPr>
        <w:ind w:left="1060" w:right="2099" w:hanging="52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4(g) Indenture dated as of January 31, 1997 between Registrant and First National Trust Association, as Trustee, relating to Registrant's</w:t>
      </w:r>
    </w:p>
    <w:p>
      <w:pPr>
        <w:jc w:val="both"/>
        <w:ind w:left="1060" w:right="19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7.125% Notes due June 15, 2007 and its 7.80% Debentures due June 15, 2027 (incorporated by reference Exhibit 4(a) to Registrant's Current Report on Form 8-K for June 24, 1997, Commission File No. 1-8649).</w:t>
      </w:r>
    </w:p>
    <w:p>
      <w:pPr>
        <w:spacing w:after="0" w:line="173" w:lineRule="exact"/>
        <w:rPr>
          <w:sz w:val="20"/>
          <w:szCs w:val="20"/>
          <w:color w:val="auto"/>
        </w:rPr>
      </w:pPr>
    </w:p>
    <w:p>
      <w:pPr>
        <w:ind w:left="1060" w:hanging="1052"/>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counsel re legality</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23(a)</w:t>
      </w:r>
      <w:r>
        <w:rPr>
          <w:rFonts w:ascii="Courier New" w:cs="Courier New" w:eastAsia="Courier New" w:hAnsi="Courier New"/>
          <w:sz w:val="16"/>
          <w:szCs w:val="16"/>
          <w:color w:val="auto"/>
        </w:rPr>
        <w:t>Consent of KPMG LLP.</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23(b)</w:t>
      </w:r>
      <w:r>
        <w:rPr>
          <w:rFonts w:ascii="Courier New" w:cs="Courier New" w:eastAsia="Courier New" w:hAnsi="Courier New"/>
          <w:sz w:val="16"/>
          <w:szCs w:val="16"/>
          <w:color w:val="auto"/>
        </w:rPr>
        <w:t>Consent of counsel (contained in Exhibit 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24</w:t>
      </w:r>
      <w:r>
        <w:rPr>
          <w:rFonts w:ascii="Courier New" w:cs="Courier New" w:eastAsia="Courier New" w:hAnsi="Courier New"/>
          <w:sz w:val="16"/>
          <w:szCs w:val="16"/>
          <w:color w:val="auto"/>
        </w:rPr>
        <w:t>Powers of Attorney (contained in signature pages)</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580" w:hanging="1045"/>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415 offering.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1879" w:firstLine="535"/>
        <w:spacing w:after="0" w:line="235"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060" w:right="1779" w:firstLine="1"/>
        <w:spacing w:after="0" w:line="237" w:lineRule="auto"/>
        <w:tabs>
          <w:tab w:leader="none" w:pos="1587"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(unless the information required to be included in a post-effective amendment is contained in periodic reports filed by the Registrant pursuant to section 13 or section 15(d) of the Securities Exchange Act of 1934 that are incorporated by reference in the registration statement);</w:t>
      </w:r>
    </w:p>
    <w:p>
      <w:pPr>
        <w:spacing w:after="0" w:line="209" w:lineRule="exact"/>
        <w:rPr>
          <w:rFonts w:ascii="Courier New" w:cs="Courier New" w:eastAsia="Courier New" w:hAnsi="Courier New"/>
          <w:sz w:val="18"/>
          <w:szCs w:val="18"/>
          <w:color w:val="auto"/>
        </w:rPr>
      </w:pPr>
    </w:p>
    <w:p>
      <w:pPr>
        <w:ind w:left="1060" w:right="1779" w:firstLine="1"/>
        <w:spacing w:after="0" w:line="237" w:lineRule="auto"/>
        <w:tabs>
          <w:tab w:leader="none" w:pos="169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(unless the information required to be included in a post-effective amendment is contained in periodic reports filed by the Registrant pursuant to section 13 or</w:t>
      </w:r>
    </w:p>
    <w:p>
      <w:pPr>
        <w:spacing w:after="0" w:line="8" w:lineRule="exact"/>
        <w:rPr>
          <w:rFonts w:ascii="Courier New" w:cs="Courier New" w:eastAsia="Courier New" w:hAnsi="Courier New"/>
          <w:sz w:val="18"/>
          <w:szCs w:val="18"/>
          <w:color w:val="auto"/>
        </w:rPr>
      </w:pPr>
    </w:p>
    <w:p>
      <w:pPr>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15(d) of the Securities and Exchange Act of 1934 that are incorporated by reference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15" w:lineRule="exact"/>
        <w:rPr>
          <w:rFonts w:ascii="Courier New" w:cs="Courier New" w:eastAsia="Courier New" w:hAnsi="Courier New"/>
          <w:sz w:val="18"/>
          <w:szCs w:val="18"/>
          <w:color w:val="auto"/>
        </w:rPr>
      </w:pPr>
    </w:p>
    <w:p>
      <w:pPr>
        <w:jc w:val="both"/>
        <w:ind w:left="1060" w:right="1779" w:firstLine="1"/>
        <w:spacing w:after="0" w:line="279" w:lineRule="auto"/>
        <w:tabs>
          <w:tab w:leader="none" w:pos="1797"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2"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7"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2419" w:firstLine="535"/>
        <w:spacing w:after="0" w:line="235" w:lineRule="auto"/>
        <w:tabs>
          <w:tab w:leader="none" w:pos="10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Filings incorporating subsequent Securities Exchange Act of 1934 documents by reference.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1440" w:gutter="0" w:footer="0" w:header="0"/>
        </w:sectPr>
      </w:pPr>
    </w:p>
    <w:bookmarkStart w:id="6" w:name="page7"/>
    <w:bookmarkEnd w:id="6"/>
    <w:p>
      <w:pPr>
        <w:ind w:right="1879" w:firstLine="527"/>
        <w:spacing w:after="0" w:line="271"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88" w:lineRule="exact"/>
        <w:rPr>
          <w:sz w:val="20"/>
          <w:szCs w:val="20"/>
          <w:color w:val="auto"/>
        </w:rPr>
      </w:pPr>
    </w:p>
    <w:p>
      <w:pPr>
        <w:ind w:right="1779" w:firstLine="535"/>
        <w:spacing w:after="0" w:line="238"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23" w:right="1440" w:bottom="1440" w:gutter="0" w:footer="0" w:header="0"/>
        </w:sectPr>
      </w:pPr>
    </w:p>
    <w:bookmarkStart w:id="7" w:name="page8"/>
    <w:bookmarkEnd w:id="7"/>
    <w:p>
      <w:pPr>
        <w:ind w:left="402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Bloomington, State of Minnesota on the 16th day of September , 1999.</w:t>
      </w:r>
    </w:p>
    <w:p>
      <w:pPr>
        <w:spacing w:after="0" w:line="200" w:lineRule="exact"/>
        <w:rPr>
          <w:sz w:val="20"/>
          <w:szCs w:val="20"/>
          <w:color w:val="auto"/>
        </w:rPr>
      </w:pP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TORO COMPANY</w:t>
      </w:r>
    </w:p>
    <w:p>
      <w:pPr>
        <w:ind w:left="26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J. Lawrence McIntyre, Vice President,</w:t>
      </w:r>
    </w:p>
    <w:p>
      <w:pPr>
        <w:ind w:left="3060"/>
        <w:spacing w:after="0" w:line="237" w:lineRule="auto"/>
        <w:rPr>
          <w:sz w:val="20"/>
          <w:szCs w:val="20"/>
          <w:color w:val="auto"/>
        </w:rPr>
      </w:pPr>
      <w:r>
        <w:rPr>
          <w:rFonts w:ascii="Courier New" w:cs="Courier New" w:eastAsia="Courier New" w:hAnsi="Courier New"/>
          <w:sz w:val="18"/>
          <w:szCs w:val="18"/>
          <w:color w:val="auto"/>
        </w:rPr>
        <w:t>Secretary and General Counsel</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each person whose signature appears below hereby constitutes and appoints Kendrick B. Melrose, Stephen P. Wolfe and J. Lawrence McIntyre, or any one of them, each with power to act without the other, his true and lawful attorney-in-fact and agent, with full power of substitution and resubstitution for him and in his name, place and stead, in any and all capacities, to sign any and/or all subsequent amendments to this registration statement,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might or could do in person, hereby approving and confirming all that said attorney-in-fact and agent or his substitute or substitutes may lawfully do or cause to be done by virtue hereof.</w:t>
      </w:r>
    </w:p>
    <w:p>
      <w:pPr>
        <w:spacing w:after="0" w:line="208"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3">
            <w:col w:w="3500" w:space="720"/>
            <w:col w:w="2440" w:space="720"/>
            <w:col w:w="2839"/>
          </w:cols>
          <w:pgMar w:left="240" w:top="717" w:right="1440" w:bottom="1440" w:gutter="0" w:footer="0" w:header="0"/>
          <w:type w:val="continuous"/>
        </w:sectPr>
      </w:pPr>
    </w:p>
    <w:p>
      <w:pPr>
        <w:spacing w:after="0" w:line="22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Kendrick B. Melrose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Chief Executive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Officer, President and 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Executive Officer)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16, 1999</w:t>
      </w:r>
    </w:p>
    <w:p>
      <w:pPr>
        <w:spacing w:after="0" w:line="622" w:lineRule="exact"/>
        <w:rPr>
          <w:sz w:val="20"/>
          <w:szCs w:val="20"/>
          <w:color w:val="auto"/>
        </w:rPr>
      </w:pPr>
    </w:p>
    <w:p>
      <w:pPr>
        <w:sectPr>
          <w:pgSz w:w="11900" w:h="16838" w:orient="portrait"/>
          <w:cols w:equalWidth="0" w:num="3">
            <w:col w:w="2440" w:space="720"/>
            <w:col w:w="3480" w:space="220"/>
            <w:col w:w="3359"/>
          </w:cols>
          <w:pgMar w:left="240" w:top="717" w:right="1440" w:bottom="1440" w:gutter="0" w:footer="0" w:header="0"/>
          <w:type w:val="continuous"/>
        </w:sectPr>
      </w:pP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Stephen P. Wolfe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 Finance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and Chief Financial Officer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September 16, 1999</w:t>
      </w:r>
    </w:p>
    <w:p>
      <w:pPr>
        <w:spacing w:after="0" w:line="622" w:lineRule="exact"/>
        <w:rPr>
          <w:sz w:val="20"/>
          <w:szCs w:val="20"/>
          <w:color w:val="auto"/>
        </w:rPr>
      </w:pPr>
    </w:p>
    <w:p>
      <w:pPr>
        <w:sectPr>
          <w:pgSz w:w="11900" w:h="16838" w:orient="portrait"/>
          <w:cols w:equalWidth="0" w:num="3">
            <w:col w:w="2440" w:space="720"/>
            <w:col w:w="3060" w:space="640"/>
            <w:col w:w="3359"/>
          </w:cols>
          <w:pgMar w:left="240" w:top="717" w:right="1440" w:bottom="1440" w:gutter="0" w:footer="0" w:header="0"/>
          <w:type w:val="continuous"/>
        </w:sect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717"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280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Vice President and Controller</w:t>
            </w:r>
          </w:p>
        </w:tc>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w w:val="96"/>
              </w:rPr>
              <w:t>September 16, 1999</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(Principal Accounting Officer)</w:t>
            </w:r>
          </w:p>
        </w:tc>
        <w:tc>
          <w:tcPr>
            <w:tcW w:w="212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Randy B. James</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3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Director</w:t>
            </w:r>
          </w:p>
        </w:tc>
        <w:tc>
          <w:tcPr>
            <w:tcW w:w="212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O. Baukol</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05"/>
        </w:trPr>
        <w:tc>
          <w:tcPr>
            <w:tcW w:w="280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w w:val="96"/>
              </w:rPr>
              <w:t>September 16, 1999</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C. Buhrmaster</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608"/>
        </w:trPr>
        <w:tc>
          <w:tcPr>
            <w:tcW w:w="2800" w:type="dxa"/>
            <w:vAlign w:val="bottom"/>
          </w:tcPr>
          <w:p>
            <w:pPr>
              <w:spacing w:after="0"/>
              <w:rPr>
                <w:sz w:val="24"/>
                <w:szCs w:val="24"/>
                <w:color w:val="auto"/>
              </w:rPr>
            </w:pP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Winslow H. Buxton</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608"/>
        </w:trPr>
        <w:tc>
          <w:tcPr>
            <w:tcW w:w="2800" w:type="dxa"/>
            <w:vAlign w:val="bottom"/>
          </w:tcPr>
          <w:p>
            <w:pPr>
              <w:spacing w:after="0"/>
              <w:rPr>
                <w:sz w:val="24"/>
                <w:szCs w:val="24"/>
                <w:color w:val="auto"/>
              </w:rPr>
            </w:pP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Janet K. Cooper</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608"/>
        </w:trPr>
        <w:tc>
          <w:tcPr>
            <w:tcW w:w="280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w w:val="96"/>
              </w:rPr>
              <w:t>September 16, 1999</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Alex A. Meyer</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05"/>
        </w:trPr>
        <w:tc>
          <w:tcPr>
            <w:tcW w:w="280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w w:val="96"/>
              </w:rPr>
              <w:t>September 16, 1999</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H. Nassau</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608"/>
        </w:trPr>
        <w:tc>
          <w:tcPr>
            <w:tcW w:w="280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w w:val="96"/>
              </w:rPr>
              <w:t>September 16, 1999</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Dale R. Olseth</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608"/>
        </w:trPr>
        <w:tc>
          <w:tcPr>
            <w:tcW w:w="280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w w:val="96"/>
              </w:rPr>
              <w:t>September 16, 1999</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Christopher A. Twomey</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608"/>
        </w:trPr>
        <w:tc>
          <w:tcPr>
            <w:tcW w:w="280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w w:val="96"/>
              </w:rPr>
              <w:t>September 16, 1999</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Gregg W. Steinhafel</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608"/>
        </w:trPr>
        <w:tc>
          <w:tcPr>
            <w:tcW w:w="280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w w:val="96"/>
              </w:rPr>
              <w:t>September 16, 1999</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Edwin H. Wingate</w:t>
            </w:r>
          </w:p>
        </w:tc>
        <w:tc>
          <w:tcPr>
            <w:tcW w:w="3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608"/>
        </w:trPr>
        <w:tc>
          <w:tcPr>
            <w:tcW w:w="2800" w:type="dxa"/>
            <w:vAlign w:val="bottom"/>
          </w:tcPr>
          <w:p>
            <w:pPr>
              <w:spacing w:after="0"/>
              <w:rPr>
                <w:sz w:val="24"/>
                <w:szCs w:val="24"/>
                <w:color w:val="auto"/>
              </w:rPr>
            </w:pPr>
          </w:p>
        </w:tc>
        <w:tc>
          <w:tcPr>
            <w:tcW w:w="3840" w:type="dxa"/>
            <w:vAlign w:val="bottom"/>
          </w:tcPr>
          <w:p>
            <w:pPr>
              <w:ind w:left="1220"/>
              <w:spacing w:after="0"/>
              <w:rPr>
                <w:sz w:val="20"/>
                <w:szCs w:val="20"/>
                <w:color w:val="auto"/>
              </w:rPr>
            </w:pPr>
            <w:r>
              <w:rPr>
                <w:rFonts w:ascii="Courier New" w:cs="Courier New" w:eastAsia="Courier New" w:hAnsi="Courier New"/>
                <w:sz w:val="18"/>
                <w:szCs w:val="18"/>
                <w:color w:val="auto"/>
              </w:rPr>
              <w:t>II-7</w:t>
            </w:r>
          </w:p>
        </w:tc>
        <w:tc>
          <w:tcPr>
            <w:tcW w:w="21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9" w:name="page10"/>
    <w:bookmarkEnd w:id="9"/>
    <w:p>
      <w:pPr>
        <w:ind w:left="5700"/>
        <w:spacing w:after="0"/>
        <w:rPr>
          <w:sz w:val="20"/>
          <w:szCs w:val="20"/>
          <w:color w:val="auto"/>
        </w:rPr>
      </w:pPr>
      <w:r>
        <w:rPr>
          <w:rFonts w:ascii="Courier New" w:cs="Courier New" w:eastAsia="Courier New" w:hAnsi="Courier New"/>
          <w:sz w:val="18"/>
          <w:szCs w:val="18"/>
          <w:color w:val="auto"/>
        </w:rPr>
        <w:t>EXHIBIT 5 &amp; 23(b)</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17,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Toro Company</w:t>
      </w:r>
    </w:p>
    <w:p>
      <w:pPr>
        <w:spacing w:after="0" w:line="238" w:lineRule="auto"/>
        <w:rPr>
          <w:sz w:val="20"/>
          <w:szCs w:val="20"/>
          <w:color w:val="auto"/>
        </w:rPr>
      </w:pPr>
      <w:r>
        <w:rPr>
          <w:rFonts w:ascii="Courier New" w:cs="Courier New" w:eastAsia="Courier New" w:hAnsi="Courier New"/>
          <w:sz w:val="18"/>
          <w:szCs w:val="18"/>
          <w:color w:val="auto"/>
        </w:rPr>
        <w:t>8111 Lyndale Avenue South</w:t>
      </w:r>
    </w:p>
    <w:p>
      <w:pPr>
        <w:spacing w:after="0"/>
        <w:rPr>
          <w:sz w:val="20"/>
          <w:szCs w:val="20"/>
          <w:color w:val="auto"/>
        </w:rPr>
      </w:pPr>
      <w:r>
        <w:rPr>
          <w:rFonts w:ascii="Courier New" w:cs="Courier New" w:eastAsia="Courier New" w:hAnsi="Courier New"/>
          <w:sz w:val="18"/>
          <w:szCs w:val="18"/>
          <w:color w:val="auto"/>
        </w:rPr>
        <w:t>Minneapolis, Minnesota 55420</w:t>
      </w:r>
    </w:p>
    <w:p>
      <w:pPr>
        <w:spacing w:after="0" w:line="20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Registration Statement on Form S-8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 am Vice President, Secretary and General Counsel of The Toro Company (the "Company"). In connection with the Registration Statement on Form S-8 filed by the Company with the Securities and Exchange Commission relating to an aggregate of up to 500,000 shares of Common Stock, $1.00 par value per share (the "Common Stock"), and up to 500,000 related Preferred Share Purchase Rights (the "Rights") of the Company to be offered in connection with The Toro Company Performance Share Plan, please be advised that as counsel to the Company, upon examination of such corporate documents and records as I have deemed necessary or appropriate for the purpose of rendering this opinion, it is my opinion that:</w:t>
      </w:r>
    </w:p>
    <w:p>
      <w:pPr>
        <w:spacing w:after="0" w:line="184" w:lineRule="exact"/>
        <w:rPr>
          <w:sz w:val="20"/>
          <w:szCs w:val="20"/>
          <w:color w:val="auto"/>
        </w:rPr>
      </w:pPr>
    </w:p>
    <w:p>
      <w:pPr>
        <w:ind w:left="540" w:right="1779" w:hanging="5"/>
        <w:spacing w:after="0" w:line="236" w:lineRule="auto"/>
        <w:tabs>
          <w:tab w:leader="none" w:pos="106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being offered by the Company, when issued in accordance with proper corporate authorizations, will be legally issued, fully paid and non-assessable; and</w:t>
      </w:r>
    </w:p>
    <w:p>
      <w:pPr>
        <w:spacing w:after="0" w:line="208" w:lineRule="exact"/>
        <w:rPr>
          <w:rFonts w:ascii="Courier New" w:cs="Courier New" w:eastAsia="Courier New" w:hAnsi="Courier New"/>
          <w:sz w:val="18"/>
          <w:szCs w:val="18"/>
          <w:color w:val="auto"/>
        </w:rPr>
      </w:pPr>
    </w:p>
    <w:p>
      <w:pPr>
        <w:ind w:left="540" w:right="1779" w:hanging="5"/>
        <w:spacing w:after="0" w:line="275" w:lineRule="auto"/>
        <w:tabs>
          <w:tab w:leader="none" w:pos="106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if and when issued as contemplated by the Rights Agreement dated as of May 20, 1998 (the "Rights Agreement"), as it may be amended from time to time, will have been legally issued and entitled to the benefits of the Rights Agreement pursuant to which they will be issued.</w:t>
      </w:r>
    </w:p>
    <w:p>
      <w:pPr>
        <w:spacing w:after="0" w:line="18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 hereby consent to the filing of this opinion as an exhibit to the above-captioned Registration Statement, and to the reference to my name under the heading "Interests of Named Experts and Counsel" contained in the Registration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Lawrence McIntyre</w:t>
      </w:r>
    </w:p>
    <w:p>
      <w:pPr>
        <w:spacing w:after="0" w:line="238" w:lineRule="auto"/>
        <w:rPr>
          <w:sz w:val="20"/>
          <w:szCs w:val="20"/>
          <w:color w:val="auto"/>
        </w:rPr>
      </w:pPr>
      <w:r>
        <w:rPr>
          <w:rFonts w:ascii="Courier New" w:cs="Courier New" w:eastAsia="Courier New" w:hAnsi="Courier New"/>
          <w:sz w:val="18"/>
          <w:szCs w:val="18"/>
          <w:color w:val="auto"/>
        </w:rPr>
        <w:t>Vice President, Secretary</w:t>
      </w:r>
    </w:p>
    <w:p>
      <w:pPr>
        <w:spacing w:after="0"/>
        <w:rPr>
          <w:sz w:val="20"/>
          <w:szCs w:val="20"/>
          <w:color w:val="auto"/>
        </w:rPr>
      </w:pPr>
      <w:r>
        <w:rPr>
          <w:rFonts w:ascii="Courier New" w:cs="Courier New" w:eastAsia="Courier New" w:hAnsi="Courier New"/>
          <w:sz w:val="18"/>
          <w:szCs w:val="18"/>
          <w:color w:val="auto"/>
        </w:rPr>
        <w:t>and General Counsel</w:t>
      </w:r>
    </w:p>
    <w:p>
      <w:pPr>
        <w:sectPr>
          <w:pgSz w:w="11900" w:h="16838" w:orient="portrait"/>
          <w:cols w:equalWidth="0" w:num="1">
            <w:col w:w="10219"/>
          </w:cols>
          <w:pgMar w:left="240" w:top="744" w:right="1440" w:bottom="1440" w:gutter="0" w:footer="0" w:header="0"/>
        </w:sectPr>
      </w:pPr>
    </w:p>
    <w:bookmarkStart w:id="10" w:name="page11"/>
    <w:bookmarkEnd w:id="10"/>
    <w:p>
      <w:pPr>
        <w:ind w:left="6020"/>
        <w:spacing w:after="0"/>
        <w:rPr>
          <w:sz w:val="20"/>
          <w:szCs w:val="20"/>
          <w:color w:val="auto"/>
        </w:rPr>
      </w:pPr>
      <w:r>
        <w:rPr>
          <w:rFonts w:ascii="Courier New" w:cs="Courier New" w:eastAsia="Courier New" w:hAnsi="Courier New"/>
          <w:sz w:val="18"/>
          <w:szCs w:val="18"/>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INDEPENDENT AUDITORS' CONSENT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The Toro Company:</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We consent to the use of our report dated December 11, 1998 incorporated by reference in this Form S-8.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KPMG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Minnesota</w:t>
      </w:r>
    </w:p>
    <w:p>
      <w:pPr>
        <w:spacing w:after="0" w:line="238" w:lineRule="auto"/>
        <w:rPr>
          <w:sz w:val="20"/>
          <w:szCs w:val="20"/>
          <w:color w:val="auto"/>
        </w:rPr>
      </w:pPr>
      <w:r>
        <w:rPr>
          <w:rFonts w:ascii="Courier New" w:cs="Courier New" w:eastAsia="Courier New" w:hAnsi="Courier New"/>
          <w:sz w:val="18"/>
          <w:szCs w:val="18"/>
          <w:color w:val="auto"/>
        </w:rPr>
        <w:t>September 20, 1999</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4"/>
      <w:numFmt w:val="bullet"/>
      <w:start w:val="1"/>
    </w:lvl>
  </w:abstractNum>
  <w:abstractNum w:abstractNumId="3">
    <w:nsid w:val="2EB141F2"/>
    <w:multiLevelType w:val="hybridMultilevel"/>
    <w:lvl w:ilvl="0">
      <w:lvlJc w:val="left"/>
      <w:lvlText w:val="5"/>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Roman"/>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8"/>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2020-02-22T14:52:46Z</dcterms:created>
  <dcterms:modified xsi:type="dcterms:W3CDTF">2020-02-22T14:52:46Z</dcterms:modified>
</cp:coreProperties>
</file>