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54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472"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Happe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05/30/2014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3"/>
        <w:spacing w:after="0"/>
        <w:rPr>
          <w:sz w:val="20"/>
          <w:szCs w:val="20"/>
          <w:color w:val="auto"/>
        </w:rPr>
      </w:pPr>
      <w:r>
        <w:rPr>
          <w:rFonts w:ascii="Arial" w:cs="Arial" w:eastAsia="Arial" w:hAnsi="Arial"/>
          <w:sz w:val="18"/>
          <w:szCs w:val="18"/>
          <w:color w:val="0000FF"/>
        </w:rPr>
        <w:t>Group VP, Res. &amp; Cont.</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472"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472"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05/30/2014</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M</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5,000</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20.365</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18,910.962</w:t>
            </w:r>
            <w:r>
              <w:rPr>
                <w:rFonts w:ascii="Arial" w:cs="Arial" w:eastAsia="Arial" w:hAnsi="Arial"/>
                <w:sz w:val="22"/>
                <w:szCs w:val="22"/>
                <w:color w:val="008000"/>
                <w:w w:val="85"/>
                <w:vertAlign w:val="superscript"/>
              </w:rPr>
              <w:t>(1)</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05/30/2014</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5,000</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64.588</w:t>
            </w:r>
            <w:r>
              <w:rPr>
                <w:rFonts w:ascii="Arial" w:cs="Arial" w:eastAsia="Arial" w:hAnsi="Arial"/>
                <w:sz w:val="22"/>
                <w:szCs w:val="22"/>
                <w:color w:val="008000"/>
                <w:w w:val="89"/>
                <w:vertAlign w:val="superscript"/>
              </w:rPr>
              <w:t>(2)</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13,910.962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3"/>
              </w:rPr>
              <w:t>11,888.25</w:t>
            </w:r>
            <w:r>
              <w:rPr>
                <w:rFonts w:ascii="Arial" w:cs="Arial" w:eastAsia="Arial" w:hAnsi="Arial"/>
                <w:sz w:val="22"/>
                <w:szCs w:val="22"/>
                <w:color w:val="008000"/>
                <w:w w:val="83"/>
                <w:vertAlign w:val="superscript"/>
              </w:rPr>
              <w:t>(3)</w:t>
            </w:r>
          </w:p>
        </w:tc>
        <w:tc>
          <w:tcPr>
            <w:tcW w:w="32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6,496.687</w:t>
            </w:r>
            <w:r>
              <w:rPr>
                <w:rFonts w:ascii="Arial" w:cs="Arial" w:eastAsia="Arial" w:hAnsi="Arial"/>
                <w:sz w:val="22"/>
                <w:szCs w:val="22"/>
                <w:color w:val="008000"/>
                <w:w w:val="85"/>
                <w:vertAlign w:val="superscript"/>
              </w:rPr>
              <w:t>(4)</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20.365</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05/30/2014</w:t>
            </w:r>
          </w:p>
        </w:tc>
        <w:tc>
          <w:tcPr>
            <w:tcW w:w="1140" w:type="dxa"/>
            <w:vAlign w:val="bottom"/>
          </w:tcPr>
          <w:p>
            <w:pPr>
              <w:spacing w:after="0"/>
              <w:rPr>
                <w:sz w:val="12"/>
                <w:szCs w:val="12"/>
                <w:color w:val="auto"/>
              </w:rPr>
            </w:pPr>
          </w:p>
        </w:tc>
        <w:tc>
          <w:tcPr>
            <w:tcW w:w="40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2"/>
                <w:szCs w:val="12"/>
                <w:color w:val="auto"/>
              </w:rPr>
            </w:pPr>
          </w:p>
        </w:tc>
        <w:tc>
          <w:tcPr>
            <w:tcW w:w="700" w:type="dxa"/>
            <w:vAlign w:val="bottom"/>
            <w:gridSpan w:val="2"/>
            <w:vMerge w:val="restart"/>
          </w:tcPr>
          <w:p>
            <w:pPr>
              <w:ind w:left="380"/>
              <w:spacing w:after="0"/>
              <w:rPr>
                <w:sz w:val="20"/>
                <w:szCs w:val="20"/>
                <w:color w:val="auto"/>
              </w:rPr>
            </w:pPr>
            <w:r>
              <w:rPr>
                <w:rFonts w:ascii="Arial" w:cs="Arial" w:eastAsia="Arial" w:hAnsi="Arial"/>
                <w:sz w:val="14"/>
                <w:szCs w:val="14"/>
                <w:color w:val="0000FF"/>
                <w:w w:val="85"/>
              </w:rPr>
              <w:t>5,000</w:t>
            </w: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(5)</w:t>
            </w:r>
          </w:p>
        </w:tc>
        <w:tc>
          <w:tcPr>
            <w:tcW w:w="780" w:type="dxa"/>
            <w:vAlign w:val="bottom"/>
            <w:vMerge w:val="restart"/>
          </w:tcPr>
          <w:p>
            <w:pPr>
              <w:ind w:left="140"/>
              <w:spacing w:after="0"/>
              <w:rPr>
                <w:sz w:val="20"/>
                <w:szCs w:val="20"/>
                <w:color w:val="auto"/>
              </w:rPr>
            </w:pPr>
            <w:r>
              <w:rPr>
                <w:rFonts w:ascii="Arial" w:cs="Arial" w:eastAsia="Arial" w:hAnsi="Arial"/>
                <w:sz w:val="14"/>
                <w:szCs w:val="14"/>
                <w:color w:val="0000FF"/>
                <w:w w:val="88"/>
              </w:rPr>
              <w:t>12/01/2019</w:t>
            </w:r>
          </w:p>
        </w:tc>
        <w:tc>
          <w:tcPr>
            <w:tcW w:w="740" w:type="dxa"/>
            <w:vAlign w:val="bottom"/>
            <w:gridSpan w:val="2"/>
          </w:tcPr>
          <w:p>
            <w:pPr>
              <w:ind w:left="12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jc w:val="right"/>
              <w:ind w:right="55"/>
              <w:spacing w:after="0"/>
              <w:rPr>
                <w:sz w:val="20"/>
                <w:szCs w:val="20"/>
                <w:color w:val="auto"/>
              </w:rPr>
            </w:pPr>
            <w:r>
              <w:rPr>
                <w:rFonts w:ascii="Arial" w:cs="Arial" w:eastAsia="Arial" w:hAnsi="Arial"/>
                <w:sz w:val="18"/>
                <w:szCs w:val="18"/>
                <w:color w:val="0000FF"/>
                <w:w w:val="93"/>
              </w:rPr>
              <w:t>5,000</w:t>
            </w:r>
          </w:p>
        </w:tc>
        <w:tc>
          <w:tcPr>
            <w:tcW w:w="2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vMerge w:val="restart"/>
          </w:tcPr>
          <w:p>
            <w:pPr>
              <w:ind w:left="240"/>
              <w:spacing w:after="0"/>
              <w:rPr>
                <w:sz w:val="20"/>
                <w:szCs w:val="20"/>
                <w:color w:val="auto"/>
              </w:rPr>
            </w:pPr>
            <w:r>
              <w:rPr>
                <w:rFonts w:ascii="Arial" w:cs="Arial" w:eastAsia="Arial" w:hAnsi="Arial"/>
                <w:sz w:val="14"/>
                <w:szCs w:val="14"/>
                <w:color w:val="0000FF"/>
              </w:rPr>
              <w:t>12,000</w:t>
            </w:r>
          </w:p>
        </w:tc>
        <w:tc>
          <w:tcPr>
            <w:tcW w:w="600" w:type="dxa"/>
            <w:vAlign w:val="bottom"/>
            <w:vMerge w:val="restart"/>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20" w:type="dxa"/>
            <w:vAlign w:val="bottom"/>
            <w:vMerge w:val="restart"/>
          </w:tcPr>
          <w:p>
            <w:pPr>
              <w:ind w:left="200"/>
              <w:spacing w:after="0"/>
              <w:rPr>
                <w:sz w:val="20"/>
                <w:szCs w:val="20"/>
                <w:color w:val="auto"/>
              </w:rPr>
            </w:pPr>
            <w:r>
              <w:rPr>
                <w:rFonts w:ascii="Arial" w:cs="Arial" w:eastAsia="Arial" w:hAnsi="Arial"/>
                <w:sz w:val="14"/>
                <w:szCs w:val="14"/>
                <w:color w:val="0000FF"/>
                <w:w w:val="85"/>
              </w:rPr>
              <w:t>Stock</w:t>
            </w:r>
          </w:p>
        </w:tc>
        <w:tc>
          <w:tcPr>
            <w:tcW w:w="2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shares of common stock acquired by the reporting person since the date of his last report: 0.003 shares acquired under The Toro Company Dividend Reinvestment Plan (the "DRIP") on shares held directly and 9.813 shares acquired under the DRIP on 3,071.301 shares of restricted stock. The restricted stock and all related DRIP shares vest in full on the third anniversary of the date of grant, which was March 20, 2012.</w:t>
      </w:r>
    </w:p>
    <w:p>
      <w:pPr>
        <w:spacing w:after="0" w:line="30"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$64.56 to $64.63,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3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his last report: 37.432 net shares acquired under the dividend reinvestment feature of The Toro Company Investment, Savings &amp; ESOP (IS&amp;ESOP) less quarterly non-discretionary administrative fees; and 58.661 shares acquired through issuer annual investment fund contributions to the IS&amp;ESOP.</w:t>
      </w: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20.729 performance share units acquired by the reporting person under the dividend reinvestment feature of The Toro Company Deferred Compensation Plan for Officers since the date of his last report.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December 1, 2009.</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06/03/2014</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47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245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2019-12-17T03:17:16Z</dcterms:created>
  <dcterms:modified xsi:type="dcterms:W3CDTF">2019-12-17T03:17:16Z</dcterms:modified>
</cp:coreProperties>
</file>