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225425</wp:posOffset>
            </wp:positionH>
            <wp:positionV relativeFrom="page">
              <wp:posOffset>662940</wp:posOffset>
            </wp:positionV>
            <wp:extent cx="7098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697230</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111760</wp:posOffset>
            </wp:positionV>
            <wp:extent cx="17659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74295</wp:posOffset>
            </wp:positionV>
            <wp:extent cx="1765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Date of Report (Date of earliest event reported): June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118745</wp:posOffset>
            </wp:positionV>
            <wp:extent cx="1765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TORO COMPANY</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117475</wp:posOffset>
            </wp:positionV>
            <wp:extent cx="1765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85" w:lineRule="exact"/>
        <w:rPr>
          <w:sz w:val="24"/>
          <w:szCs w:val="24"/>
          <w:color w:val="auto"/>
        </w:rPr>
      </w:pPr>
    </w:p>
    <w:tbl>
      <w:tblPr>
        <w:tblLayout w:type="fixed"/>
        <w:tblInd w:w="480" w:type="dxa"/>
        <w:tblCellMar>
          <w:top w:w="0" w:type="dxa"/>
          <w:left w:w="0" w:type="dxa"/>
          <w:bottom w:w="0" w:type="dxa"/>
          <w:right w:w="0" w:type="dxa"/>
        </w:tblCellMar>
      </w:tblPr>
      <w:tr>
        <w:trPr>
          <w:trHeight w:val="246"/>
        </w:trPr>
        <w:tc>
          <w:tcPr>
            <w:tcW w:w="3660" w:type="dxa"/>
            <w:vAlign w:val="bottom"/>
          </w:tcPr>
          <w:p>
            <w:pPr>
              <w:jc w:val="center"/>
              <w:ind w:right="407"/>
              <w:spacing w:after="0"/>
              <w:rPr>
                <w:sz w:val="20"/>
                <w:szCs w:val="20"/>
                <w:color w:val="auto"/>
              </w:rPr>
            </w:pPr>
            <w:r>
              <w:rPr>
                <w:rFonts w:ascii="Arial" w:cs="Arial" w:eastAsia="Arial" w:hAnsi="Arial"/>
                <w:sz w:val="19"/>
                <w:szCs w:val="19"/>
                <w:b w:val="1"/>
                <w:bCs w:val="1"/>
                <w:color w:val="auto"/>
                <w:w w:val="91"/>
              </w:rPr>
              <w:t>Delaware</w:t>
            </w:r>
          </w:p>
        </w:tc>
        <w:tc>
          <w:tcPr>
            <w:tcW w:w="3100" w:type="dxa"/>
            <w:vAlign w:val="bottom"/>
          </w:tcPr>
          <w:p>
            <w:pPr>
              <w:jc w:val="right"/>
              <w:ind w:right="1248"/>
              <w:spacing w:after="0"/>
              <w:rPr>
                <w:sz w:val="20"/>
                <w:szCs w:val="20"/>
                <w:color w:val="auto"/>
              </w:rPr>
            </w:pPr>
            <w:r>
              <w:rPr>
                <w:rFonts w:ascii="Arial" w:cs="Arial" w:eastAsia="Arial" w:hAnsi="Arial"/>
                <w:sz w:val="19"/>
                <w:szCs w:val="19"/>
                <w:b w:val="1"/>
                <w:bCs w:val="1"/>
                <w:color w:val="auto"/>
              </w:rPr>
              <w:t>1-8649</w:t>
            </w:r>
          </w:p>
        </w:tc>
        <w:tc>
          <w:tcPr>
            <w:tcW w:w="3240" w:type="dxa"/>
            <w:vAlign w:val="bottom"/>
          </w:tcPr>
          <w:p>
            <w:pPr>
              <w:jc w:val="center"/>
              <w:ind w:left="548"/>
              <w:spacing w:after="0"/>
              <w:rPr>
                <w:sz w:val="20"/>
                <w:szCs w:val="20"/>
                <w:color w:val="auto"/>
              </w:rPr>
            </w:pPr>
            <w:r>
              <w:rPr>
                <w:rFonts w:ascii="Arial" w:cs="Arial" w:eastAsia="Arial" w:hAnsi="Arial"/>
                <w:sz w:val="19"/>
                <w:szCs w:val="19"/>
                <w:b w:val="1"/>
                <w:bCs w:val="1"/>
                <w:color w:val="auto"/>
                <w:w w:val="90"/>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Arial" w:cs="Arial" w:eastAsia="Arial" w:hAnsi="Arial"/>
                <w:sz w:val="18"/>
                <w:szCs w:val="18"/>
                <w:color w:val="auto"/>
                <w:w w:val="92"/>
              </w:rPr>
              <w:t>(State or other jurisdiction of incorporation)</w:t>
            </w:r>
          </w:p>
        </w:tc>
        <w:tc>
          <w:tcPr>
            <w:tcW w:w="3100" w:type="dxa"/>
            <w:vAlign w:val="bottom"/>
          </w:tcPr>
          <w:p>
            <w:pPr>
              <w:jc w:val="center"/>
              <w:ind w:right="48"/>
              <w:spacing w:after="0"/>
              <w:rPr>
                <w:sz w:val="20"/>
                <w:szCs w:val="20"/>
                <w:color w:val="auto"/>
              </w:rPr>
            </w:pPr>
            <w:r>
              <w:rPr>
                <w:rFonts w:ascii="Arial" w:cs="Arial" w:eastAsia="Arial" w:hAnsi="Arial"/>
                <w:sz w:val="18"/>
                <w:szCs w:val="18"/>
                <w:color w:val="auto"/>
                <w:w w:val="93"/>
              </w:rPr>
              <w:t>(Commission File Number)</w:t>
            </w:r>
          </w:p>
        </w:tc>
        <w:tc>
          <w:tcPr>
            <w:tcW w:w="3240" w:type="dxa"/>
            <w:vAlign w:val="bottom"/>
          </w:tcPr>
          <w:p>
            <w:pPr>
              <w:jc w:val="center"/>
              <w:ind w:left="548"/>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Arial" w:cs="Arial" w:eastAsia="Arial" w:hAnsi="Arial"/>
                <w:sz w:val="19"/>
                <w:szCs w:val="19"/>
                <w:b w:val="1"/>
                <w:bCs w:val="1"/>
                <w:color w:val="auto"/>
                <w:w w:val="8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Arial" w:cs="Arial" w:eastAsia="Arial" w:hAnsi="Arial"/>
                <w:sz w:val="19"/>
                <w:szCs w:val="19"/>
                <w:b w:val="1"/>
                <w:bCs w:val="1"/>
                <w:color w:val="auto"/>
              </w:rPr>
              <w:t>55420</w:t>
            </w:r>
          </w:p>
        </w:tc>
        <w:tc>
          <w:tcPr>
            <w:tcW w:w="0" w:type="dxa"/>
            <w:vAlign w:val="bottom"/>
          </w:tcPr>
          <w:p>
            <w:pPr>
              <w:spacing w:after="0"/>
              <w:rPr>
                <w:sz w:val="1"/>
                <w:szCs w:val="1"/>
                <w:color w:val="auto"/>
              </w:rPr>
            </w:pPr>
          </w:p>
        </w:tc>
      </w:tr>
      <w:tr>
        <w:trPr>
          <w:trHeight w:val="246"/>
        </w:trPr>
        <w:tc>
          <w:tcPr>
            <w:tcW w:w="3660" w:type="dxa"/>
            <w:vAlign w:val="bottom"/>
          </w:tcPr>
          <w:p>
            <w:pPr>
              <w:jc w:val="center"/>
              <w:ind w:right="387"/>
              <w:spacing w:after="0"/>
              <w:rPr>
                <w:sz w:val="20"/>
                <w:szCs w:val="20"/>
                <w:color w:val="auto"/>
              </w:rPr>
            </w:pPr>
            <w:r>
              <w:rPr>
                <w:rFonts w:ascii="Arial" w:cs="Arial" w:eastAsia="Arial" w:hAnsi="Arial"/>
                <w:sz w:val="19"/>
                <w:szCs w:val="19"/>
                <w:b w:val="1"/>
                <w:bCs w:val="1"/>
                <w:color w:val="auto"/>
                <w:w w:val="8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660" w:type="dxa"/>
            <w:vAlign w:val="bottom"/>
          </w:tcPr>
          <w:p>
            <w:pPr>
              <w:jc w:val="center"/>
              <w:ind w:right="387"/>
              <w:spacing w:after="0"/>
              <w:rPr>
                <w:sz w:val="20"/>
                <w:szCs w:val="20"/>
                <w:color w:val="auto"/>
              </w:rPr>
            </w:pPr>
            <w:r>
              <w:rPr>
                <w:rFonts w:ascii="Arial" w:cs="Arial" w:eastAsia="Arial" w:hAnsi="Arial"/>
                <w:sz w:val="18"/>
                <w:szCs w:val="18"/>
                <w:color w:val="auto"/>
                <w:w w:val="92"/>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363"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 xml:space="preserve">Registrant's telephone number, including area code: </w:t>
      </w:r>
      <w:r>
        <w:rPr>
          <w:rFonts w:ascii="Arial" w:cs="Arial" w:eastAsia="Arial" w:hAnsi="Arial"/>
          <w:sz w:val="19"/>
          <w:szCs w:val="19"/>
          <w:b w:val="1"/>
          <w:bCs w:val="1"/>
          <w:color w:val="auto"/>
        </w:rPr>
        <w:t>(952) 888-8801</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Not Applicable</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117475</wp:posOffset>
            </wp:positionV>
            <wp:extent cx="1765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61"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227"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267" w:lineRule="exact"/>
        <w:rPr>
          <w:rFonts w:ascii="MS PGothic" w:cs="MS PGothic" w:eastAsia="MS PGothic" w:hAnsi="MS PGothic"/>
          <w:sz w:val="19"/>
          <w:szCs w:val="19"/>
          <w:color w:val="auto"/>
        </w:rPr>
      </w:pPr>
    </w:p>
    <w:p>
      <w:pPr>
        <w:ind w:right="2560" w:firstLine="8"/>
        <w:spacing w:after="0" w:line="457" w:lineRule="auto"/>
        <w:tabs>
          <w:tab w:leader="none" w:pos="228"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 Securities registered pursuant to Section 12(b) of the Act:</w:t>
      </w:r>
    </w:p>
    <w:tbl>
      <w:tblPr>
        <w:tblLayout w:type="fixed"/>
        <w:tblInd w:w="30" w:type="dxa"/>
        <w:tblCellMar>
          <w:top w:w="0" w:type="dxa"/>
          <w:left w:w="0" w:type="dxa"/>
          <w:bottom w:w="0" w:type="dxa"/>
          <w:right w:w="0" w:type="dxa"/>
        </w:tblCellMar>
      </w:tblPr>
      <w:tr>
        <w:trPr>
          <w:trHeight w:val="207"/>
        </w:trPr>
        <w:tc>
          <w:tcPr>
            <w:tcW w:w="4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3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26"/>
        </w:trPr>
        <w:tc>
          <w:tcPr>
            <w:tcW w:w="41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TTC</w:t>
            </w:r>
          </w:p>
        </w:tc>
        <w:tc>
          <w:tcPr>
            <w:tcW w:w="4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315" w:lineRule="exact"/>
        <w:rPr>
          <w:sz w:val="24"/>
          <w:szCs w:val="24"/>
          <w:color w:val="auto"/>
        </w:rPr>
      </w:pPr>
    </w:p>
    <w:p>
      <w:pPr>
        <w:jc w:val="both"/>
        <w:spacing w:after="0" w:line="276"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2" w:lineRule="exact"/>
        <w:rPr>
          <w:sz w:val="24"/>
          <w:szCs w:val="24"/>
          <w:color w:val="auto"/>
        </w:rPr>
      </w:pPr>
    </w:p>
    <w:p>
      <w:pPr>
        <w:ind w:left="896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24" w:lineRule="exact"/>
        <w:rPr>
          <w:sz w:val="24"/>
          <w:szCs w:val="24"/>
          <w:color w:val="auto"/>
        </w:rPr>
      </w:pPr>
    </w:p>
    <w:p>
      <w:pPr>
        <w:jc w:val="both"/>
        <w:spacing w:after="0" w:line="256"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705485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66675</wp:posOffset>
            </wp:positionV>
            <wp:extent cx="70980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100965</wp:posOffset>
            </wp:positionV>
            <wp:extent cx="7098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On June 8, 2023, The Toro Company announced its earnings for the three and six month periods ended May 5, 2023.</w:t>
      </w: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00" w:type="dxa"/>
            <w:vAlign w:val="bottom"/>
          </w:tcPr>
          <w:p>
            <w:pPr>
              <w:spacing w:after="0"/>
              <w:rPr>
                <w:sz w:val="20"/>
                <w:szCs w:val="20"/>
                <w:color w:val="auto"/>
              </w:rPr>
            </w:pPr>
            <w:r>
              <w:rPr>
                <w:rFonts w:ascii="Arial" w:cs="Arial" w:eastAsia="Arial" w:hAnsi="Arial"/>
                <w:sz w:val="20"/>
                <w:szCs w:val="20"/>
                <w:color w:val="auto"/>
              </w:rPr>
              <w:t>(d)  Exhibits.</w:t>
            </w:r>
          </w:p>
        </w:tc>
        <w:tc>
          <w:tcPr>
            <w:tcW w:w="4280" w:type="dxa"/>
            <w:vAlign w:val="bottom"/>
          </w:tcPr>
          <w:p>
            <w:pPr>
              <w:spacing w:after="0"/>
              <w:rPr>
                <w:sz w:val="21"/>
                <w:szCs w:val="21"/>
                <w:color w:val="auto"/>
              </w:rPr>
            </w:pPr>
          </w:p>
        </w:tc>
        <w:tc>
          <w:tcPr>
            <w:tcW w:w="4560" w:type="dxa"/>
            <w:vAlign w:val="bottom"/>
          </w:tcPr>
          <w:p>
            <w:pPr>
              <w:spacing w:after="0"/>
              <w:rPr>
                <w:sz w:val="21"/>
                <w:szCs w:val="21"/>
                <w:color w:val="auto"/>
              </w:rPr>
            </w:pPr>
          </w:p>
        </w:tc>
      </w:tr>
      <w:tr>
        <w:trPr>
          <w:trHeight w:val="486"/>
        </w:trPr>
        <w:tc>
          <w:tcPr>
            <w:tcW w:w="2400" w:type="dxa"/>
            <w:vAlign w:val="bottom"/>
          </w:tcPr>
          <w:p>
            <w:pPr>
              <w:ind w:left="220"/>
              <w:spacing w:after="0"/>
              <w:rPr>
                <w:sz w:val="20"/>
                <w:szCs w:val="20"/>
                <w:color w:val="auto"/>
              </w:rPr>
            </w:pPr>
            <w:r>
              <w:rPr>
                <w:rFonts w:ascii="Arial" w:cs="Arial" w:eastAsia="Arial" w:hAnsi="Arial"/>
                <w:sz w:val="20"/>
                <w:szCs w:val="20"/>
                <w:b w:val="1"/>
                <w:bCs w:val="1"/>
                <w:color w:val="auto"/>
              </w:rPr>
              <w:t>Exhibit No.</w:t>
            </w:r>
          </w:p>
        </w:tc>
        <w:tc>
          <w:tcPr>
            <w:tcW w:w="8840" w:type="dxa"/>
            <w:vAlign w:val="bottom"/>
            <w:gridSpan w:val="2"/>
          </w:tcPr>
          <w:p>
            <w:pPr>
              <w:spacing w:after="0"/>
              <w:rPr>
                <w:sz w:val="20"/>
                <w:szCs w:val="20"/>
                <w:color w:val="auto"/>
              </w:rPr>
            </w:pPr>
            <w:r>
              <w:rPr>
                <w:rFonts w:ascii="Arial" w:cs="Arial" w:eastAsia="Arial" w:hAnsi="Arial"/>
                <w:sz w:val="20"/>
                <w:szCs w:val="20"/>
                <w:b w:val="1"/>
                <w:bCs w:val="1"/>
                <w:color w:val="auto"/>
              </w:rPr>
              <w:t>Description</w:t>
            </w:r>
          </w:p>
        </w:tc>
      </w:tr>
      <w:tr>
        <w:trPr>
          <w:trHeight w:val="212"/>
        </w:trPr>
        <w:tc>
          <w:tcPr>
            <w:tcW w:w="2400" w:type="dxa"/>
            <w:vAlign w:val="bottom"/>
          </w:tcPr>
          <w:p>
            <w:pPr>
              <w:ind w:left="220"/>
              <w:spacing w:after="0" w:line="212" w:lineRule="exact"/>
              <w:rPr>
                <w:sz w:val="20"/>
                <w:szCs w:val="20"/>
                <w:color w:val="auto"/>
              </w:rPr>
            </w:pPr>
            <w:r>
              <w:rPr>
                <w:rFonts w:ascii="Arial" w:cs="Arial" w:eastAsia="Arial" w:hAnsi="Arial"/>
                <w:sz w:val="20"/>
                <w:szCs w:val="20"/>
                <w:color w:val="auto"/>
              </w:rPr>
              <w:t>99.1</w:t>
            </w:r>
          </w:p>
        </w:tc>
        <w:tc>
          <w:tcPr>
            <w:tcW w:w="4280" w:type="dxa"/>
            <w:vAlign w:val="bottom"/>
            <w:tcBorders>
              <w:bottom w:val="single" w:sz="8" w:color="0000FF"/>
            </w:tcBorders>
          </w:tcPr>
          <w:p>
            <w:pPr>
              <w:spacing w:after="0" w:line="212" w:lineRule="exact"/>
              <w:rPr>
                <w:sz w:val="20"/>
                <w:szCs w:val="20"/>
                <w:color w:val="auto"/>
              </w:rPr>
            </w:pPr>
            <w:r>
              <w:rPr>
                <w:rFonts w:ascii="Arial" w:cs="Arial" w:eastAsia="Arial" w:hAnsi="Arial"/>
                <w:sz w:val="20"/>
                <w:szCs w:val="20"/>
                <w:color w:val="0000FF"/>
                <w:w w:val="87"/>
              </w:rPr>
              <w:t>Press release dated June 8, 2023 (furnished herewith).</w:t>
            </w:r>
          </w:p>
        </w:tc>
        <w:tc>
          <w:tcPr>
            <w:tcW w:w="4560" w:type="dxa"/>
            <w:vAlign w:val="bottom"/>
          </w:tcPr>
          <w:p>
            <w:pPr>
              <w:spacing w:after="0"/>
              <w:rPr>
                <w:sz w:val="18"/>
                <w:szCs w:val="18"/>
                <w:color w:val="auto"/>
              </w:rPr>
            </w:pPr>
          </w:p>
        </w:tc>
      </w:tr>
      <w:tr>
        <w:trPr>
          <w:trHeight w:val="281"/>
        </w:trPr>
        <w:tc>
          <w:tcPr>
            <w:tcW w:w="2400" w:type="dxa"/>
            <w:vAlign w:val="bottom"/>
          </w:tcPr>
          <w:p>
            <w:pPr>
              <w:ind w:left="220"/>
              <w:spacing w:after="0"/>
              <w:rPr>
                <w:sz w:val="20"/>
                <w:szCs w:val="20"/>
                <w:color w:val="auto"/>
              </w:rPr>
            </w:pPr>
            <w:r>
              <w:rPr>
                <w:rFonts w:ascii="Arial" w:cs="Arial" w:eastAsia="Arial" w:hAnsi="Arial"/>
                <w:sz w:val="20"/>
                <w:szCs w:val="20"/>
                <w:color w:val="auto"/>
              </w:rPr>
              <w:t>104</w:t>
            </w:r>
          </w:p>
        </w:tc>
        <w:tc>
          <w:tcPr>
            <w:tcW w:w="8840" w:type="dxa"/>
            <w:vAlign w:val="bottom"/>
            <w:gridSpan w:val="2"/>
          </w:tcPr>
          <w:p>
            <w:pPr>
              <w:spacing w:after="0"/>
              <w:rPr>
                <w:sz w:val="20"/>
                <w:szCs w:val="20"/>
                <w:color w:val="auto"/>
              </w:rPr>
            </w:pPr>
            <w:r>
              <w:rPr>
                <w:rFonts w:ascii="Arial" w:cs="Arial" w:eastAsia="Arial" w:hAnsi="Arial"/>
                <w:sz w:val="20"/>
                <w:szCs w:val="20"/>
                <w:color w:val="auto"/>
              </w:rPr>
              <w:t>Cover Page Interactive Data File (embedded within the Inline XBRL document).</w:t>
            </w:r>
          </w:p>
        </w:tc>
      </w:tr>
      <w:tr>
        <w:trPr>
          <w:trHeight w:val="1461"/>
        </w:trPr>
        <w:tc>
          <w:tcPr>
            <w:tcW w:w="240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20"/>
          <w:szCs w:val="20"/>
          <w:color w:val="auto"/>
        </w:rPr>
        <w:t>SIGNATURES</w:t>
      </w:r>
    </w:p>
    <w:p>
      <w:pPr>
        <w:spacing w:after="0" w:line="25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58" w:lineRule="exact"/>
        <w:rPr>
          <w:sz w:val="20"/>
          <w:szCs w:val="20"/>
          <w:color w:val="auto"/>
        </w:rPr>
      </w:pPr>
    </w:p>
    <w:p>
      <w:pPr>
        <w:ind w:left="6360"/>
        <w:spacing w:after="0"/>
        <w:rPr>
          <w:sz w:val="20"/>
          <w:szCs w:val="20"/>
          <w:color w:val="auto"/>
        </w:rPr>
      </w:pPr>
      <w:r>
        <w:rPr>
          <w:rFonts w:ascii="Arial" w:cs="Arial" w:eastAsia="Arial" w:hAnsi="Arial"/>
          <w:sz w:val="20"/>
          <w:szCs w:val="20"/>
          <w:color w:val="auto"/>
        </w:rPr>
        <w:t>THE TORO COMPANY</w:t>
      </w:r>
    </w:p>
    <w:p>
      <w:pPr>
        <w:spacing w:after="0" w:line="20" w:lineRule="exact"/>
        <w:rPr>
          <w:sz w:val="20"/>
          <w:szCs w:val="20"/>
          <w:color w:val="auto"/>
        </w:rPr>
      </w:pPr>
    </w:p>
    <w:p>
      <w:pPr>
        <w:ind w:left="6360"/>
        <w:spacing w:after="0"/>
        <w:rPr>
          <w:sz w:val="20"/>
          <w:szCs w:val="20"/>
          <w:color w:val="auto"/>
        </w:rPr>
      </w:pPr>
      <w:r>
        <w:rPr>
          <w:rFonts w:ascii="Arial" w:cs="Arial" w:eastAsia="Arial" w:hAnsi="Arial"/>
          <w:sz w:val="20"/>
          <w:szCs w:val="20"/>
          <w:color w:val="auto"/>
        </w:rPr>
        <w:t>(Registrant)</w:t>
      </w:r>
    </w:p>
    <w:p>
      <w:pPr>
        <w:spacing w:after="0" w:line="289" w:lineRule="exact"/>
        <w:rPr>
          <w:sz w:val="20"/>
          <w:szCs w:val="20"/>
          <w:color w:val="auto"/>
        </w:rPr>
      </w:pPr>
    </w:p>
    <w:p>
      <w:pPr>
        <w:ind w:left="40"/>
        <w:spacing w:after="0"/>
        <w:tabs>
          <w:tab w:leader="none" w:pos="6340" w:val="left"/>
        </w:tabs>
        <w:rPr>
          <w:sz w:val="20"/>
          <w:szCs w:val="20"/>
          <w:color w:val="auto"/>
        </w:rPr>
      </w:pPr>
      <w:r>
        <w:rPr>
          <w:rFonts w:ascii="Arial" w:cs="Arial" w:eastAsia="Arial" w:hAnsi="Arial"/>
          <w:sz w:val="20"/>
          <w:szCs w:val="20"/>
          <w:color w:val="auto"/>
        </w:rPr>
        <w:t>Date: June 8, 2023</w:t>
      </w:r>
      <w:r>
        <w:rPr>
          <w:sz w:val="20"/>
          <w:szCs w:val="20"/>
          <w:color w:val="auto"/>
        </w:rPr>
        <w:tab/>
      </w:r>
      <w:r>
        <w:rPr>
          <w:rFonts w:ascii="Arial" w:cs="Arial" w:eastAsia="Arial" w:hAnsi="Arial"/>
          <w:sz w:val="16"/>
          <w:szCs w:val="16"/>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19050</wp:posOffset>
            </wp:positionV>
            <wp:extent cx="31032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0" w:lineRule="exact"/>
        <w:rPr>
          <w:sz w:val="20"/>
          <w:szCs w:val="20"/>
          <w:color w:val="auto"/>
        </w:rPr>
      </w:pPr>
    </w:p>
    <w:p>
      <w:pPr>
        <w:ind w:left="6360"/>
        <w:spacing w:after="0"/>
        <w:rPr>
          <w:sz w:val="20"/>
          <w:szCs w:val="20"/>
          <w:color w:val="auto"/>
        </w:rPr>
      </w:pPr>
      <w:r>
        <w:rPr>
          <w:rFonts w:ascii="Arial" w:cs="Arial" w:eastAsia="Arial" w:hAnsi="Arial"/>
          <w:sz w:val="20"/>
          <w:szCs w:val="20"/>
          <w:color w:val="auto"/>
        </w:rPr>
        <w:t>Angela C. Drake</w:t>
      </w:r>
    </w:p>
    <w:p>
      <w:pPr>
        <w:spacing w:after="0" w:line="20" w:lineRule="exact"/>
        <w:rPr>
          <w:sz w:val="20"/>
          <w:szCs w:val="20"/>
          <w:color w:val="auto"/>
        </w:rPr>
      </w:pPr>
    </w:p>
    <w:p>
      <w:pPr>
        <w:ind w:left="6360"/>
        <w:spacing w:after="0"/>
        <w:rPr>
          <w:sz w:val="20"/>
          <w:szCs w:val="20"/>
          <w:color w:val="auto"/>
        </w:rPr>
      </w:pPr>
      <w:r>
        <w:rPr>
          <w:rFonts w:ascii="Arial" w:cs="Arial" w:eastAsia="Arial" w:hAnsi="Arial"/>
          <w:sz w:val="20"/>
          <w:szCs w:val="20"/>
          <w:color w:val="auto"/>
        </w:rPr>
        <w:t>Vice President, Chief Financial Officer</w:t>
      </w:r>
    </w:p>
    <w:p>
      <w:pPr>
        <w:sectPr>
          <w:pgSz w:w="11900" w:h="16838" w:orient="portrait"/>
          <w:cols w:equalWidth="0" w:num="1">
            <w:col w:w="11000"/>
          </w:cols>
          <w:pgMar w:left="320" w:top="892" w:right="5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994410" cy="65151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Jeremy Steffan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887-7962, </w:t>
      </w:r>
      <w:r>
        <w:rPr>
          <w:rFonts w:ascii="Arial" w:cs="Arial" w:eastAsia="Arial" w:hAnsi="Arial"/>
          <w:sz w:val="18"/>
          <w:szCs w:val="18"/>
          <w:u w:val="single" w:color="auto"/>
          <w:color w:val="0000FF"/>
        </w:rPr>
        <w:t>jeremy.steffan@toro.com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 Reports Record Results for the Second-Quarter of Fiscal 2023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Driven by Strong Professional Segment Performance and Continued Production Improvements</w:t>
      </w:r>
    </w:p>
    <w:p>
      <w:pPr>
        <w:spacing w:after="0" w:line="200" w:lineRule="exact"/>
        <w:rPr>
          <w:sz w:val="20"/>
          <w:szCs w:val="20"/>
          <w:color w:val="auto"/>
        </w:rPr>
      </w:pPr>
    </w:p>
    <w:p>
      <w:pPr>
        <w:spacing w:after="0" w:line="27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Record second-quarter net sales of $1.34 billion, up 7% year over year</w:t>
      </w:r>
    </w:p>
    <w:p>
      <w:pPr>
        <w:spacing w:after="0" w:line="13" w:lineRule="exact"/>
        <w:rPr>
          <w:rFonts w:ascii="Arial" w:cs="Arial" w:eastAsia="Arial" w:hAnsi="Arial"/>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Record second-quarter reported diluted EPS of $1.59, up 28% year over year</w:t>
      </w: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Record second-quarter *adjusted diluted EPS of $1.58, up 26% year over year</w:t>
      </w: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Full-year fiscal 2023 net sales and *adjusted diluted EPS guidance ranges narrowed</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b w:val="1"/>
          <w:bCs w:val="1"/>
          <w:color w:val="auto"/>
        </w:rPr>
        <w:t>BLOOMINGTON, Minn.—(BUSINESS WIRE) — June 8, 2023—</w:t>
      </w:r>
      <w:r>
        <w:rPr>
          <w:rFonts w:ascii="Arial" w:cs="Arial" w:eastAsia="Arial" w:hAnsi="Arial"/>
          <w:sz w:val="20"/>
          <w:szCs w:val="20"/>
          <w:color w:val="auto"/>
        </w:rPr>
        <w:t>The Toro Company (NYSE: TTC) today reported results for its</w:t>
      </w:r>
      <w:r>
        <w:rPr>
          <w:rFonts w:ascii="Arial" w:cs="Arial" w:eastAsia="Arial" w:hAnsi="Arial"/>
          <w:sz w:val="20"/>
          <w:szCs w:val="20"/>
          <w:b w:val="1"/>
          <w:bCs w:val="1"/>
          <w:color w:val="auto"/>
        </w:rPr>
        <w:t xml:space="preserve"> </w:t>
      </w:r>
      <w:r>
        <w:rPr>
          <w:rFonts w:ascii="Arial" w:cs="Arial" w:eastAsia="Arial" w:hAnsi="Arial"/>
          <w:sz w:val="20"/>
          <w:szCs w:val="20"/>
          <w:color w:val="auto"/>
        </w:rPr>
        <w:t>fiscal second-quarter ended May 5, 2023.</w:t>
      </w:r>
    </w:p>
    <w:p>
      <w:pPr>
        <w:spacing w:after="0" w:line="125"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“We continued our strong momentum in the second quarter, and delivered record top and bottom-line results,” said Richard M. Olson, chairman and chief executive officer. “These results were driven by our professional segment, where continued demand, operational execution, and supply chain improvements drove broad sales volume gains and increased profitability. In our residential segment, sales volume and earnings were pressured by unfavorable weather patterns and macroeconomic factors. Once again, the strength of our diversified portfolio, growing scale, and disciplined team drove positive results overall.”</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SECOND-QUARTER FISCAL 2023 FINANCIAL HIGHLIGHTS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rPr>
              <w:t>Reported</w:t>
            </w: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w w:val="98"/>
              </w:rPr>
              <w:t>Adjusted*</w:t>
            </w:r>
          </w:p>
        </w:tc>
        <w:tc>
          <w:tcPr>
            <w:tcW w:w="1300" w:type="dxa"/>
            <w:vAlign w:val="bottom"/>
            <w:tcBorders>
              <w:bottom w:val="single" w:sz="8" w:color="auto"/>
            </w:tcBorders>
          </w:tcPr>
          <w:p>
            <w:pPr>
              <w:spacing w:after="0"/>
              <w:rPr>
                <w:sz w:val="18"/>
                <w:szCs w:val="18"/>
                <w:color w:val="auto"/>
              </w:rPr>
            </w:pPr>
          </w:p>
        </w:tc>
      </w:tr>
      <w:tr>
        <w:trPr>
          <w:trHeight w:val="219"/>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9"/>
              </w:rPr>
              <w:t>(dollars in millions, except per share data)</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FY23 Q2</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w w:val="99"/>
              </w:rPr>
              <w:t>FY22 Q2</w:t>
            </w: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w w:val="94"/>
              </w:rPr>
              <w:t>% Change</w:t>
            </w: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FY23 Q2</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w w:val="99"/>
              </w:rPr>
              <w:t>FY22 Q2</w:t>
            </w:r>
          </w:p>
        </w:tc>
        <w:tc>
          <w:tcPr>
            <w:tcW w:w="1300" w:type="dxa"/>
            <w:vAlign w:val="bottom"/>
            <w:tcBorders>
              <w:bottom w:val="single" w:sz="8" w:color="auto"/>
            </w:tcBorders>
          </w:tcPr>
          <w:p>
            <w:pPr>
              <w:jc w:val="right"/>
              <w:ind w:right="377"/>
              <w:spacing w:after="0"/>
              <w:rPr>
                <w:sz w:val="20"/>
                <w:szCs w:val="20"/>
                <w:color w:val="auto"/>
              </w:rPr>
            </w:pPr>
            <w:r>
              <w:rPr>
                <w:rFonts w:ascii="Arial" w:cs="Arial" w:eastAsia="Arial" w:hAnsi="Arial"/>
                <w:sz w:val="17"/>
                <w:szCs w:val="17"/>
                <w:b w:val="1"/>
                <w:bCs w:val="1"/>
                <w:color w:val="auto"/>
                <w:w w:val="99"/>
              </w:rPr>
              <w:t>% Change</w:t>
            </w: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1,339.3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1,249.5</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7 %</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1,249.5</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7 %</w:t>
            </w:r>
          </w:p>
        </w:tc>
      </w:tr>
      <w:tr>
        <w:trPr>
          <w:trHeight w:val="214"/>
        </w:trPr>
        <w:tc>
          <w:tcPr>
            <w:tcW w:w="344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167.5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131.1</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2"/>
              </w:rPr>
              <w:t>28 %</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166.4</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132.1</w:t>
            </w:r>
          </w:p>
        </w:tc>
        <w:tc>
          <w:tcPr>
            <w:tcW w:w="1300" w:type="dxa"/>
            <w:vAlign w:val="bottom"/>
          </w:tcPr>
          <w:p>
            <w:pPr>
              <w:jc w:val="right"/>
              <w:spacing w:after="0"/>
              <w:rPr>
                <w:sz w:val="20"/>
                <w:szCs w:val="20"/>
                <w:color w:val="auto"/>
              </w:rPr>
            </w:pPr>
            <w:r>
              <w:rPr>
                <w:rFonts w:ascii="Arial" w:cs="Arial" w:eastAsia="Arial" w:hAnsi="Arial"/>
                <w:sz w:val="17"/>
                <w:szCs w:val="17"/>
                <w:color w:val="auto"/>
              </w:rPr>
              <w:t>26 %</w:t>
            </w:r>
          </w:p>
        </w:tc>
      </w:tr>
      <w:tr>
        <w:trPr>
          <w:trHeight w:val="231"/>
        </w:trPr>
        <w:tc>
          <w:tcPr>
            <w:tcW w:w="3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EPS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1.59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9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28 %</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1.25</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26 %</w:t>
            </w: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SECOND-QUARTER FISCAL 2023 SEGMENT RESULTS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 Segment</w:t>
      </w:r>
    </w:p>
    <w:p>
      <w:pPr>
        <w:spacing w:after="0" w:line="185" w:lineRule="exact"/>
        <w:rPr>
          <w:sz w:val="20"/>
          <w:szCs w:val="20"/>
          <w:color w:val="auto"/>
        </w:rPr>
      </w:pPr>
    </w:p>
    <w:p>
      <w:pPr>
        <w:jc w:val="both"/>
        <w:ind w:left="660" w:hanging="328"/>
        <w:spacing w:after="0" w:line="243"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Professional segment net sales for the second quarter were $1,068.7 million, up 15.4% from $925.8 million in the same period last year. The increase was primarily driven by higher shipments of products broadly across the segment, with notable strength for construction, and golf and grounds products, and net price realization.</w:t>
      </w:r>
    </w:p>
    <w:p>
      <w:pPr>
        <w:spacing w:after="0" w:line="165" w:lineRule="exact"/>
        <w:rPr>
          <w:rFonts w:ascii="Arial" w:cs="Arial" w:eastAsia="Arial" w:hAnsi="Arial"/>
          <w:sz w:val="20"/>
          <w:szCs w:val="20"/>
          <w:color w:val="auto"/>
        </w:rPr>
      </w:pPr>
    </w:p>
    <w:p>
      <w:pPr>
        <w:jc w:val="both"/>
        <w:ind w:left="660" w:hanging="328"/>
        <w:spacing w:after="0" w:line="242"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Professional segment earnings for the second quarter were $227.5 million, up 37.6% from $165.4 million in the same period last year, and when expressed as a percentage of net sales, 21.3%, up from 17.9% in the prior-year period. The increase was primarily due to net price realization, favorable product mix, productivity improvements, and net sales leverage, partially offset by higher material and manufacturing costs.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Segment</w:t>
      </w:r>
    </w:p>
    <w:p>
      <w:pPr>
        <w:spacing w:after="0" w:line="199" w:lineRule="exact"/>
        <w:rPr>
          <w:sz w:val="20"/>
          <w:szCs w:val="20"/>
          <w:color w:val="auto"/>
        </w:rPr>
      </w:pPr>
    </w:p>
    <w:p>
      <w:pPr>
        <w:jc w:val="both"/>
        <w:ind w:left="660" w:hanging="328"/>
        <w:spacing w:after="0" w:line="243"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Residential segment net sales for the second quarter were $265.8 million, down 16.8% from $319.7 million in the same period last year. The decrease was primarily driven by lower shipments of products broadly across the segment, partially offset by net price realization.</w:t>
      </w:r>
    </w:p>
    <w:p>
      <w:pPr>
        <w:spacing w:after="0" w:line="151" w:lineRule="exact"/>
        <w:rPr>
          <w:rFonts w:ascii="Arial" w:cs="Arial" w:eastAsia="Arial" w:hAnsi="Arial"/>
          <w:sz w:val="20"/>
          <w:szCs w:val="20"/>
          <w:color w:val="auto"/>
        </w:rPr>
      </w:pPr>
    </w:p>
    <w:p>
      <w:pPr>
        <w:jc w:val="both"/>
        <w:ind w:left="660" w:hanging="328"/>
        <w:spacing w:after="0" w:line="246"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Residential segment earnings for the second quarter were $22.7 million, down 38.7% from $37.1 million in the same period last year, and when expressed as a percentage of net sales, 8.6%, down from 11.6% in the prior-year period. The decrease was primarily driven by lower sales volume, higher marketing expense, and higher manufacturing costs, partially offset by net price realization, and lower freight costs.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18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Gross margin and *adjusted gross margin were both 35.8%, compared with 32.4% and 32.5%, respectively, for the same prior-year period. The increase in gross margin was primarily due to net price realization, favorable product mix, and productivity improvements, partially offset by higher material and manufacturing costs.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SG&amp;A expense as a percentage of net sales for the second quarter was 19.5%, compared with 18.7% in the prior-year period.</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The increase was primarily due to higher marketing expense, partially offset by net sales leverage.</w:t>
      </w:r>
    </w:p>
    <w:p>
      <w:pPr>
        <w:spacing w:after="0" w:line="16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Operating earnings as a percentage of net sales were 16.3% for the second quarter, compared with 13.7% in the same prior-year period. *Adjusted operating earnings as a percentage of net sales for the second quarter were 16.3%, compared with 13.8% in the same prior-year period.</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Interest expense was $14.7 million for the second quarter, up $6.7 million. This increase was primarily driven by higher average interest rates.</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reported effective tax rate for the second quarter was 20.6%, flat with 20.6% in the same prior year period. The *adjusted effective tax rate for the second quarter was 21.1% compared with 20.8% in the same prior year period.</w:t>
      </w:r>
    </w:p>
    <w:p>
      <w:pPr>
        <w:sectPr>
          <w:pgSz w:w="11900" w:h="16838" w:orient="portrait"/>
          <w:cols w:equalWidth="0" w:num="1">
            <w:col w:w="11240"/>
          </w:cols>
          <w:pgMar w:left="320" w:top="1178"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19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“We enter the second half of fiscal 2023 with continuing strong demand and substantial order backlog for our professional segment products in construction, and golf and grounds markets, as well as indications of a steadily improving supply chain,” said Olson. “We expect this will drive our performance in the second half, with a continuation of improved production rates for key categories as we focus on optimizing output to better serve our customers. Even with production improvements, given the pace of new orders we expect our backlog level to remain elevated throughout and beyond this fiscal year. For the residential segment, we expect sales volume in the second half to be challenged by macroeconomic uncertainty and consumer spending patterns, and to also reflect the impact of the unfavorable weather year to date. Importantly, we expect the benefits from this segment’s refreshed product lineup, expanded channel, and strong brand to continue to drive competitive advantage for the long term.</w:t>
      </w:r>
    </w:p>
    <w:p>
      <w:pPr>
        <w:spacing w:after="0" w:line="20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“We have a long track record of managing through economic cycles and weather patterns with agility and resiliency, bolstered by our leadership in attractive end markets and our ability to leverage innovation and synergies across our broad portfolio. These factors, along with our talented team and best-in-class distribution and service networks, give us confidence in our ability to execute well through a range of possible macroeconomic outcomes for the remainder of the year and beyond. We believe we are well positioned to enhance our market leadership and deliver value for all stakeholders now and into the future, guided by our enterprise strategic priorities of accelerating profitable growth, driving productivity and operational excellence, and empowering people."</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For fiscal 2023, management is narrowing guidance, and now expects net sales growth in the range of 7% to 8% and *adjusted diluted EPS in the range of $4.70 to $4.80. The estimated *adjusted diluted EPS range excludes the tax benefits recorded as excess tax deductions for stock compensation. This updated guidance is based on current visibility in this evolving and dynamic macro environment, and reflects expectations for continued strong demand across key professional segment markets, reduced volume for solutions geared to homeowners, and continued operational execution. This guidance also assumes steady supply chain improvement, the return to a more typical distribution of quarterly sales, and more normalized weather patterns for the remainder of the year.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*Non-GAAP financial measure. Please refer to the “Use of Non-GAAP Financial Information” for details regarding these measures, as well as the tables provided for a reconciliation of historical non-GAAP financial measures to the most comparable GAAP measures.</w:t>
      </w:r>
    </w:p>
    <w:p>
      <w:pPr>
        <w:sectPr>
          <w:pgSz w:w="11900" w:h="16838" w:orient="portrait"/>
          <w:cols w:equalWidth="0" w:num="1">
            <w:col w:w="11240"/>
          </w:cols>
          <w:pgMar w:left="320" w:top="1178"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LIVE CONFERENCE CALL</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June 8, 2023 at 10:00 a.m. CDT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Toro Company will conduct its earnings call and webcast for investors beginning at 10:00 a.m. CDT on June 8, 2023. The webcast will be available at www.thetorocompany.com/invest. Webcast participants will need to complete a brief registration form and should allocate extra time before the webcast begins to register and, if necessary, install audio software.</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net sales of $4.5 billion in fiscal 2022, The Toro Company’s global presence extends to more than 125 countries through a family of brands that includes Toro, Ditch Witch, Exmark, Spartan Mowers, BOSS Snowplow, Ventrac, American Augers, Trencor, Pope, Subsite Electronics, HammerHead, Radius HDD, Perrot, Hayter,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20"/>
          <w:szCs w:val="20"/>
          <w:u w:val="single" w:color="auto"/>
          <w:color w:val="0000FF"/>
        </w:rPr>
        <w:t>www.thetorocompany.com</w:t>
      </w:r>
      <w:r>
        <w:rPr>
          <w:rFonts w:ascii="Arial" w:cs="Arial" w:eastAsia="Arial" w:hAnsi="Arial"/>
          <w:sz w:val="20"/>
          <w:szCs w:val="20"/>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99"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This press release and our related earnings call reference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our related earnings call that are utilized as measures of our operating performance consist of gross profit, gross margin, operating earnings, earnings before income taxes, net earnings, diluted EPS, and the effective tax rate, each as adjusted. The non-GAAP financial measures included within this press release and our related earnings call that are utilized as measures of our liquidity consist of free cash flow and free cash flow conversion percentage.</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Toro Company uses these non-GAAP financial measures in making operating decisions and assessing liquidity because it believes these non-GAAP financial measures provide meaningful supplemental information regarding core operational performance and cash flows, as a measure of the company's liquidity, and provide the company with a better understanding of how to allocate resources to both ongoing and prospective business initiatives. Additionally, these non-GAAP financial measures facilitate the company's internal comparisons for both historical operating results and competitors' operating results by factoring out potential differences caused by charges and benefits not related to its regular, ongoing business, including, without limitation, certain non-cash, large, and/or unpredictable charges and benefits; acquisitions and dispositions; legal judgments, settlements, or other matters; and tax positions. The company believes that these non-GAAP financial measures, when considered in conjunction with the financial measures prepared in accordance with U.S. GAAP, provide investors with useful supplemental financial information to better understand its core operational performance and cash flows.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Reconciliations of historical non-GAAP financial measures to the most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the company’s related earnings call. These non-GAAP financial measures may differ from similar measures used by other companies.</w:t>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Toro Company does not provide a quantitative reconciliation of the company’s projected range for adjusted diluted EPS for fiscal 2023 to diluted EPS, which is the most directly comparable GAAP measure, in reliance on the unreasonable efforts exception provided under Item 10(e)(1)(i)(B) of Regulation S-K. The company’s adjusted diluted EPS guidance for fiscal 2023 excludes certain items that are inherently uncertain and difficult</w:t>
      </w:r>
    </w:p>
    <w:p>
      <w:pPr>
        <w:sectPr>
          <w:pgSz w:w="11900" w:h="16838" w:orient="portrait"/>
          <w:cols w:equalWidth="0" w:num="1">
            <w:col w:w="11240"/>
          </w:cols>
          <w:pgMar w:left="320" w:top="1178" w:right="339" w:bottom="1440" w:gutter="0" w:footer="0" w:header="0"/>
        </w:sectPr>
      </w:pPr>
    </w:p>
    <w:bookmarkStart w:id="7" w:name="page8"/>
    <w:bookmarkEnd w:id="7"/>
    <w:p>
      <w:pPr>
        <w:jc w:val="both"/>
        <w:spacing w:after="0"/>
        <w:rPr>
          <w:sz w:val="20"/>
          <w:szCs w:val="20"/>
          <w:color w:val="auto"/>
        </w:rPr>
      </w:pPr>
      <w:r>
        <w:rPr>
          <w:rFonts w:ascii="Arial" w:cs="Arial" w:eastAsia="Arial" w:hAnsi="Arial"/>
          <w:sz w:val="20"/>
          <w:szCs w:val="20"/>
          <w:color w:val="auto"/>
        </w:rPr>
        <w:t>to predict, including certain non-cash, large and/or unpredictable charges and benefits; acquisitions and dispositions; legal judgments, settlements, or other matters; and tax positions. Due to the uncertainty of the amount or timing of these future excluded items, management does not forecast them for internal use and therefore cannot create a quantitative adjusted diluted EPS for fiscal 2023 to diluted EPS reconciliation without unreasonable efforts. A quantitative reconciliation of adjusted diluted EPS for fiscal 2023 to diluted EPS would imply a degree of precision and certainty as to these future items that does not exist and could be confusing to investors. From a qualitative perspective, it is anticipated that the differences between adjusted diluted EPS for fiscal 2023 to diluted EPS will consist of items similar to those described in the financial tables later in this release, including, for example and without limitation, certain non-cash, large, and/or unpredictable charges and benefits; acquisitions and dispositions; legal judgments, settlements, or other matters; and tax positions. The timing and amount of any of these excluded items could significantly impact the company’s diluted EPS for a particular period.</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“encourage,” “anticipate,” “continue,” “plan,” “estimate,” “project,” “target,” “improve,” “believe,” “become,” “should,” “could,” “will,” “would,” “possible,” “promise,” “may,” “likely,” “intend,” “can,” “seek,” “pursue,” “potential,” “pro forma,” variations of such words or the negative thereof, and similar expressions or future dates. Forward-looking statements involve risks and uncertainties that could cause actual events and results to differ materially from those projected or implied. Forward-looking statements in this release include the company’s fiscal 2023 financial guidance, and expectations for strong demand across key professional markets, normalized seasonal demand patterns for residential and landscape contractor solutions and continued operational execution, as well as supply chain improvement throughout the year, with a return to a more typical distribution of quarterly sales. Particular risks and uncertainties that may affect the company’s operating results or financial position include: adverse worldwide economic conditions, including inflationary pressures; disruption at or in proximity to its facilities or in its manufacturing or other operations, or those in its distribution channel customers, mass retailers or home centers where its products are sold, or suppliers; fluctuations in the cost and availability of commodities, components, parts, and accessories, including steel, engines, hydraulics and resins; COVID-19 related factors, risks and challenges; the effect of abnormal weather patterns; the effect of natural disasters, social unrest, war and global pandemics; the level of growth or contraction in its key markets; customer, government and municipal revenue, budget, spending levels and cash conservation efforts; loss of any substantial customer; inventory adjustments or changes in purchasing patterns by customers; the company’s ability to develop and achieve market acceptance for new products; increased competition; the risks attendant to international relations, operations and markets; foreign currency exchange rate fluctuations; financial viability of and/or relationships with the company’s distribution channel partners; risks associated with acquisitions and dispositions, including the company's acquisition of Intimidator Group; impairment of goodwill or other intangible assets; impacts of any restructuring activities; management of alliances or joint ventures, including Red Iron Acceptance, LLC; impact of laws, regulations and standards, consumer product safety, accounting, taxation, trade, tariffs and/or antidumping and countervailing duties petitions, healthcare, and environmental, health and safety matters; unforeseen product quality problems; loss of or changes in executive management or key employees; the occurrence of litigation or claims, including those involving intellectual property or product liability matters; impact of increased scrutiny on its environmental, social, and governance practices; and other risks and uncertainties described in the company’s most recent annual report on Form 10-K, subsequent quarterly reports on Form 10-Q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240"/>
          </w:cols>
          <w:pgMar w:left="320" w:top="77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Earnings (Unaudited)</w:t>
      </w:r>
    </w:p>
    <w:p>
      <w:pPr>
        <w:jc w:val="center"/>
        <w:spacing w:after="0"/>
        <w:rPr>
          <w:sz w:val="20"/>
          <w:szCs w:val="20"/>
          <w:color w:val="auto"/>
        </w:rPr>
      </w:pPr>
      <w:r>
        <w:rPr>
          <w:rFonts w:ascii="Arial" w:cs="Arial" w:eastAsia="Arial" w:hAnsi="Arial"/>
          <w:sz w:val="20"/>
          <w:szCs w:val="20"/>
          <w:b w:val="1"/>
          <w:bCs w:val="1"/>
          <w:color w:val="auto"/>
        </w:rPr>
        <w:t>(Dollars and shares in thousands, except per-share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717"/>
              <w:spacing w:after="0"/>
              <w:rPr>
                <w:sz w:val="20"/>
                <w:szCs w:val="20"/>
                <w:color w:val="auto"/>
              </w:rPr>
            </w:pPr>
            <w:r>
              <w:rPr>
                <w:rFonts w:ascii="Arial" w:cs="Arial" w:eastAsia="Arial" w:hAnsi="Arial"/>
                <w:sz w:val="17"/>
                <w:szCs w:val="17"/>
                <w:b w:val="1"/>
                <w:bCs w:val="1"/>
                <w:color w:val="auto"/>
              </w:rPr>
              <w:t>Six Months Ended</w:t>
            </w:r>
          </w:p>
        </w:tc>
      </w:tr>
      <w:tr>
        <w:trPr>
          <w:trHeight w:val="216"/>
        </w:trPr>
        <w:tc>
          <w:tcPr>
            <w:tcW w:w="5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b w:val="1"/>
                <w:bCs w:val="1"/>
                <w:color w:val="auto"/>
                <w:w w:val="97"/>
              </w:rPr>
              <w:t>May 5, 2023</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w w:val="94"/>
              </w:rPr>
              <w:t>April 29, 2022</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b w:val="1"/>
                <w:bCs w:val="1"/>
                <w:color w:val="auto"/>
                <w:w w:val="99"/>
              </w:rPr>
              <w:t>May 5, 2023</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w w:val="94"/>
              </w:rPr>
              <w:t>April 29, 2022</w:t>
            </w:r>
          </w:p>
        </w:tc>
      </w:tr>
      <w:tr>
        <w:trPr>
          <w:trHeight w:val="209"/>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2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1,339,326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1,249,478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2,488,166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2,182,128</w:t>
            </w:r>
          </w:p>
        </w:tc>
      </w:tr>
      <w:tr>
        <w:trPr>
          <w:trHeight w:val="22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 of sales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859,605</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844,109</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1,612,521</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1,476,283</w:t>
            </w: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479,721</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405,369</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875,645</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705,845</w:t>
            </w:r>
          </w:p>
        </w:tc>
      </w:tr>
      <w:tr>
        <w:trPr>
          <w:trHeight w:val="214"/>
        </w:trPr>
        <w:tc>
          <w:tcPr>
            <w:tcW w:w="5140" w:type="dxa"/>
            <w:vAlign w:val="bottom"/>
          </w:tcPr>
          <w:p>
            <w:pPr>
              <w:ind w:left="140"/>
              <w:spacing w:after="0"/>
              <w:rPr>
                <w:sz w:val="20"/>
                <w:szCs w:val="20"/>
                <w:color w:val="auto"/>
              </w:rPr>
            </w:pPr>
            <w:r>
              <w:rPr>
                <w:rFonts w:ascii="Arial" w:cs="Arial" w:eastAsia="Arial" w:hAnsi="Arial"/>
                <w:sz w:val="17"/>
                <w:szCs w:val="17"/>
                <w:color w:val="auto"/>
              </w:rPr>
              <w:t>Gross margin</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35.8 %</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32.4 %</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35.2 %</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32.3 %</w:t>
            </w:r>
          </w:p>
        </w:tc>
      </w:tr>
      <w:tr>
        <w:trPr>
          <w:trHeight w:val="225"/>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260,925</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234,792</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520,422</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443,642</w:t>
            </w:r>
          </w:p>
        </w:tc>
      </w:tr>
      <w:tr>
        <w:trPr>
          <w:trHeight w:val="214"/>
        </w:trPr>
        <w:tc>
          <w:tcPr>
            <w:tcW w:w="5140" w:type="dxa"/>
            <w:vAlign w:val="bottom"/>
          </w:tcPr>
          <w:p>
            <w:pPr>
              <w:ind w:left="140"/>
              <w:spacing w:after="0"/>
              <w:rPr>
                <w:sz w:val="20"/>
                <w:szCs w:val="20"/>
                <w:color w:val="auto"/>
              </w:rPr>
            </w:pPr>
            <w:r>
              <w:rPr>
                <w:rFonts w:ascii="Arial" w:cs="Arial" w:eastAsia="Arial" w:hAnsi="Arial"/>
                <w:sz w:val="17"/>
                <w:szCs w:val="17"/>
                <w:color w:val="auto"/>
              </w:rPr>
              <w:t>Operating earnings</w:t>
            </w:r>
          </w:p>
        </w:tc>
        <w:tc>
          <w:tcPr>
            <w:tcW w:w="280" w:type="dxa"/>
            <w:vAlign w:val="bottom"/>
          </w:tcPr>
          <w:p>
            <w:pPr>
              <w:spacing w:after="0"/>
              <w:rPr>
                <w:sz w:val="18"/>
                <w:szCs w:val="18"/>
                <w:color w:val="auto"/>
              </w:rPr>
            </w:pPr>
          </w:p>
        </w:tc>
        <w:tc>
          <w:tcPr>
            <w:tcW w:w="1280" w:type="dxa"/>
            <w:vAlign w:val="bottom"/>
          </w:tcPr>
          <w:p>
            <w:pPr>
              <w:jc w:val="right"/>
              <w:ind w:right="177"/>
              <w:spacing w:after="0"/>
              <w:rPr>
                <w:sz w:val="20"/>
                <w:szCs w:val="20"/>
                <w:color w:val="auto"/>
              </w:rPr>
            </w:pPr>
            <w:r>
              <w:rPr>
                <w:rFonts w:ascii="Arial" w:cs="Arial" w:eastAsia="Arial" w:hAnsi="Arial"/>
                <w:sz w:val="17"/>
                <w:szCs w:val="17"/>
                <w:color w:val="auto"/>
              </w:rPr>
              <w:t>218,796</w:t>
            </w:r>
          </w:p>
        </w:tc>
        <w:tc>
          <w:tcPr>
            <w:tcW w:w="200" w:type="dxa"/>
            <w:vAlign w:val="bottom"/>
          </w:tcPr>
          <w:p>
            <w:pPr>
              <w:spacing w:after="0"/>
              <w:rPr>
                <w:sz w:val="18"/>
                <w:szCs w:val="18"/>
                <w:color w:val="auto"/>
              </w:rPr>
            </w:pPr>
          </w:p>
        </w:tc>
        <w:tc>
          <w:tcPr>
            <w:tcW w:w="1320" w:type="dxa"/>
            <w:vAlign w:val="bottom"/>
          </w:tcPr>
          <w:p>
            <w:pPr>
              <w:jc w:val="right"/>
              <w:ind w:right="177"/>
              <w:spacing w:after="0"/>
              <w:rPr>
                <w:sz w:val="20"/>
                <w:szCs w:val="20"/>
                <w:color w:val="auto"/>
              </w:rPr>
            </w:pPr>
            <w:r>
              <w:rPr>
                <w:rFonts w:ascii="Arial" w:cs="Arial" w:eastAsia="Arial" w:hAnsi="Arial"/>
                <w:sz w:val="17"/>
                <w:szCs w:val="17"/>
                <w:color w:val="auto"/>
              </w:rPr>
              <w:t>170,577</w:t>
            </w:r>
          </w:p>
        </w:tc>
        <w:tc>
          <w:tcPr>
            <w:tcW w:w="240" w:type="dxa"/>
            <w:vAlign w:val="bottom"/>
          </w:tcPr>
          <w:p>
            <w:pPr>
              <w:spacing w:after="0"/>
              <w:rPr>
                <w:sz w:val="18"/>
                <w:szCs w:val="18"/>
                <w:color w:val="auto"/>
              </w:rPr>
            </w:pPr>
          </w:p>
        </w:tc>
        <w:tc>
          <w:tcPr>
            <w:tcW w:w="1280" w:type="dxa"/>
            <w:vAlign w:val="bottom"/>
          </w:tcPr>
          <w:p>
            <w:pPr>
              <w:jc w:val="right"/>
              <w:ind w:right="177"/>
              <w:spacing w:after="0"/>
              <w:rPr>
                <w:sz w:val="20"/>
                <w:szCs w:val="20"/>
                <w:color w:val="auto"/>
              </w:rPr>
            </w:pPr>
            <w:r>
              <w:rPr>
                <w:rFonts w:ascii="Arial" w:cs="Arial" w:eastAsia="Arial" w:hAnsi="Arial"/>
                <w:sz w:val="17"/>
                <w:szCs w:val="17"/>
                <w:color w:val="auto"/>
              </w:rPr>
              <w:t>355,223</w:t>
            </w:r>
          </w:p>
        </w:tc>
        <w:tc>
          <w:tcPr>
            <w:tcW w:w="200" w:type="dxa"/>
            <w:vAlign w:val="bottom"/>
          </w:tcPr>
          <w:p>
            <w:pPr>
              <w:spacing w:after="0"/>
              <w:rPr>
                <w:sz w:val="18"/>
                <w:szCs w:val="18"/>
                <w:color w:val="auto"/>
              </w:rPr>
            </w:pPr>
          </w:p>
        </w:tc>
        <w:tc>
          <w:tcPr>
            <w:tcW w:w="1260" w:type="dxa"/>
            <w:vAlign w:val="bottom"/>
          </w:tcPr>
          <w:p>
            <w:pPr>
              <w:jc w:val="right"/>
              <w:ind w:right="97"/>
              <w:spacing w:after="0"/>
              <w:rPr>
                <w:sz w:val="20"/>
                <w:szCs w:val="20"/>
                <w:color w:val="auto"/>
              </w:rPr>
            </w:pPr>
            <w:r>
              <w:rPr>
                <w:rFonts w:ascii="Arial" w:cs="Arial" w:eastAsia="Arial" w:hAnsi="Arial"/>
                <w:sz w:val="17"/>
                <w:szCs w:val="17"/>
                <w:color w:val="auto"/>
              </w:rPr>
              <w:t>262,203</w:t>
            </w:r>
          </w:p>
        </w:tc>
      </w:tr>
      <w:tr>
        <w:trPr>
          <w:trHeight w:val="218"/>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(14,711)</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(8,024)</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(28,835)</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(15,037)</w:t>
            </w:r>
          </w:p>
        </w:tc>
      </w:tr>
      <w:tr>
        <w:trPr>
          <w:trHeight w:val="22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income, net</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6,734</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2,503</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15,745</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5,037</w:t>
            </w:r>
          </w:p>
        </w:tc>
      </w:tr>
      <w:tr>
        <w:trPr>
          <w:trHeight w:val="216"/>
        </w:trPr>
        <w:tc>
          <w:tcPr>
            <w:tcW w:w="5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Earnings before income taxes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210,819</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165,056</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342,133</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252,203</w:t>
            </w:r>
          </w:p>
        </w:tc>
      </w:tr>
      <w:tr>
        <w:trPr>
          <w:trHeight w:val="214"/>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Provision for income taxes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43,354</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33,931</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67,808</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51,568</w:t>
            </w:r>
          </w:p>
        </w:tc>
      </w:tr>
      <w:tr>
        <w:trPr>
          <w:trHeight w:val="243"/>
        </w:trPr>
        <w:tc>
          <w:tcPr>
            <w:tcW w:w="51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Net earnings</w:t>
            </w:r>
          </w:p>
        </w:tc>
        <w:tc>
          <w:tcPr>
            <w:tcW w:w="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167,465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131,125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274,325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200,635</w:t>
            </w: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48"/>
        </w:trPr>
        <w:tc>
          <w:tcPr>
            <w:tcW w:w="5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08"/>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Basic net earnings per share of common stock</w:t>
            </w:r>
          </w:p>
        </w:tc>
        <w:tc>
          <w:tcPr>
            <w:tcW w:w="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1.60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1.25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1.91</w:t>
            </w:r>
          </w:p>
        </w:tc>
      </w:tr>
      <w:tr>
        <w:trPr>
          <w:trHeight w:val="90"/>
        </w:trPr>
        <w:tc>
          <w:tcPr>
            <w:tcW w:w="5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r>
      <w:tr>
        <w:trPr>
          <w:trHeight w:val="217"/>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Diluted net earnings per share of common stock</w:t>
            </w:r>
          </w:p>
        </w:tc>
        <w:tc>
          <w:tcPr>
            <w:tcW w:w="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1.24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2.60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1.89</w:t>
            </w:r>
          </w:p>
        </w:tc>
      </w:tr>
      <w:tr>
        <w:trPr>
          <w:trHeight w:val="94"/>
        </w:trPr>
        <w:tc>
          <w:tcPr>
            <w:tcW w:w="5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Weighted-average number of shares of common stock outstanding — Basic</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104,650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104,928</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104,574</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104,982</w:t>
            </w:r>
          </w:p>
        </w:tc>
      </w:tr>
      <w:tr>
        <w:trPr>
          <w:trHeight w:val="108"/>
        </w:trPr>
        <w:tc>
          <w:tcPr>
            <w:tcW w:w="5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175"/>
        </w:trPr>
        <w:tc>
          <w:tcPr>
            <w:tcW w:w="514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w w:val="97"/>
              </w:rPr>
              <w:t>Weighted-average number of shares of common stock outstanding —</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4"/>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Diluted</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105,571</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105,746</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105,573</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105,894</w:t>
            </w: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Segment Data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557"/>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637"/>
              <w:spacing w:after="0"/>
              <w:rPr>
                <w:sz w:val="20"/>
                <w:szCs w:val="20"/>
                <w:color w:val="auto"/>
              </w:rPr>
            </w:pPr>
            <w:r>
              <w:rPr>
                <w:rFonts w:ascii="Arial" w:cs="Arial" w:eastAsia="Arial" w:hAnsi="Arial"/>
                <w:sz w:val="17"/>
                <w:szCs w:val="17"/>
                <w:b w:val="1"/>
                <w:bCs w:val="1"/>
                <w:color w:val="auto"/>
              </w:rPr>
              <w:t>Six Months Ended</w:t>
            </w:r>
          </w:p>
        </w:tc>
      </w:tr>
      <w:tr>
        <w:trPr>
          <w:trHeight w:val="216"/>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net sales</w:t>
            </w:r>
          </w:p>
        </w:tc>
        <w:tc>
          <w:tcPr>
            <w:tcW w:w="17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w w:val="97"/>
              </w:rPr>
              <w:t>May 5, 2023</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93"/>
              </w:rPr>
              <w:t>April 29, 2022</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w w:val="95"/>
              </w:rPr>
              <w:t>May 5, 2023</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w w:val="91"/>
              </w:rPr>
              <w:t>April 29, 2022</w:t>
            </w:r>
          </w:p>
        </w:tc>
      </w:tr>
      <w:tr>
        <w:trPr>
          <w:trHeight w:val="209"/>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1,068,733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925,810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1,949,393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1,598,695</w:t>
            </w:r>
          </w:p>
        </w:tc>
      </w:tr>
      <w:tr>
        <w:trPr>
          <w:trHeight w:val="214"/>
        </w:trPr>
        <w:tc>
          <w:tcPr>
            <w:tcW w:w="398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1760" w:type="dxa"/>
            <w:vAlign w:val="bottom"/>
          </w:tcPr>
          <w:p>
            <w:pPr>
              <w:spacing w:after="0"/>
              <w:rPr>
                <w:sz w:val="18"/>
                <w:szCs w:val="18"/>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265,836</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319,675</w:t>
            </w:r>
          </w:p>
        </w:tc>
        <w:tc>
          <w:tcPr>
            <w:tcW w:w="260" w:type="dxa"/>
            <w:vAlign w:val="bottom"/>
          </w:tcPr>
          <w:p>
            <w:pPr>
              <w:spacing w:after="0"/>
              <w:rPr>
                <w:sz w:val="18"/>
                <w:szCs w:val="18"/>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530,451</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575,077</w:t>
            </w:r>
          </w:p>
        </w:tc>
      </w:tr>
      <w:tr>
        <w:trPr>
          <w:trHeight w:val="225"/>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7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4,757</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3,993</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8,322</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8,356</w:t>
            </w:r>
          </w:p>
        </w:tc>
      </w:tr>
      <w:tr>
        <w:trPr>
          <w:trHeight w:val="214"/>
        </w:trPr>
        <w:tc>
          <w:tcPr>
            <w:tcW w:w="39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net sales*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1,339,326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1,249,478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2,488,166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2,182,128</w:t>
            </w:r>
          </w:p>
        </w:tc>
      </w:tr>
      <w:tr>
        <w:trPr>
          <w:trHeight w:val="22"/>
        </w:trPr>
        <w:tc>
          <w:tcPr>
            <w:tcW w:w="39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74"/>
        </w:trPr>
        <w:tc>
          <w:tcPr>
            <w:tcW w:w="398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208"/>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*Includes international net sales of:</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276,385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245,671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521,722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440,657</w:t>
            </w: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ind w:right="577"/>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ind w:left="540"/>
              <w:spacing w:after="0"/>
              <w:rPr>
                <w:sz w:val="20"/>
                <w:szCs w:val="20"/>
                <w:color w:val="auto"/>
              </w:rPr>
            </w:pPr>
            <w:r>
              <w:rPr>
                <w:rFonts w:ascii="Arial" w:cs="Arial" w:eastAsia="Arial" w:hAnsi="Arial"/>
                <w:sz w:val="17"/>
                <w:szCs w:val="17"/>
                <w:b w:val="1"/>
                <w:bCs w:val="1"/>
                <w:color w:val="auto"/>
              </w:rPr>
              <w:t>Six Months Ended</w:t>
            </w:r>
          </w:p>
        </w:tc>
      </w:tr>
      <w:tr>
        <w:trPr>
          <w:trHeight w:val="212"/>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earnings (loss) before income taxes</w:t>
            </w:r>
          </w:p>
        </w:tc>
        <w:tc>
          <w:tcPr>
            <w:tcW w:w="1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w w:val="97"/>
              </w:rPr>
              <w:t>May 5, 2023</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w w:val="93"/>
              </w:rPr>
              <w:t>April 29, 2022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w w:val="95"/>
              </w:rPr>
              <w:t>May 5, 2023</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w w:val="93"/>
              </w:rPr>
              <w:t>April 29, 2022</w:t>
            </w: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227,496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165,370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371,572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258,642</w:t>
            </w:r>
          </w:p>
        </w:tc>
      </w:tr>
      <w:tr>
        <w:trPr>
          <w:trHeight w:val="214"/>
        </w:trPr>
        <w:tc>
          <w:tcPr>
            <w:tcW w:w="436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1380" w:type="dxa"/>
            <w:vAlign w:val="bottom"/>
          </w:tcPr>
          <w:p>
            <w:pPr>
              <w:spacing w:after="0"/>
              <w:rPr>
                <w:sz w:val="18"/>
                <w:szCs w:val="18"/>
                <w:color w:val="auto"/>
              </w:rPr>
            </w:pPr>
          </w:p>
        </w:tc>
        <w:tc>
          <w:tcPr>
            <w:tcW w:w="1220" w:type="dxa"/>
            <w:vAlign w:val="bottom"/>
          </w:tcPr>
          <w:p>
            <w:pPr>
              <w:jc w:val="right"/>
              <w:ind w:right="37"/>
              <w:spacing w:after="0"/>
              <w:rPr>
                <w:sz w:val="20"/>
                <w:szCs w:val="20"/>
                <w:color w:val="auto"/>
              </w:rPr>
            </w:pPr>
            <w:r>
              <w:rPr>
                <w:rFonts w:ascii="Arial" w:cs="Arial" w:eastAsia="Arial" w:hAnsi="Arial"/>
                <w:sz w:val="17"/>
                <w:szCs w:val="17"/>
                <w:color w:val="auto"/>
              </w:rPr>
              <w:t>22,731</w:t>
            </w:r>
          </w:p>
        </w:tc>
        <w:tc>
          <w:tcPr>
            <w:tcW w:w="180" w:type="dxa"/>
            <w:vAlign w:val="bottom"/>
          </w:tcPr>
          <w:p>
            <w:pPr>
              <w:spacing w:after="0"/>
              <w:rPr>
                <w:sz w:val="18"/>
                <w:szCs w:val="18"/>
                <w:color w:val="auto"/>
              </w:rPr>
            </w:pPr>
          </w:p>
        </w:tc>
        <w:tc>
          <w:tcPr>
            <w:tcW w:w="1240" w:type="dxa"/>
            <w:vAlign w:val="bottom"/>
          </w:tcPr>
          <w:p>
            <w:pPr>
              <w:jc w:val="right"/>
              <w:ind w:right="37"/>
              <w:spacing w:after="0"/>
              <w:rPr>
                <w:sz w:val="20"/>
                <w:szCs w:val="20"/>
                <w:color w:val="auto"/>
              </w:rPr>
            </w:pPr>
            <w:r>
              <w:rPr>
                <w:rFonts w:ascii="Arial" w:cs="Arial" w:eastAsia="Arial" w:hAnsi="Arial"/>
                <w:sz w:val="17"/>
                <w:szCs w:val="17"/>
                <w:color w:val="auto"/>
              </w:rPr>
              <w:t>37,095</w:t>
            </w:r>
          </w:p>
        </w:tc>
        <w:tc>
          <w:tcPr>
            <w:tcW w:w="240" w:type="dxa"/>
            <w:vAlign w:val="bottom"/>
          </w:tcPr>
          <w:p>
            <w:pPr>
              <w:spacing w:after="0"/>
              <w:rPr>
                <w:sz w:val="18"/>
                <w:szCs w:val="18"/>
                <w:color w:val="auto"/>
              </w:rPr>
            </w:pPr>
          </w:p>
        </w:tc>
        <w:tc>
          <w:tcPr>
            <w:tcW w:w="1200" w:type="dxa"/>
            <w:vAlign w:val="bottom"/>
          </w:tcPr>
          <w:p>
            <w:pPr>
              <w:jc w:val="right"/>
              <w:ind w:right="37"/>
              <w:spacing w:after="0"/>
              <w:rPr>
                <w:sz w:val="20"/>
                <w:szCs w:val="20"/>
                <w:color w:val="auto"/>
              </w:rPr>
            </w:pPr>
            <w:r>
              <w:rPr>
                <w:rFonts w:ascii="Arial" w:cs="Arial" w:eastAsia="Arial" w:hAnsi="Arial"/>
                <w:sz w:val="17"/>
                <w:szCs w:val="17"/>
                <w:color w:val="auto"/>
              </w:rPr>
              <w:t>60,563</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68,855</w:t>
            </w:r>
          </w:p>
        </w:tc>
      </w:tr>
      <w:tr>
        <w:trPr>
          <w:trHeight w:val="216"/>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(39,408)</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(37,409)</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7"/>
                <w:szCs w:val="17"/>
                <w:color w:val="auto"/>
                <w:w w:val="97"/>
              </w:rPr>
              <w:t>(90,002)</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(75,294)</w:t>
            </w:r>
          </w:p>
        </w:tc>
      </w:tr>
      <w:tr>
        <w:trPr>
          <w:trHeight w:val="218"/>
        </w:trPr>
        <w:tc>
          <w:tcPr>
            <w:tcW w:w="43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segment earnings before income taxes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210,819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165,056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342,133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252,203</w:t>
            </w:r>
          </w:p>
        </w:tc>
      </w:tr>
      <w:tr>
        <w:trPr>
          <w:trHeight w:val="27"/>
        </w:trPr>
        <w:tc>
          <w:tcPr>
            <w:tcW w:w="4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ectPr>
          <w:pgSz w:w="11900" w:h="16838" w:orient="portrait"/>
          <w:cols w:equalWidth="0" w:num="1">
            <w:col w:w="11200"/>
          </w:cols>
          <w:pgMar w:left="340" w:top="940"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 (Unaudited)</w:t>
      </w: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2800" w:type="dxa"/>
            <w:vAlign w:val="bottom"/>
            <w:tcBorders>
              <w:top w:val="single" w:sz="8" w:color="auto"/>
              <w:bottom w:val="single" w:sz="8" w:color="auto"/>
            </w:tcBorders>
          </w:tcPr>
          <w:p>
            <w:pPr>
              <w:spacing w:after="0"/>
              <w:rPr>
                <w:sz w:val="20"/>
                <w:szCs w:val="20"/>
                <w:color w:val="auto"/>
              </w:rPr>
            </w:pPr>
          </w:p>
        </w:tc>
        <w:tc>
          <w:tcPr>
            <w:tcW w:w="31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May 5, 2023</w:t>
            </w:r>
          </w:p>
        </w:tc>
        <w:tc>
          <w:tcPr>
            <w:tcW w:w="2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7"/>
                <w:szCs w:val="17"/>
                <w:b w:val="1"/>
                <w:bCs w:val="1"/>
                <w:color w:val="auto"/>
                <w:w w:val="98"/>
              </w:rPr>
              <w:t>April 29, 2022</w:t>
            </w:r>
          </w:p>
        </w:tc>
        <w:tc>
          <w:tcPr>
            <w:tcW w:w="2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89"/>
              </w:rPr>
              <w:t>October 31, 2022</w:t>
            </w:r>
          </w:p>
        </w:tc>
      </w:tr>
      <w:tr>
        <w:trPr>
          <w:trHeight w:val="176"/>
        </w:trPr>
        <w:tc>
          <w:tcPr>
            <w:tcW w:w="2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ASSETS</w:t>
            </w:r>
          </w:p>
        </w:tc>
        <w:tc>
          <w:tcPr>
            <w:tcW w:w="3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31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7"/>
              <w:spacing w:after="0"/>
              <w:rPr>
                <w:sz w:val="20"/>
                <w:szCs w:val="20"/>
                <w:color w:val="auto"/>
              </w:rPr>
            </w:pPr>
            <w:r>
              <w:rPr>
                <w:rFonts w:ascii="Arial" w:cs="Arial" w:eastAsia="Arial" w:hAnsi="Arial"/>
                <w:sz w:val="17"/>
                <w:szCs w:val="17"/>
                <w:color w:val="auto"/>
              </w:rPr>
              <w:t>151,304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37"/>
              <w:spacing w:after="0"/>
              <w:rPr>
                <w:sz w:val="20"/>
                <w:szCs w:val="20"/>
                <w:color w:val="auto"/>
              </w:rPr>
            </w:pPr>
            <w:r>
              <w:rPr>
                <w:rFonts w:ascii="Arial" w:cs="Arial" w:eastAsia="Arial" w:hAnsi="Arial"/>
                <w:sz w:val="17"/>
                <w:szCs w:val="17"/>
                <w:color w:val="auto"/>
              </w:rPr>
              <w:t>263,233</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188,250</w:t>
            </w:r>
          </w:p>
        </w:tc>
      </w:tr>
      <w:tr>
        <w:trPr>
          <w:trHeight w:val="231"/>
        </w:trPr>
        <w:tc>
          <w:tcPr>
            <w:tcW w:w="2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Receivables, net</w:t>
            </w:r>
          </w:p>
        </w:tc>
        <w:tc>
          <w:tcPr>
            <w:tcW w:w="3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461,980</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439,333</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332,713</w:t>
            </w:r>
          </w:p>
        </w:tc>
      </w:tr>
      <w:tr>
        <w:trPr>
          <w:trHeight w:val="214"/>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7"/>
                <w:szCs w:val="17"/>
                <w:color w:val="auto"/>
              </w:rPr>
              <w:t>Inventories, net</w:t>
            </w:r>
          </w:p>
        </w:tc>
        <w:tc>
          <w:tcPr>
            <w:tcW w:w="314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Arial" w:cs="Arial" w:eastAsia="Arial" w:hAnsi="Arial"/>
                <w:sz w:val="17"/>
                <w:szCs w:val="17"/>
                <w:color w:val="auto"/>
              </w:rPr>
              <w:t>1,127,474</w:t>
            </w:r>
          </w:p>
        </w:tc>
        <w:tc>
          <w:tcPr>
            <w:tcW w:w="24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Arial" w:cs="Arial" w:eastAsia="Arial" w:hAnsi="Arial"/>
                <w:sz w:val="17"/>
                <w:szCs w:val="17"/>
                <w:color w:val="auto"/>
              </w:rPr>
              <w:t>891,676</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1,051,109</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34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3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86,076</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69,434</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103,279</w:t>
            </w:r>
          </w:p>
        </w:tc>
      </w:tr>
      <w:tr>
        <w:trPr>
          <w:trHeight w:val="218"/>
        </w:trPr>
        <w:tc>
          <w:tcPr>
            <w:tcW w:w="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color w:val="auto"/>
              </w:rPr>
              <w:t>Total current assets</w:t>
            </w:r>
          </w:p>
        </w:tc>
        <w:tc>
          <w:tcPr>
            <w:tcW w:w="3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1,826,834</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1,663,676</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1,675,351</w:t>
            </w:r>
          </w:p>
        </w:tc>
      </w:tr>
      <w:tr>
        <w:trPr>
          <w:trHeight w:val="94"/>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800" w:type="dxa"/>
            <w:vAlign w:val="bottom"/>
            <w:shd w:val="clear" w:color="auto" w:fill="CCEEFF"/>
          </w:tcPr>
          <w:p>
            <w:pPr>
              <w:spacing w:after="0"/>
              <w:rPr>
                <w:sz w:val="8"/>
                <w:szCs w:val="8"/>
                <w:color w:val="auto"/>
              </w:rPr>
            </w:pPr>
          </w:p>
        </w:tc>
        <w:tc>
          <w:tcPr>
            <w:tcW w:w="314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r>
      <w:tr>
        <w:trPr>
          <w:trHeight w:val="214"/>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7"/>
                <w:szCs w:val="17"/>
                <w:color w:val="auto"/>
              </w:rPr>
              <w:t>Property, plant, and equipment, net</w:t>
            </w:r>
          </w:p>
        </w:tc>
        <w:tc>
          <w:tcPr>
            <w:tcW w:w="314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Arial" w:cs="Arial" w:eastAsia="Arial" w:hAnsi="Arial"/>
                <w:sz w:val="17"/>
                <w:szCs w:val="17"/>
                <w:color w:val="auto"/>
              </w:rPr>
              <w:t>605,771</w:t>
            </w:r>
          </w:p>
        </w:tc>
        <w:tc>
          <w:tcPr>
            <w:tcW w:w="24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Arial" w:cs="Arial" w:eastAsia="Arial" w:hAnsi="Arial"/>
                <w:sz w:val="17"/>
                <w:szCs w:val="17"/>
                <w:color w:val="auto"/>
              </w:rPr>
              <w:t>512,430</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571,661</w:t>
            </w:r>
          </w:p>
        </w:tc>
      </w:tr>
      <w:tr>
        <w:trPr>
          <w:trHeight w:val="231"/>
        </w:trPr>
        <w:tc>
          <w:tcPr>
            <w:tcW w:w="2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Goodwill</w:t>
            </w:r>
          </w:p>
        </w:tc>
        <w:tc>
          <w:tcPr>
            <w:tcW w:w="3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584,609</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581,318</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583,297</w:t>
            </w:r>
          </w:p>
        </w:tc>
      </w:tr>
      <w:tr>
        <w:trPr>
          <w:trHeight w:val="214"/>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7"/>
                <w:szCs w:val="17"/>
                <w:color w:val="auto"/>
              </w:rPr>
              <w:t>Other intangible assets, net</w:t>
            </w:r>
          </w:p>
        </w:tc>
        <w:tc>
          <w:tcPr>
            <w:tcW w:w="314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Arial" w:cs="Arial" w:eastAsia="Arial" w:hAnsi="Arial"/>
                <w:sz w:val="17"/>
                <w:szCs w:val="17"/>
                <w:color w:val="auto"/>
              </w:rPr>
              <w:t>568,356</w:t>
            </w:r>
          </w:p>
        </w:tc>
        <w:tc>
          <w:tcPr>
            <w:tcW w:w="24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Arial" w:cs="Arial" w:eastAsia="Arial" w:hAnsi="Arial"/>
                <w:sz w:val="17"/>
                <w:szCs w:val="17"/>
                <w:color w:val="auto"/>
              </w:rPr>
              <w:t>589,608</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585,832</w:t>
            </w:r>
          </w:p>
        </w:tc>
      </w:tr>
      <w:tr>
        <w:trPr>
          <w:trHeight w:val="218"/>
        </w:trPr>
        <w:tc>
          <w:tcPr>
            <w:tcW w:w="2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Right-of-use assets</w:t>
            </w:r>
          </w:p>
        </w:tc>
        <w:tc>
          <w:tcPr>
            <w:tcW w:w="3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71,856</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75,533</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76,121</w:t>
            </w:r>
          </w:p>
        </w:tc>
      </w:tr>
      <w:tr>
        <w:trPr>
          <w:trHeight w:val="221"/>
        </w:trPr>
        <w:tc>
          <w:tcPr>
            <w:tcW w:w="2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Arial" w:cs="Arial" w:eastAsia="Arial" w:hAnsi="Arial"/>
                <w:sz w:val="17"/>
                <w:szCs w:val="17"/>
                <w:color w:val="auto"/>
              </w:rPr>
              <w:t>Investment in finance affiliate</w:t>
            </w:r>
          </w:p>
        </w:tc>
        <w:tc>
          <w:tcPr>
            <w:tcW w:w="3140" w:type="dxa"/>
            <w:vAlign w:val="bottom"/>
          </w:tcPr>
          <w:p>
            <w:pPr>
              <w:spacing w:after="0"/>
              <w:rPr>
                <w:sz w:val="19"/>
                <w:szCs w:val="19"/>
                <w:color w:val="auto"/>
              </w:rPr>
            </w:pPr>
          </w:p>
        </w:tc>
        <w:tc>
          <w:tcPr>
            <w:tcW w:w="1400" w:type="dxa"/>
            <w:vAlign w:val="bottom"/>
          </w:tcPr>
          <w:p>
            <w:pPr>
              <w:jc w:val="right"/>
              <w:ind w:right="37"/>
              <w:spacing w:after="0"/>
              <w:rPr>
                <w:sz w:val="20"/>
                <w:szCs w:val="20"/>
                <w:color w:val="auto"/>
              </w:rPr>
            </w:pPr>
            <w:r>
              <w:rPr>
                <w:rFonts w:ascii="Arial" w:cs="Arial" w:eastAsia="Arial" w:hAnsi="Arial"/>
                <w:sz w:val="17"/>
                <w:szCs w:val="17"/>
                <w:color w:val="auto"/>
              </w:rPr>
              <w:t>53,244</w:t>
            </w:r>
          </w:p>
        </w:tc>
        <w:tc>
          <w:tcPr>
            <w:tcW w:w="240" w:type="dxa"/>
            <w:vAlign w:val="bottom"/>
          </w:tcPr>
          <w:p>
            <w:pPr>
              <w:spacing w:after="0"/>
              <w:rPr>
                <w:sz w:val="19"/>
                <w:szCs w:val="19"/>
                <w:color w:val="auto"/>
              </w:rPr>
            </w:pPr>
          </w:p>
        </w:tc>
        <w:tc>
          <w:tcPr>
            <w:tcW w:w="1420" w:type="dxa"/>
            <w:vAlign w:val="bottom"/>
          </w:tcPr>
          <w:p>
            <w:pPr>
              <w:jc w:val="right"/>
              <w:ind w:right="37"/>
              <w:spacing w:after="0"/>
              <w:rPr>
                <w:sz w:val="20"/>
                <w:szCs w:val="20"/>
                <w:color w:val="auto"/>
              </w:rPr>
            </w:pPr>
            <w:r>
              <w:rPr>
                <w:rFonts w:ascii="Arial" w:cs="Arial" w:eastAsia="Arial" w:hAnsi="Arial"/>
                <w:sz w:val="17"/>
                <w:szCs w:val="17"/>
                <w:color w:val="auto"/>
              </w:rPr>
              <w:t>30,853</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39,349</w:t>
            </w:r>
          </w:p>
        </w:tc>
      </w:tr>
      <w:tr>
        <w:trPr>
          <w:trHeight w:val="225"/>
        </w:trPr>
        <w:tc>
          <w:tcPr>
            <w:tcW w:w="2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3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11,348</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1,908</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5,310</w:t>
            </w:r>
          </w:p>
        </w:tc>
      </w:tr>
      <w:tr>
        <w:trPr>
          <w:trHeight w:val="214"/>
        </w:trPr>
        <w:tc>
          <w:tcPr>
            <w:tcW w:w="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Other assets</w:t>
            </w:r>
          </w:p>
        </w:tc>
        <w:tc>
          <w:tcPr>
            <w:tcW w:w="3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19,357</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23,980</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19,077</w:t>
            </w:r>
          </w:p>
        </w:tc>
      </w:tr>
      <w:tr>
        <w:trPr>
          <w:trHeight w:val="243"/>
        </w:trPr>
        <w:tc>
          <w:tcPr>
            <w:tcW w:w="20" w:type="dxa"/>
            <w:vAlign w:val="bottom"/>
            <w:tcBorders>
              <w:bottom w:val="single" w:sz="8" w:color="auto"/>
            </w:tcBorders>
            <w:shd w:val="clear" w:color="auto" w:fill="CCEEFF"/>
          </w:tcPr>
          <w:p>
            <w:pPr>
              <w:spacing w:after="0"/>
              <w:rPr>
                <w:sz w:val="20"/>
                <w:szCs w:val="20"/>
                <w:color w:val="auto"/>
              </w:rPr>
            </w:pPr>
          </w:p>
        </w:tc>
        <w:tc>
          <w:tcPr>
            <w:tcW w:w="34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3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3,741,375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3,479,306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3,555,998</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0" w:type="dxa"/>
            <w:vAlign w:val="bottom"/>
            <w:tcBorders>
              <w:top w:val="single" w:sz="8" w:color="CCEEFF"/>
              <w:bottom w:val="single" w:sz="8" w:color="auto"/>
            </w:tcBorders>
          </w:tcPr>
          <w:p>
            <w:pPr>
              <w:spacing w:after="0" w:line="20" w:lineRule="exact"/>
              <w:rPr>
                <w:sz w:val="1"/>
                <w:szCs w:val="1"/>
                <w:color w:val="auto"/>
              </w:rPr>
            </w:pPr>
          </w:p>
        </w:tc>
        <w:tc>
          <w:tcPr>
            <w:tcW w:w="3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20" w:type="dxa"/>
            <w:vAlign w:val="bottom"/>
          </w:tcPr>
          <w:p>
            <w:pPr>
              <w:spacing w:after="0"/>
              <w:rPr>
                <w:sz w:val="5"/>
                <w:szCs w:val="5"/>
                <w:color w:val="auto"/>
              </w:rPr>
            </w:pP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34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w w:val="96"/>
              </w:rPr>
              <w:t>LIABILITIES AND STOCKHOLDERS’ EQUITY</w:t>
            </w:r>
          </w:p>
        </w:tc>
        <w:tc>
          <w:tcPr>
            <w:tcW w:w="31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Current portion of long-term debt</w:t>
            </w:r>
          </w:p>
        </w:tc>
        <w:tc>
          <w:tcPr>
            <w:tcW w:w="3140" w:type="dxa"/>
            <w:vAlign w:val="bottom"/>
            <w:tcBorders>
              <w:top w:val="single" w:sz="8" w:color="CCEEFF"/>
            </w:tcBorders>
          </w:tcPr>
          <w:p>
            <w:pPr>
              <w:jc w:val="right"/>
              <w:ind w:right="37"/>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CCEEFF"/>
            </w:tcBorders>
          </w:tcPr>
          <w:p>
            <w:pPr>
              <w:jc w:val="right"/>
              <w:ind w:right="37"/>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CCEEFF"/>
            </w:tcBorders>
          </w:tcPr>
          <w:p>
            <w:pPr>
              <w:jc w:val="right"/>
              <w:ind w:right="37"/>
              <w:spacing w:after="0"/>
              <w:rPr>
                <w:sz w:val="20"/>
                <w:szCs w:val="20"/>
                <w:color w:val="auto"/>
              </w:rPr>
            </w:pPr>
            <w:r>
              <w:rPr>
                <w:rFonts w:ascii="Arial" w:cs="Arial" w:eastAsia="Arial" w:hAnsi="Arial"/>
                <w:sz w:val="17"/>
                <w:szCs w:val="17"/>
                <w:color w:val="auto"/>
              </w:rPr>
              <w:t>100,000</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r>
      <w:tr>
        <w:trPr>
          <w:trHeight w:val="231"/>
        </w:trPr>
        <w:tc>
          <w:tcPr>
            <w:tcW w:w="2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3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514,824</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566,769</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578,624</w:t>
            </w:r>
          </w:p>
        </w:tc>
      </w:tr>
      <w:tr>
        <w:trPr>
          <w:trHeight w:val="214"/>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7"/>
                <w:szCs w:val="17"/>
                <w:color w:val="auto"/>
              </w:rPr>
              <w:t>Accrued liabilities</w:t>
            </w:r>
          </w:p>
        </w:tc>
        <w:tc>
          <w:tcPr>
            <w:tcW w:w="314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Arial" w:cs="Arial" w:eastAsia="Arial" w:hAnsi="Arial"/>
                <w:sz w:val="17"/>
                <w:szCs w:val="17"/>
                <w:color w:val="auto"/>
              </w:rPr>
              <w:t>493,264</w:t>
            </w:r>
          </w:p>
        </w:tc>
        <w:tc>
          <w:tcPr>
            <w:tcW w:w="24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Arial" w:cs="Arial" w:eastAsia="Arial" w:hAnsi="Arial"/>
                <w:sz w:val="17"/>
                <w:szCs w:val="17"/>
                <w:color w:val="auto"/>
              </w:rPr>
              <w:t>428,230</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469,242</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34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Short-term lease liabilities</w:t>
            </w:r>
          </w:p>
        </w:tc>
        <w:tc>
          <w:tcPr>
            <w:tcW w:w="3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15,913</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15,729</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15,747</w:t>
            </w:r>
          </w:p>
        </w:tc>
      </w:tr>
      <w:tr>
        <w:trPr>
          <w:trHeight w:val="218"/>
        </w:trPr>
        <w:tc>
          <w:tcPr>
            <w:tcW w:w="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color w:val="auto"/>
              </w:rPr>
              <w:t>Total current liabilities</w:t>
            </w:r>
          </w:p>
        </w:tc>
        <w:tc>
          <w:tcPr>
            <w:tcW w:w="3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1,024,001</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1,110,728</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1,063,613</w:t>
            </w:r>
          </w:p>
        </w:tc>
      </w:tr>
      <w:tr>
        <w:trPr>
          <w:trHeight w:val="94"/>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800" w:type="dxa"/>
            <w:vAlign w:val="bottom"/>
            <w:shd w:val="clear" w:color="auto" w:fill="CCEEFF"/>
          </w:tcPr>
          <w:p>
            <w:pPr>
              <w:spacing w:after="0"/>
              <w:rPr>
                <w:sz w:val="8"/>
                <w:szCs w:val="8"/>
                <w:color w:val="auto"/>
              </w:rPr>
            </w:pPr>
          </w:p>
        </w:tc>
        <w:tc>
          <w:tcPr>
            <w:tcW w:w="314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r>
      <w:tr>
        <w:trPr>
          <w:trHeight w:val="214"/>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7"/>
                <w:szCs w:val="17"/>
                <w:color w:val="auto"/>
              </w:rPr>
              <w:t>Long-term debt, less current portion</w:t>
            </w:r>
          </w:p>
        </w:tc>
        <w:tc>
          <w:tcPr>
            <w:tcW w:w="314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Arial" w:cs="Arial" w:eastAsia="Arial" w:hAnsi="Arial"/>
                <w:sz w:val="17"/>
                <w:szCs w:val="17"/>
                <w:color w:val="auto"/>
              </w:rPr>
              <w:t>1,041,162</w:t>
            </w:r>
          </w:p>
        </w:tc>
        <w:tc>
          <w:tcPr>
            <w:tcW w:w="24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Arial" w:cs="Arial" w:eastAsia="Arial" w:hAnsi="Arial"/>
                <w:sz w:val="17"/>
                <w:szCs w:val="17"/>
                <w:color w:val="auto"/>
              </w:rPr>
              <w:t>990,970</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990,768</w:t>
            </w:r>
          </w:p>
        </w:tc>
      </w:tr>
      <w:tr>
        <w:trPr>
          <w:trHeight w:val="231"/>
        </w:trPr>
        <w:tc>
          <w:tcPr>
            <w:tcW w:w="2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lease liabilities</w:t>
            </w:r>
          </w:p>
        </w:tc>
        <w:tc>
          <w:tcPr>
            <w:tcW w:w="3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57,966</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63,066</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63,604</w:t>
            </w:r>
          </w:p>
        </w:tc>
      </w:tr>
      <w:tr>
        <w:trPr>
          <w:trHeight w:val="214"/>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7"/>
                <w:szCs w:val="17"/>
                <w:color w:val="auto"/>
              </w:rPr>
              <w:t>Deferred income taxes</w:t>
            </w:r>
          </w:p>
        </w:tc>
        <w:tc>
          <w:tcPr>
            <w:tcW w:w="314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Arial" w:cs="Arial" w:eastAsia="Arial" w:hAnsi="Arial"/>
                <w:sz w:val="17"/>
                <w:szCs w:val="17"/>
                <w:color w:val="auto"/>
              </w:rPr>
              <w:t>18,515</w:t>
            </w:r>
          </w:p>
        </w:tc>
        <w:tc>
          <w:tcPr>
            <w:tcW w:w="24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Arial" w:cs="Arial" w:eastAsia="Arial" w:hAnsi="Arial"/>
                <w:sz w:val="17"/>
                <w:szCs w:val="17"/>
                <w:color w:val="auto"/>
              </w:rPr>
              <w:t>50,349</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44,272</w:t>
            </w:r>
          </w:p>
        </w:tc>
      </w:tr>
      <w:tr>
        <w:trPr>
          <w:trHeight w:val="218"/>
        </w:trPr>
        <w:tc>
          <w:tcPr>
            <w:tcW w:w="2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3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39,734</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40,677</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42,040</w:t>
            </w: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230"/>
        </w:trPr>
        <w:tc>
          <w:tcPr>
            <w:tcW w:w="2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3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3400" w:type="dxa"/>
            <w:vAlign w:val="bottom"/>
            <w:gridSpan w:val="2"/>
          </w:tcPr>
          <w:p>
            <w:pPr>
              <w:ind w:left="120"/>
              <w:spacing w:after="0"/>
              <w:rPr>
                <w:sz w:val="20"/>
                <w:szCs w:val="20"/>
                <w:color w:val="auto"/>
              </w:rPr>
            </w:pPr>
            <w:r>
              <w:rPr>
                <w:rFonts w:ascii="Arial" w:cs="Arial" w:eastAsia="Arial" w:hAnsi="Arial"/>
                <w:sz w:val="17"/>
                <w:szCs w:val="17"/>
                <w:color w:val="auto"/>
              </w:rPr>
              <w:t>Preferred stock</w:t>
            </w:r>
          </w:p>
        </w:tc>
        <w:tc>
          <w:tcPr>
            <w:tcW w:w="314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2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Common stock</w:t>
            </w:r>
          </w:p>
        </w:tc>
        <w:tc>
          <w:tcPr>
            <w:tcW w:w="3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104,136</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104,568</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103,970</w:t>
            </w:r>
          </w:p>
        </w:tc>
      </w:tr>
      <w:tr>
        <w:trPr>
          <w:trHeight w:val="221"/>
        </w:trPr>
        <w:tc>
          <w:tcPr>
            <w:tcW w:w="20" w:type="dxa"/>
            <w:vAlign w:val="bottom"/>
          </w:tcPr>
          <w:p>
            <w:pPr>
              <w:spacing w:after="0"/>
              <w:rPr>
                <w:sz w:val="19"/>
                <w:szCs w:val="19"/>
                <w:color w:val="auto"/>
              </w:rPr>
            </w:pPr>
          </w:p>
        </w:tc>
        <w:tc>
          <w:tcPr>
            <w:tcW w:w="3400" w:type="dxa"/>
            <w:vAlign w:val="bottom"/>
            <w:gridSpan w:val="2"/>
          </w:tcPr>
          <w:p>
            <w:pPr>
              <w:ind w:left="120"/>
              <w:spacing w:after="0"/>
              <w:rPr>
                <w:sz w:val="20"/>
                <w:szCs w:val="20"/>
                <w:color w:val="auto"/>
              </w:rPr>
            </w:pPr>
            <w:r>
              <w:rPr>
                <w:rFonts w:ascii="Arial" w:cs="Arial" w:eastAsia="Arial" w:hAnsi="Arial"/>
                <w:sz w:val="17"/>
                <w:szCs w:val="17"/>
                <w:color w:val="auto"/>
              </w:rPr>
              <w:t>Retained earnings</w:t>
            </w:r>
          </w:p>
        </w:tc>
        <w:tc>
          <w:tcPr>
            <w:tcW w:w="3140" w:type="dxa"/>
            <w:vAlign w:val="bottom"/>
          </w:tcPr>
          <w:p>
            <w:pPr>
              <w:spacing w:after="0"/>
              <w:rPr>
                <w:sz w:val="19"/>
                <w:szCs w:val="19"/>
                <w:color w:val="auto"/>
              </w:rPr>
            </w:pPr>
          </w:p>
        </w:tc>
        <w:tc>
          <w:tcPr>
            <w:tcW w:w="1400" w:type="dxa"/>
            <w:vAlign w:val="bottom"/>
          </w:tcPr>
          <w:p>
            <w:pPr>
              <w:jc w:val="right"/>
              <w:ind w:right="37"/>
              <w:spacing w:after="0"/>
              <w:rPr>
                <w:sz w:val="20"/>
                <w:szCs w:val="20"/>
                <w:color w:val="auto"/>
              </w:rPr>
            </w:pPr>
            <w:r>
              <w:rPr>
                <w:rFonts w:ascii="Arial" w:cs="Arial" w:eastAsia="Arial" w:hAnsi="Arial"/>
                <w:sz w:val="17"/>
                <w:szCs w:val="17"/>
                <w:color w:val="auto"/>
              </w:rPr>
              <w:t>1,485,046</w:t>
            </w:r>
          </w:p>
        </w:tc>
        <w:tc>
          <w:tcPr>
            <w:tcW w:w="240" w:type="dxa"/>
            <w:vAlign w:val="bottom"/>
          </w:tcPr>
          <w:p>
            <w:pPr>
              <w:spacing w:after="0"/>
              <w:rPr>
                <w:sz w:val="19"/>
                <w:szCs w:val="19"/>
                <w:color w:val="auto"/>
              </w:rPr>
            </w:pPr>
          </w:p>
        </w:tc>
        <w:tc>
          <w:tcPr>
            <w:tcW w:w="1420" w:type="dxa"/>
            <w:vAlign w:val="bottom"/>
          </w:tcPr>
          <w:p>
            <w:pPr>
              <w:jc w:val="right"/>
              <w:ind w:right="37"/>
              <w:spacing w:after="0"/>
              <w:rPr>
                <w:sz w:val="20"/>
                <w:szCs w:val="20"/>
                <w:color w:val="auto"/>
              </w:rPr>
            </w:pPr>
            <w:r>
              <w:rPr>
                <w:rFonts w:ascii="Arial" w:cs="Arial" w:eastAsia="Arial" w:hAnsi="Arial"/>
                <w:sz w:val="17"/>
                <w:szCs w:val="17"/>
                <w:color w:val="auto"/>
              </w:rPr>
              <w:t>1,146,771</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1,280,856</w:t>
            </w: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340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7"/>
                <w:szCs w:val="17"/>
                <w:color w:val="auto"/>
              </w:rPr>
              <w:t>Accumulated other comprehensive loss</w:t>
            </w:r>
          </w:p>
        </w:tc>
        <w:tc>
          <w:tcPr>
            <w:tcW w:w="3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(29,185)</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(27,823)</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(33,125)</w:t>
            </w:r>
          </w:p>
        </w:tc>
      </w:tr>
      <w:tr>
        <w:trPr>
          <w:trHeight w:val="210"/>
        </w:trPr>
        <w:tc>
          <w:tcPr>
            <w:tcW w:w="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2"/>
          </w:tcPr>
          <w:p>
            <w:pPr>
              <w:ind w:left="220"/>
              <w:spacing w:after="0"/>
              <w:rPr>
                <w:sz w:val="20"/>
                <w:szCs w:val="20"/>
                <w:color w:val="auto"/>
              </w:rPr>
            </w:pPr>
            <w:r>
              <w:rPr>
                <w:rFonts w:ascii="Arial" w:cs="Arial" w:eastAsia="Arial" w:hAnsi="Arial"/>
                <w:sz w:val="17"/>
                <w:szCs w:val="17"/>
                <w:color w:val="auto"/>
              </w:rPr>
              <w:t>Total stockholders’ equity</w:t>
            </w:r>
          </w:p>
        </w:tc>
        <w:tc>
          <w:tcPr>
            <w:tcW w:w="3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1,559,997</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1,223,516</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1,351,701</w:t>
            </w:r>
          </w:p>
        </w:tc>
      </w:tr>
      <w:tr>
        <w:trPr>
          <w:trHeight w:val="243"/>
        </w:trPr>
        <w:tc>
          <w:tcPr>
            <w:tcW w:w="20" w:type="dxa"/>
            <w:vAlign w:val="bottom"/>
            <w:tcBorders>
              <w:bottom w:val="single" w:sz="8" w:color="auto"/>
            </w:tcBorders>
            <w:shd w:val="clear" w:color="auto" w:fill="CCEEFF"/>
          </w:tcPr>
          <w:p>
            <w:pPr>
              <w:spacing w:after="0"/>
              <w:rPr>
                <w:sz w:val="20"/>
                <w:szCs w:val="20"/>
                <w:color w:val="auto"/>
              </w:rPr>
            </w:pPr>
          </w:p>
        </w:tc>
        <w:tc>
          <w:tcPr>
            <w:tcW w:w="34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3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3,741,375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3,479,306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3,555,998</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0" w:type="dxa"/>
            <w:vAlign w:val="bottom"/>
            <w:tcBorders>
              <w:top w:val="single" w:sz="8" w:color="CCEEFF"/>
              <w:bottom w:val="single" w:sz="8" w:color="auto"/>
            </w:tcBorders>
          </w:tcPr>
          <w:p>
            <w:pPr>
              <w:spacing w:after="0" w:line="20" w:lineRule="exact"/>
              <w:rPr>
                <w:sz w:val="1"/>
                <w:szCs w:val="1"/>
                <w:color w:val="auto"/>
              </w:rPr>
            </w:pPr>
          </w:p>
        </w:tc>
        <w:tc>
          <w:tcPr>
            <w:tcW w:w="3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8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 (Unaudited)</w:t>
      </w: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199" w:lineRule="exact"/>
        <w:rPr>
          <w:sz w:val="20"/>
          <w:szCs w:val="20"/>
          <w:color w:val="auto"/>
        </w:rPr>
      </w:pPr>
    </w:p>
    <w:p>
      <w:pPr>
        <w:ind w:left="8940"/>
        <w:spacing w:after="0"/>
        <w:rPr>
          <w:sz w:val="20"/>
          <w:szCs w:val="20"/>
          <w:color w:val="auto"/>
        </w:rPr>
      </w:pPr>
      <w:r>
        <w:rPr>
          <w:rFonts w:ascii="Arial" w:cs="Arial" w:eastAsia="Arial" w:hAnsi="Arial"/>
          <w:sz w:val="17"/>
          <w:szCs w:val="17"/>
          <w:b w:val="1"/>
          <w:bCs w:val="1"/>
          <w:color w:val="auto"/>
        </w:rPr>
        <w:t>Six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May 5, 2023</w:t>
            </w: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w w:val="98"/>
              </w:rPr>
              <w:t>April 29, 2022</w:t>
            </w: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1"/>
        </w:trPr>
        <w:tc>
          <w:tcPr>
            <w:tcW w:w="674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46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37"/>
              <w:spacing w:after="0"/>
              <w:rPr>
                <w:sz w:val="20"/>
                <w:szCs w:val="20"/>
                <w:color w:val="auto"/>
              </w:rPr>
            </w:pPr>
            <w:r>
              <w:rPr>
                <w:rFonts w:ascii="Arial" w:cs="Arial" w:eastAsia="Arial" w:hAnsi="Arial"/>
                <w:sz w:val="17"/>
                <w:szCs w:val="17"/>
                <w:color w:val="auto"/>
              </w:rPr>
              <w:t>274,325</w:t>
            </w:r>
          </w:p>
        </w:tc>
        <w:tc>
          <w:tcPr>
            <w:tcW w:w="2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200,635</w:t>
            </w:r>
          </w:p>
        </w:tc>
      </w:tr>
      <w:tr>
        <w:trPr>
          <w:trHeight w:val="225"/>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earnings to net cash provided by operating activities:</w:t>
            </w:r>
          </w:p>
        </w:tc>
        <w:tc>
          <w:tcPr>
            <w:tcW w:w="1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4"/>
        </w:trPr>
        <w:tc>
          <w:tcPr>
            <w:tcW w:w="6740" w:type="dxa"/>
            <w:vAlign w:val="bottom"/>
          </w:tcPr>
          <w:p>
            <w:pPr>
              <w:ind w:left="140"/>
              <w:spacing w:after="0"/>
              <w:rPr>
                <w:sz w:val="20"/>
                <w:szCs w:val="20"/>
                <w:color w:val="auto"/>
              </w:rPr>
            </w:pPr>
            <w:r>
              <w:rPr>
                <w:rFonts w:ascii="Arial" w:cs="Arial" w:eastAsia="Arial" w:hAnsi="Arial"/>
                <w:sz w:val="17"/>
                <w:szCs w:val="17"/>
                <w:color w:val="auto"/>
              </w:rPr>
              <w:t>Non-cash income from finance affiliate</w:t>
            </w:r>
          </w:p>
        </w:tc>
        <w:tc>
          <w:tcPr>
            <w:tcW w:w="14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(8,674)</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(3,475)</w:t>
            </w:r>
          </w:p>
        </w:tc>
      </w:tr>
      <w:tr>
        <w:trPr>
          <w:trHeight w:val="231"/>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Contributions to finance affiliate, net</w:t>
            </w:r>
          </w:p>
        </w:tc>
        <w:tc>
          <w:tcPr>
            <w:tcW w:w="14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(5,221)</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(6,707)</w:t>
            </w:r>
          </w:p>
        </w:tc>
      </w:tr>
      <w:tr>
        <w:trPr>
          <w:trHeight w:val="214"/>
        </w:trPr>
        <w:tc>
          <w:tcPr>
            <w:tcW w:w="6740" w:type="dxa"/>
            <w:vAlign w:val="bottom"/>
          </w:tcPr>
          <w:p>
            <w:pPr>
              <w:ind w:left="140"/>
              <w:spacing w:after="0"/>
              <w:rPr>
                <w:sz w:val="20"/>
                <w:szCs w:val="20"/>
                <w:color w:val="auto"/>
              </w:rPr>
            </w:pPr>
            <w:r>
              <w:rPr>
                <w:rFonts w:ascii="Arial" w:cs="Arial" w:eastAsia="Arial" w:hAnsi="Arial"/>
                <w:sz w:val="17"/>
                <w:szCs w:val="17"/>
                <w:color w:val="auto"/>
              </w:rPr>
              <w:t>Depreciation of property, plant, and equipment</w:t>
            </w:r>
          </w:p>
        </w:tc>
        <w:tc>
          <w:tcPr>
            <w:tcW w:w="1460" w:type="dxa"/>
            <w:vAlign w:val="bottom"/>
          </w:tcPr>
          <w:p>
            <w:pPr>
              <w:spacing w:after="0"/>
              <w:rPr>
                <w:sz w:val="18"/>
                <w:szCs w:val="18"/>
                <w:color w:val="auto"/>
              </w:rPr>
            </w:pPr>
          </w:p>
        </w:tc>
        <w:tc>
          <w:tcPr>
            <w:tcW w:w="1380" w:type="dxa"/>
            <w:vAlign w:val="bottom"/>
          </w:tcPr>
          <w:p>
            <w:pPr>
              <w:jc w:val="right"/>
              <w:ind w:right="37"/>
              <w:spacing w:after="0"/>
              <w:rPr>
                <w:sz w:val="20"/>
                <w:szCs w:val="20"/>
                <w:color w:val="auto"/>
              </w:rPr>
            </w:pPr>
            <w:r>
              <w:rPr>
                <w:rFonts w:ascii="Arial" w:cs="Arial" w:eastAsia="Arial" w:hAnsi="Arial"/>
                <w:sz w:val="17"/>
                <w:szCs w:val="17"/>
                <w:color w:val="auto"/>
              </w:rPr>
              <w:t>38,256</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37,318</w:t>
            </w:r>
          </w:p>
        </w:tc>
      </w:tr>
      <w:tr>
        <w:trPr>
          <w:trHeight w:val="218"/>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other intangible assets</w:t>
            </w:r>
          </w:p>
        </w:tc>
        <w:tc>
          <w:tcPr>
            <w:tcW w:w="1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17,881</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15,632</w:t>
            </w:r>
          </w:p>
        </w:tc>
      </w:tr>
      <w:tr>
        <w:trPr>
          <w:trHeight w:val="221"/>
        </w:trPr>
        <w:tc>
          <w:tcPr>
            <w:tcW w:w="6740" w:type="dxa"/>
            <w:vAlign w:val="bottom"/>
          </w:tcPr>
          <w:p>
            <w:pPr>
              <w:ind w:left="140"/>
              <w:spacing w:after="0"/>
              <w:rPr>
                <w:sz w:val="20"/>
                <w:szCs w:val="20"/>
                <w:color w:val="auto"/>
              </w:rPr>
            </w:pPr>
            <w:r>
              <w:rPr>
                <w:rFonts w:ascii="Arial" w:cs="Arial" w:eastAsia="Arial" w:hAnsi="Arial"/>
                <w:sz w:val="17"/>
                <w:szCs w:val="17"/>
                <w:color w:val="auto"/>
              </w:rPr>
              <w:t>Stock-based compensation expense</w:t>
            </w:r>
          </w:p>
        </w:tc>
        <w:tc>
          <w:tcPr>
            <w:tcW w:w="1460" w:type="dxa"/>
            <w:vAlign w:val="bottom"/>
          </w:tcPr>
          <w:p>
            <w:pPr>
              <w:spacing w:after="0"/>
              <w:rPr>
                <w:sz w:val="19"/>
                <w:szCs w:val="19"/>
                <w:color w:val="auto"/>
              </w:rPr>
            </w:pPr>
          </w:p>
        </w:tc>
        <w:tc>
          <w:tcPr>
            <w:tcW w:w="1380" w:type="dxa"/>
            <w:vAlign w:val="bottom"/>
          </w:tcPr>
          <w:p>
            <w:pPr>
              <w:jc w:val="right"/>
              <w:ind w:right="37"/>
              <w:spacing w:after="0"/>
              <w:rPr>
                <w:sz w:val="20"/>
                <w:szCs w:val="20"/>
                <w:color w:val="auto"/>
              </w:rPr>
            </w:pPr>
            <w:r>
              <w:rPr>
                <w:rFonts w:ascii="Arial" w:cs="Arial" w:eastAsia="Arial" w:hAnsi="Arial"/>
                <w:sz w:val="17"/>
                <w:szCs w:val="17"/>
                <w:color w:val="auto"/>
              </w:rPr>
              <w:t>10,748</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11,133</w:t>
            </w:r>
          </w:p>
        </w:tc>
      </w:tr>
      <w:tr>
        <w:trPr>
          <w:trHeight w:val="225"/>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876</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w:t>
            </w:r>
          </w:p>
        </w:tc>
      </w:tr>
      <w:tr>
        <w:trPr>
          <w:trHeight w:val="214"/>
        </w:trPr>
        <w:tc>
          <w:tcPr>
            <w:tcW w:w="674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 net of the effect of acquisitions:</w:t>
            </w: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1"/>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Receivables, net</w:t>
            </w:r>
          </w:p>
        </w:tc>
        <w:tc>
          <w:tcPr>
            <w:tcW w:w="14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(127,153)</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(126,413)</w:t>
            </w:r>
          </w:p>
        </w:tc>
      </w:tr>
      <w:tr>
        <w:trPr>
          <w:trHeight w:val="214"/>
        </w:trPr>
        <w:tc>
          <w:tcPr>
            <w:tcW w:w="6740" w:type="dxa"/>
            <w:vAlign w:val="bottom"/>
          </w:tcPr>
          <w:p>
            <w:pPr>
              <w:ind w:left="140"/>
              <w:spacing w:after="0"/>
              <w:rPr>
                <w:sz w:val="20"/>
                <w:szCs w:val="20"/>
                <w:color w:val="auto"/>
              </w:rPr>
            </w:pPr>
            <w:r>
              <w:rPr>
                <w:rFonts w:ascii="Arial" w:cs="Arial" w:eastAsia="Arial" w:hAnsi="Arial"/>
                <w:sz w:val="17"/>
                <w:szCs w:val="17"/>
                <w:color w:val="auto"/>
              </w:rPr>
              <w:t>Inventories, net</w:t>
            </w:r>
          </w:p>
        </w:tc>
        <w:tc>
          <w:tcPr>
            <w:tcW w:w="14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(75,539)</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(122,731)</w:t>
            </w:r>
          </w:p>
        </w:tc>
      </w:tr>
      <w:tr>
        <w:trPr>
          <w:trHeight w:val="218"/>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assets</w:t>
            </w:r>
          </w:p>
        </w:tc>
        <w:tc>
          <w:tcPr>
            <w:tcW w:w="1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(7,719)</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(20,150)</w:t>
            </w:r>
          </w:p>
        </w:tc>
      </w:tr>
      <w:tr>
        <w:trPr>
          <w:trHeight w:val="214"/>
        </w:trPr>
        <w:tc>
          <w:tcPr>
            <w:tcW w:w="674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14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(64,642)</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55,433</w:t>
            </w:r>
          </w:p>
        </w:tc>
      </w:tr>
      <w:tr>
        <w:trPr>
          <w:trHeight w:val="225"/>
        </w:trPr>
        <w:tc>
          <w:tcPr>
            <w:tcW w:w="67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 liabilities</w:t>
            </w:r>
          </w:p>
        </w:tc>
        <w:tc>
          <w:tcPr>
            <w:tcW w:w="14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8,501</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1,341</w:t>
            </w:r>
          </w:p>
        </w:tc>
      </w:tr>
      <w:tr>
        <w:trPr>
          <w:trHeight w:val="214"/>
        </w:trPr>
        <w:tc>
          <w:tcPr>
            <w:tcW w:w="674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Net cash provided by operating activities</w:t>
            </w:r>
          </w:p>
        </w:tc>
        <w:tc>
          <w:tcPr>
            <w:tcW w:w="14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61,639</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42,864</w:t>
            </w:r>
          </w:p>
        </w:tc>
      </w:tr>
      <w:tr>
        <w:trPr>
          <w:trHeight w:val="76"/>
        </w:trPr>
        <w:tc>
          <w:tcPr>
            <w:tcW w:w="674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r>
      <w:tr>
        <w:trPr>
          <w:trHeight w:val="221"/>
        </w:trPr>
        <w:tc>
          <w:tcPr>
            <w:tcW w:w="674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5"/>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1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(70,077)</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(35,969)</w:t>
            </w:r>
          </w:p>
        </w:tc>
      </w:tr>
      <w:tr>
        <w:trPr>
          <w:trHeight w:val="214"/>
        </w:trPr>
        <w:tc>
          <w:tcPr>
            <w:tcW w:w="6740" w:type="dxa"/>
            <w:vAlign w:val="bottom"/>
          </w:tcPr>
          <w:p>
            <w:pPr>
              <w:ind w:left="140"/>
              <w:spacing w:after="0"/>
              <w:rPr>
                <w:sz w:val="20"/>
                <w:szCs w:val="20"/>
                <w:color w:val="auto"/>
              </w:rPr>
            </w:pPr>
            <w:r>
              <w:rPr>
                <w:rFonts w:ascii="Arial" w:cs="Arial" w:eastAsia="Arial" w:hAnsi="Arial"/>
                <w:sz w:val="17"/>
                <w:szCs w:val="17"/>
                <w:color w:val="auto"/>
              </w:rPr>
              <w:t>Proceeds from insurance claim</w:t>
            </w:r>
          </w:p>
        </w:tc>
        <w:tc>
          <w:tcPr>
            <w:tcW w:w="1460" w:type="dxa"/>
            <w:vAlign w:val="bottom"/>
          </w:tcPr>
          <w:p>
            <w:pPr>
              <w:spacing w:after="0"/>
              <w:rPr>
                <w:sz w:val="18"/>
                <w:szCs w:val="18"/>
                <w:color w:val="auto"/>
              </w:rPr>
            </w:pPr>
          </w:p>
        </w:tc>
        <w:tc>
          <w:tcPr>
            <w:tcW w:w="1380" w:type="dxa"/>
            <w:vAlign w:val="bottom"/>
          </w:tcPr>
          <w:p>
            <w:pPr>
              <w:jc w:val="right"/>
              <w:ind w:right="37"/>
              <w:spacing w:after="0"/>
              <w:rPr>
                <w:sz w:val="20"/>
                <w:szCs w:val="20"/>
                <w:color w:val="auto"/>
              </w:rPr>
            </w:pPr>
            <w:r>
              <w:rPr>
                <w:rFonts w:ascii="Arial" w:cs="Arial" w:eastAsia="Arial" w:hAnsi="Arial"/>
                <w:sz w:val="17"/>
                <w:szCs w:val="17"/>
                <w:color w:val="auto"/>
              </w:rPr>
              <w:t>7,114</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1"/>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Business combinations, net of cash acquired</w:t>
            </w:r>
          </w:p>
        </w:tc>
        <w:tc>
          <w:tcPr>
            <w:tcW w:w="146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(403,120)</w:t>
            </w:r>
          </w:p>
        </w:tc>
      </w:tr>
      <w:tr>
        <w:trPr>
          <w:trHeight w:val="203"/>
        </w:trPr>
        <w:tc>
          <w:tcPr>
            <w:tcW w:w="67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Proceeds from asset disposals</w:t>
            </w:r>
          </w:p>
        </w:tc>
        <w:tc>
          <w:tcPr>
            <w:tcW w:w="14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309</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w:t>
            </w:r>
          </w:p>
        </w:tc>
      </w:tr>
      <w:tr>
        <w:trPr>
          <w:trHeight w:val="216"/>
        </w:trPr>
        <w:tc>
          <w:tcPr>
            <w:tcW w:w="67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Net cash used in investing activities</w:t>
            </w:r>
          </w:p>
        </w:tc>
        <w:tc>
          <w:tcPr>
            <w:tcW w:w="14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(62,654)</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(438,926)</w:t>
            </w:r>
          </w:p>
        </w:tc>
      </w:tr>
      <w:tr>
        <w:trPr>
          <w:trHeight w:val="81"/>
        </w:trPr>
        <w:tc>
          <w:tcPr>
            <w:tcW w:w="67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60" w:type="dxa"/>
            <w:vAlign w:val="bottom"/>
          </w:tcPr>
          <w:p>
            <w:pPr>
              <w:spacing w:after="0"/>
              <w:rPr>
                <w:sz w:val="7"/>
                <w:szCs w:val="7"/>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1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1"/>
        </w:trPr>
        <w:tc>
          <w:tcPr>
            <w:tcW w:w="6740" w:type="dxa"/>
            <w:vAlign w:val="bottom"/>
          </w:tcPr>
          <w:p>
            <w:pPr>
              <w:ind w:left="140"/>
              <w:spacing w:after="0"/>
              <w:rPr>
                <w:sz w:val="20"/>
                <w:szCs w:val="20"/>
                <w:color w:val="auto"/>
              </w:rPr>
            </w:pPr>
            <w:r>
              <w:rPr>
                <w:rFonts w:ascii="Arial" w:cs="Arial" w:eastAsia="Arial" w:hAnsi="Arial"/>
                <w:sz w:val="17"/>
                <w:szCs w:val="17"/>
                <w:color w:val="auto"/>
              </w:rPr>
              <w:t>Borrowings under debt arrangements</w:t>
            </w:r>
          </w:p>
        </w:tc>
        <w:tc>
          <w:tcPr>
            <w:tcW w:w="1460" w:type="dxa"/>
            <w:vAlign w:val="bottom"/>
          </w:tcPr>
          <w:p>
            <w:pPr>
              <w:spacing w:after="0"/>
              <w:rPr>
                <w:sz w:val="19"/>
                <w:szCs w:val="19"/>
                <w:color w:val="auto"/>
              </w:rPr>
            </w:pPr>
          </w:p>
        </w:tc>
        <w:tc>
          <w:tcPr>
            <w:tcW w:w="1380" w:type="dxa"/>
            <w:vAlign w:val="bottom"/>
          </w:tcPr>
          <w:p>
            <w:pPr>
              <w:jc w:val="right"/>
              <w:ind w:right="37"/>
              <w:spacing w:after="0"/>
              <w:rPr>
                <w:sz w:val="20"/>
                <w:szCs w:val="20"/>
                <w:color w:val="auto"/>
              </w:rPr>
            </w:pPr>
            <w:r>
              <w:rPr>
                <w:rFonts w:ascii="Arial" w:cs="Arial" w:eastAsia="Arial" w:hAnsi="Arial"/>
                <w:sz w:val="17"/>
                <w:szCs w:val="17"/>
                <w:color w:val="auto"/>
              </w:rPr>
              <w:t>260,000</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600,000</w:t>
            </w:r>
          </w:p>
        </w:tc>
      </w:tr>
      <w:tr>
        <w:trPr>
          <w:trHeight w:val="225"/>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Repayments under debt arrangements</w:t>
            </w:r>
          </w:p>
        </w:tc>
        <w:tc>
          <w:tcPr>
            <w:tcW w:w="1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(210,000)</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w:t>
            </w:r>
          </w:p>
        </w:tc>
      </w:tr>
      <w:tr>
        <w:trPr>
          <w:trHeight w:val="214"/>
        </w:trPr>
        <w:tc>
          <w:tcPr>
            <w:tcW w:w="6740" w:type="dxa"/>
            <w:vAlign w:val="bottom"/>
          </w:tcPr>
          <w:p>
            <w:pPr>
              <w:ind w:left="140"/>
              <w:spacing w:after="0"/>
              <w:rPr>
                <w:sz w:val="20"/>
                <w:szCs w:val="20"/>
                <w:color w:val="auto"/>
              </w:rPr>
            </w:pPr>
            <w:r>
              <w:rPr>
                <w:rFonts w:ascii="Arial" w:cs="Arial" w:eastAsia="Arial" w:hAnsi="Arial"/>
                <w:sz w:val="17"/>
                <w:szCs w:val="17"/>
                <w:color w:val="auto"/>
              </w:rPr>
              <w:t>Proceeds from exercise of stock options</w:t>
            </w:r>
          </w:p>
        </w:tc>
        <w:tc>
          <w:tcPr>
            <w:tcW w:w="1460" w:type="dxa"/>
            <w:vAlign w:val="bottom"/>
          </w:tcPr>
          <w:p>
            <w:pPr>
              <w:spacing w:after="0"/>
              <w:rPr>
                <w:sz w:val="18"/>
                <w:szCs w:val="18"/>
                <w:color w:val="auto"/>
              </w:rPr>
            </w:pPr>
          </w:p>
        </w:tc>
        <w:tc>
          <w:tcPr>
            <w:tcW w:w="1380" w:type="dxa"/>
            <w:vAlign w:val="bottom"/>
          </w:tcPr>
          <w:p>
            <w:pPr>
              <w:jc w:val="right"/>
              <w:ind w:right="37"/>
              <w:spacing w:after="0"/>
              <w:rPr>
                <w:sz w:val="20"/>
                <w:szCs w:val="20"/>
                <w:color w:val="auto"/>
              </w:rPr>
            </w:pPr>
            <w:r>
              <w:rPr>
                <w:rFonts w:ascii="Arial" w:cs="Arial" w:eastAsia="Arial" w:hAnsi="Arial"/>
                <w:sz w:val="17"/>
                <w:szCs w:val="17"/>
                <w:color w:val="auto"/>
              </w:rPr>
              <w:t>17,553</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2,247</w:t>
            </w:r>
          </w:p>
        </w:tc>
      </w:tr>
      <w:tr>
        <w:trPr>
          <w:trHeight w:val="231"/>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of withholding taxes for stock awards</w:t>
            </w:r>
          </w:p>
        </w:tc>
        <w:tc>
          <w:tcPr>
            <w:tcW w:w="14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(2,869)</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(1,850)</w:t>
            </w:r>
          </w:p>
        </w:tc>
      </w:tr>
      <w:tr>
        <w:trPr>
          <w:trHeight w:val="214"/>
        </w:trPr>
        <w:tc>
          <w:tcPr>
            <w:tcW w:w="6740" w:type="dxa"/>
            <w:vAlign w:val="bottom"/>
          </w:tcPr>
          <w:p>
            <w:pPr>
              <w:ind w:left="140"/>
              <w:spacing w:after="0"/>
              <w:rPr>
                <w:sz w:val="20"/>
                <w:szCs w:val="20"/>
                <w:color w:val="auto"/>
              </w:rPr>
            </w:pPr>
            <w:r>
              <w:rPr>
                <w:rFonts w:ascii="Arial" w:cs="Arial" w:eastAsia="Arial" w:hAnsi="Arial"/>
                <w:sz w:val="17"/>
                <w:szCs w:val="17"/>
                <w:color w:val="auto"/>
              </w:rPr>
              <w:t>Purchases of TTC common stock</w:t>
            </w:r>
          </w:p>
        </w:tc>
        <w:tc>
          <w:tcPr>
            <w:tcW w:w="14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(24,311)</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(75,000)</w:t>
            </w:r>
          </w:p>
        </w:tc>
      </w:tr>
      <w:tr>
        <w:trPr>
          <w:trHeight w:val="218"/>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Dividends paid on TTC common stock</w:t>
            </w:r>
          </w:p>
        </w:tc>
        <w:tc>
          <w:tcPr>
            <w:tcW w:w="1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(71,090)</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(62,954)</w:t>
            </w:r>
          </w:p>
        </w:tc>
      </w:tr>
      <w:tr>
        <w:trPr>
          <w:trHeight w:val="223"/>
        </w:trPr>
        <w:tc>
          <w:tcPr>
            <w:tcW w:w="67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w:t>
            </w:r>
          </w:p>
        </w:tc>
        <w:tc>
          <w:tcPr>
            <w:tcW w:w="1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(1,525)</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67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Net cash (used in) provided by financing activities</w:t>
            </w:r>
          </w:p>
        </w:tc>
        <w:tc>
          <w:tcPr>
            <w:tcW w:w="14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(32,242)</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262,443</w:t>
            </w:r>
          </w:p>
        </w:tc>
      </w:tr>
      <w:tr>
        <w:trPr>
          <w:trHeight w:val="90"/>
        </w:trPr>
        <w:tc>
          <w:tcPr>
            <w:tcW w:w="67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60" w:type="dxa"/>
            <w:vAlign w:val="bottom"/>
          </w:tcPr>
          <w:p>
            <w:pPr>
              <w:spacing w:after="0"/>
              <w:rPr>
                <w:sz w:val="7"/>
                <w:szCs w:val="7"/>
                <w:color w:val="auto"/>
              </w:rPr>
            </w:pPr>
          </w:p>
        </w:tc>
      </w:tr>
      <w:tr>
        <w:trPr>
          <w:trHeight w:val="223"/>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14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(3,689)</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(8,760)</w:t>
            </w:r>
          </w:p>
        </w:tc>
      </w:tr>
      <w:tr>
        <w:trPr>
          <w:trHeight w:val="95"/>
        </w:trPr>
        <w:tc>
          <w:tcPr>
            <w:tcW w:w="67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23"/>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decrease in cash and cash equivalents</w:t>
            </w:r>
          </w:p>
        </w:tc>
        <w:tc>
          <w:tcPr>
            <w:tcW w:w="14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(36,946)</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(142,379)</w:t>
            </w:r>
          </w:p>
        </w:tc>
      </w:tr>
      <w:tr>
        <w:trPr>
          <w:trHeight w:val="214"/>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14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188,250</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405,612</w:t>
            </w:r>
          </w:p>
        </w:tc>
      </w:tr>
      <w:tr>
        <w:trPr>
          <w:trHeight w:val="235"/>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as of the end of the fiscal period</w:t>
            </w: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151,304</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263,233</w:t>
            </w:r>
          </w:p>
        </w:tc>
      </w:tr>
      <w:tr>
        <w:trPr>
          <w:trHeight w:val="20"/>
        </w:trPr>
        <w:tc>
          <w:tcPr>
            <w:tcW w:w="67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940"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Non-GAAP Financial Measures (Unaudited)</w:t>
      </w:r>
    </w:p>
    <w:p>
      <w:pPr>
        <w:jc w:val="center"/>
        <w:spacing w:after="0"/>
        <w:rPr>
          <w:sz w:val="20"/>
          <w:szCs w:val="20"/>
          <w:color w:val="auto"/>
        </w:rPr>
      </w:pPr>
      <w:r>
        <w:rPr>
          <w:rFonts w:ascii="Arial" w:cs="Arial" w:eastAsia="Arial" w:hAnsi="Arial"/>
          <w:sz w:val="20"/>
          <w:szCs w:val="20"/>
          <w:b w:val="1"/>
          <w:bCs w:val="1"/>
          <w:color w:val="auto"/>
        </w:rPr>
        <w:t>(Dollars in thousands, except per-share data)</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provides a reconciliation of the non-GAAP financial performance measures used in this press release and our related earnings call to the most directly comparable measures calculated and reported in accordance with U.S. GAAP for the six month periods ended May 5, 2023 and April 29, 2022:</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4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right"/>
              <w:ind w:right="717"/>
              <w:spacing w:after="0"/>
              <w:rPr>
                <w:sz w:val="20"/>
                <w:szCs w:val="20"/>
                <w:color w:val="auto"/>
              </w:rPr>
            </w:pPr>
            <w:r>
              <w:rPr>
                <w:rFonts w:ascii="Arial" w:cs="Arial" w:eastAsia="Arial" w:hAnsi="Arial"/>
                <w:sz w:val="17"/>
                <w:szCs w:val="17"/>
                <w:b w:val="1"/>
                <w:bCs w:val="1"/>
                <w:color w:val="auto"/>
              </w:rPr>
              <w:t>Six Months Ended</w:t>
            </w:r>
          </w:p>
        </w:tc>
      </w:tr>
      <w:tr>
        <w:trPr>
          <w:trHeight w:val="218"/>
        </w:trPr>
        <w:tc>
          <w:tcPr>
            <w:tcW w:w="4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b w:val="1"/>
                <w:bCs w:val="1"/>
                <w:color w:val="auto"/>
                <w:w w:val="97"/>
              </w:rPr>
              <w:t>May 5, 2023</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w w:val="94"/>
              </w:rPr>
              <w:t>April 29, 2022</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b w:val="1"/>
                <w:bCs w:val="1"/>
                <w:color w:val="auto"/>
                <w:w w:val="97"/>
              </w:rPr>
              <w:t>May 5, 2023</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w w:val="93"/>
              </w:rPr>
              <w:t>April 29, 2022</w:t>
            </w: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479,721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405,369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875,645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705,845</w:t>
            </w:r>
          </w:p>
        </w:tc>
      </w:tr>
      <w:tr>
        <w:trPr>
          <w:trHeight w:val="216"/>
        </w:trPr>
        <w:tc>
          <w:tcPr>
            <w:tcW w:w="410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1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1,024</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225</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1,024</w:t>
            </w:r>
          </w:p>
        </w:tc>
      </w:tr>
      <w:tr>
        <w:trPr>
          <w:trHeight w:val="208"/>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gross profit</w:t>
            </w: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479,721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406,393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875,870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706,869</w:t>
            </w:r>
          </w:p>
        </w:tc>
      </w:tr>
      <w:tr>
        <w:trPr>
          <w:trHeight w:val="90"/>
        </w:trPr>
        <w:tc>
          <w:tcPr>
            <w:tcW w:w="41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r>
      <w:tr>
        <w:trPr>
          <w:trHeight w:val="209"/>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35.8 %</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32.4 %</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35.2 %</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32.3 %</w:t>
            </w:r>
          </w:p>
        </w:tc>
      </w:tr>
      <w:tr>
        <w:trPr>
          <w:trHeight w:val="216"/>
        </w:trPr>
        <w:tc>
          <w:tcPr>
            <w:tcW w:w="410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1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0.1 %</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0.1 %</w:t>
            </w:r>
          </w:p>
        </w:tc>
      </w:tr>
      <w:tr>
        <w:trPr>
          <w:trHeight w:val="217"/>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gross margin</w:t>
            </w:r>
          </w:p>
        </w:tc>
        <w:tc>
          <w:tcPr>
            <w:tcW w:w="1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35.8 %</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32.5 %</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35.2 %</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32.4 %</w:t>
            </w:r>
          </w:p>
        </w:tc>
      </w:tr>
      <w:tr>
        <w:trPr>
          <w:trHeight w:val="95"/>
        </w:trPr>
        <w:tc>
          <w:tcPr>
            <w:tcW w:w="41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r>
        <w:trPr>
          <w:trHeight w:val="209"/>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218,796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170,577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355,223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262,203</w:t>
            </w:r>
          </w:p>
        </w:tc>
      </w:tr>
      <w:tr>
        <w:trPr>
          <w:trHeight w:val="216"/>
        </w:trPr>
        <w:tc>
          <w:tcPr>
            <w:tcW w:w="410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1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1,736</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447</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2,752</w:t>
            </w:r>
          </w:p>
        </w:tc>
      </w:tr>
      <w:tr>
        <w:trPr>
          <w:trHeight w:val="208"/>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operating earnings</w:t>
            </w: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218,796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172,313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355,670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264,955</w:t>
            </w:r>
          </w:p>
        </w:tc>
      </w:tr>
      <w:tr>
        <w:trPr>
          <w:trHeight w:val="90"/>
        </w:trPr>
        <w:tc>
          <w:tcPr>
            <w:tcW w:w="41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r>
      <w:tr>
        <w:trPr>
          <w:trHeight w:val="209"/>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 margin</w:t>
            </w: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16.3 %</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13.7 %</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14.3 %</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12.0 %</w:t>
            </w:r>
          </w:p>
        </w:tc>
      </w:tr>
      <w:tr>
        <w:trPr>
          <w:trHeight w:val="216"/>
        </w:trPr>
        <w:tc>
          <w:tcPr>
            <w:tcW w:w="410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1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0.1 %</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0.1 %</w:t>
            </w:r>
          </w:p>
        </w:tc>
      </w:tr>
      <w:tr>
        <w:trPr>
          <w:trHeight w:val="208"/>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operating earnings margin</w:t>
            </w:r>
          </w:p>
        </w:tc>
        <w:tc>
          <w:tcPr>
            <w:tcW w:w="1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16.3 %</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13.8 %</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14.3 %</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12.1 %</w:t>
            </w:r>
          </w:p>
        </w:tc>
      </w:tr>
      <w:tr>
        <w:trPr>
          <w:trHeight w:val="103"/>
        </w:trPr>
        <w:tc>
          <w:tcPr>
            <w:tcW w:w="4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before income taxes</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210,819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165,056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342,133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252,203</w:t>
            </w:r>
          </w:p>
        </w:tc>
      </w:tr>
      <w:tr>
        <w:trPr>
          <w:trHeight w:val="216"/>
        </w:trPr>
        <w:tc>
          <w:tcPr>
            <w:tcW w:w="410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1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1,736</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447</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2,752</w:t>
            </w:r>
          </w:p>
        </w:tc>
      </w:tr>
      <w:tr>
        <w:trPr>
          <w:trHeight w:val="208"/>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earnings before income taxes</w:t>
            </w: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210,819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166,792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342,580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254,955</w:t>
            </w:r>
          </w:p>
        </w:tc>
      </w:tr>
      <w:tr>
        <w:trPr>
          <w:trHeight w:val="90"/>
        </w:trPr>
        <w:tc>
          <w:tcPr>
            <w:tcW w:w="41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167,465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131,125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274,325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200,635</w:t>
            </w:r>
          </w:p>
        </w:tc>
      </w:tr>
      <w:tr>
        <w:trPr>
          <w:trHeight w:val="216"/>
        </w:trPr>
        <w:tc>
          <w:tcPr>
            <w:tcW w:w="410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1360" w:type="dxa"/>
            <w:vAlign w:val="bottom"/>
          </w:tcPr>
          <w:p>
            <w:pPr>
              <w:spacing w:after="0"/>
              <w:rPr>
                <w:sz w:val="18"/>
                <w:szCs w:val="18"/>
                <w:color w:val="auto"/>
              </w:rPr>
            </w:pPr>
          </w:p>
        </w:tc>
        <w:tc>
          <w:tcPr>
            <w:tcW w:w="12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320" w:type="dxa"/>
            <w:vAlign w:val="bottom"/>
          </w:tcPr>
          <w:p>
            <w:pPr>
              <w:jc w:val="right"/>
              <w:ind w:right="177"/>
              <w:spacing w:after="0"/>
              <w:rPr>
                <w:sz w:val="20"/>
                <w:szCs w:val="20"/>
                <w:color w:val="auto"/>
              </w:rPr>
            </w:pPr>
            <w:r>
              <w:rPr>
                <w:rFonts w:ascii="Arial" w:cs="Arial" w:eastAsia="Arial" w:hAnsi="Arial"/>
                <w:sz w:val="17"/>
                <w:szCs w:val="17"/>
                <w:color w:val="auto"/>
              </w:rPr>
              <w:t>1,375</w:t>
            </w:r>
          </w:p>
        </w:tc>
        <w:tc>
          <w:tcPr>
            <w:tcW w:w="240" w:type="dxa"/>
            <w:vAlign w:val="bottom"/>
          </w:tcPr>
          <w:p>
            <w:pPr>
              <w:spacing w:after="0"/>
              <w:rPr>
                <w:sz w:val="18"/>
                <w:szCs w:val="18"/>
                <w:color w:val="auto"/>
              </w:rPr>
            </w:pPr>
          </w:p>
        </w:tc>
        <w:tc>
          <w:tcPr>
            <w:tcW w:w="1260" w:type="dxa"/>
            <w:vAlign w:val="bottom"/>
          </w:tcPr>
          <w:p>
            <w:pPr>
              <w:jc w:val="right"/>
              <w:ind w:right="157"/>
              <w:spacing w:after="0"/>
              <w:rPr>
                <w:sz w:val="20"/>
                <w:szCs w:val="20"/>
                <w:color w:val="auto"/>
              </w:rPr>
            </w:pPr>
            <w:r>
              <w:rPr>
                <w:rFonts w:ascii="Arial" w:cs="Arial" w:eastAsia="Arial" w:hAnsi="Arial"/>
                <w:sz w:val="17"/>
                <w:szCs w:val="17"/>
                <w:color w:val="auto"/>
              </w:rPr>
              <w:t>351</w:t>
            </w:r>
          </w:p>
        </w:tc>
        <w:tc>
          <w:tcPr>
            <w:tcW w:w="220" w:type="dxa"/>
            <w:vAlign w:val="bottom"/>
          </w:tcPr>
          <w:p>
            <w:pPr>
              <w:spacing w:after="0"/>
              <w:rPr>
                <w:sz w:val="18"/>
                <w:szCs w:val="18"/>
                <w:color w:val="auto"/>
              </w:rPr>
            </w:pPr>
          </w:p>
        </w:tc>
        <w:tc>
          <w:tcPr>
            <w:tcW w:w="1240" w:type="dxa"/>
            <w:vAlign w:val="bottom"/>
          </w:tcPr>
          <w:p>
            <w:pPr>
              <w:jc w:val="right"/>
              <w:ind w:right="97"/>
              <w:spacing w:after="0"/>
              <w:rPr>
                <w:sz w:val="20"/>
                <w:szCs w:val="20"/>
                <w:color w:val="auto"/>
              </w:rPr>
            </w:pPr>
            <w:r>
              <w:rPr>
                <w:rFonts w:ascii="Arial" w:cs="Arial" w:eastAsia="Arial" w:hAnsi="Arial"/>
                <w:sz w:val="17"/>
                <w:szCs w:val="17"/>
                <w:color w:val="auto"/>
              </w:rPr>
              <w:t>2,179</w:t>
            </w:r>
          </w:p>
        </w:tc>
      </w:tr>
      <w:tr>
        <w:trPr>
          <w:trHeight w:val="216"/>
        </w:trPr>
        <w:tc>
          <w:tcPr>
            <w:tcW w:w="410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stock-based compensation</w:t>
            </w:r>
            <w:r>
              <w:rPr>
                <w:rFonts w:ascii="Arial" w:cs="Arial" w:eastAsia="Arial" w:hAnsi="Arial"/>
                <w:sz w:val="21"/>
                <w:szCs w:val="21"/>
                <w:color w:val="auto"/>
                <w:vertAlign w:val="superscript"/>
              </w:rPr>
              <w:t>2</w:t>
            </w:r>
          </w:p>
        </w:tc>
        <w:tc>
          <w:tcPr>
            <w:tcW w:w="1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(1,075)</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(367)</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(4,680)</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(987)</w:t>
            </w:r>
          </w:p>
        </w:tc>
      </w:tr>
      <w:tr>
        <w:trPr>
          <w:trHeight w:val="217"/>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net earnings</w:t>
            </w: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166,390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132,133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269,996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201,827</w:t>
            </w:r>
          </w:p>
        </w:tc>
      </w:tr>
      <w:tr>
        <w:trPr>
          <w:trHeight w:val="95"/>
        </w:trPr>
        <w:tc>
          <w:tcPr>
            <w:tcW w:w="4100" w:type="dxa"/>
            <w:vAlign w:val="bottom"/>
            <w:tcBorders>
              <w:bottom w:val="single" w:sz="8" w:color="auto"/>
            </w:tcBorders>
            <w:shd w:val="clear" w:color="auto" w:fill="CCEEFF"/>
          </w:tcPr>
          <w:p>
            <w:pPr>
              <w:spacing w:after="0"/>
              <w:rPr>
                <w:sz w:val="8"/>
                <w:szCs w:val="8"/>
                <w:color w:val="auto"/>
              </w:rPr>
            </w:pPr>
          </w:p>
        </w:tc>
        <w:tc>
          <w:tcPr>
            <w:tcW w:w="1360" w:type="dxa"/>
            <w:vAlign w:val="bottom"/>
            <w:tcBorders>
              <w:bottom w:val="single" w:sz="8" w:color="auto"/>
            </w:tcBorders>
            <w:shd w:val="clear" w:color="auto" w:fill="CCEEFF"/>
          </w:tcPr>
          <w:p>
            <w:pPr>
              <w:spacing w:after="0"/>
              <w:rPr>
                <w:sz w:val="8"/>
                <w:szCs w:val="8"/>
                <w:color w:val="auto"/>
              </w:rPr>
            </w:pPr>
          </w:p>
        </w:tc>
        <w:tc>
          <w:tcPr>
            <w:tcW w:w="1260" w:type="dxa"/>
            <w:vAlign w:val="bottom"/>
            <w:tcBorders>
              <w:bottom w:val="single" w:sz="8" w:color="auto"/>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1320" w:type="dxa"/>
            <w:vAlign w:val="bottom"/>
            <w:tcBorders>
              <w:bottom w:val="single" w:sz="8" w:color="auto"/>
            </w:tcBorders>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1260" w:type="dxa"/>
            <w:vAlign w:val="bottom"/>
            <w:tcBorders>
              <w:bottom w:val="single" w:sz="8" w:color="auto"/>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1240" w:type="dxa"/>
            <w:vAlign w:val="bottom"/>
            <w:tcBorders>
              <w:bottom w:val="single" w:sz="8" w:color="auto"/>
            </w:tcBorders>
            <w:shd w:val="clear" w:color="auto" w:fill="CCEEFF"/>
          </w:tcPr>
          <w:p>
            <w:pPr>
              <w:spacing w:after="0"/>
              <w:rPr>
                <w:sz w:val="8"/>
                <w:szCs w:val="8"/>
                <w:color w:val="auto"/>
              </w:rPr>
            </w:pPr>
          </w:p>
        </w:tc>
      </w:tr>
      <w:tr>
        <w:trPr>
          <w:trHeight w:val="208"/>
        </w:trPr>
        <w:tc>
          <w:tcPr>
            <w:tcW w:w="4100" w:type="dxa"/>
            <w:vAlign w:val="bottom"/>
          </w:tcPr>
          <w:p>
            <w:pPr>
              <w:ind w:left="20"/>
              <w:spacing w:after="0"/>
              <w:rPr>
                <w:sz w:val="20"/>
                <w:szCs w:val="20"/>
                <w:color w:val="auto"/>
              </w:rPr>
            </w:pPr>
            <w:r>
              <w:rPr>
                <w:rFonts w:ascii="Arial" w:cs="Arial" w:eastAsia="Arial" w:hAnsi="Arial"/>
                <w:sz w:val="17"/>
                <w:szCs w:val="17"/>
                <w:color w:val="auto"/>
              </w:rPr>
              <w:t>Diluted EPS</w:t>
            </w: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57"/>
              <w:spacing w:after="0"/>
              <w:rPr>
                <w:sz w:val="20"/>
                <w:szCs w:val="20"/>
                <w:color w:val="auto"/>
              </w:rPr>
            </w:pPr>
            <w:r>
              <w:rPr>
                <w:rFonts w:ascii="Arial" w:cs="Arial" w:eastAsia="Arial" w:hAnsi="Arial"/>
                <w:sz w:val="17"/>
                <w:szCs w:val="17"/>
                <w:color w:val="auto"/>
              </w:rPr>
              <w:t>1.59</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77"/>
              <w:spacing w:after="0"/>
              <w:rPr>
                <w:sz w:val="20"/>
                <w:szCs w:val="20"/>
                <w:color w:val="auto"/>
              </w:rPr>
            </w:pPr>
            <w:r>
              <w:rPr>
                <w:rFonts w:ascii="Arial" w:cs="Arial" w:eastAsia="Arial" w:hAnsi="Arial"/>
                <w:sz w:val="17"/>
                <w:szCs w:val="17"/>
                <w:color w:val="auto"/>
              </w:rPr>
              <w:t>1.24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57"/>
              <w:spacing w:after="0"/>
              <w:rPr>
                <w:sz w:val="20"/>
                <w:szCs w:val="20"/>
                <w:color w:val="auto"/>
              </w:rPr>
            </w:pPr>
            <w:r>
              <w:rPr>
                <w:rFonts w:ascii="Arial" w:cs="Arial" w:eastAsia="Arial" w:hAnsi="Arial"/>
                <w:sz w:val="17"/>
                <w:szCs w:val="17"/>
                <w:color w:val="auto"/>
              </w:rPr>
              <w:t>2.60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97"/>
              <w:spacing w:after="0"/>
              <w:rPr>
                <w:sz w:val="20"/>
                <w:szCs w:val="20"/>
                <w:color w:val="auto"/>
              </w:rPr>
            </w:pPr>
            <w:r>
              <w:rPr>
                <w:rFonts w:ascii="Arial" w:cs="Arial" w:eastAsia="Arial" w:hAnsi="Arial"/>
                <w:sz w:val="17"/>
                <w:szCs w:val="17"/>
                <w:color w:val="auto"/>
              </w:rPr>
              <w:t>1.89</w:t>
            </w:r>
          </w:p>
        </w:tc>
      </w:tr>
      <w:tr>
        <w:trPr>
          <w:trHeight w:val="218"/>
        </w:trPr>
        <w:tc>
          <w:tcPr>
            <w:tcW w:w="4100" w:type="dxa"/>
            <w:vAlign w:val="bottom"/>
            <w:shd w:val="clear" w:color="auto" w:fill="CCEEFF"/>
          </w:tcPr>
          <w:p>
            <w:pPr>
              <w:ind w:left="140"/>
              <w:spacing w:after="0" w:line="218"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0.01</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0.03</w:t>
            </w:r>
          </w:p>
        </w:tc>
      </w:tr>
      <w:tr>
        <w:trPr>
          <w:trHeight w:val="230"/>
        </w:trPr>
        <w:tc>
          <w:tcPr>
            <w:tcW w:w="4100" w:type="dxa"/>
            <w:vAlign w:val="bottom"/>
            <w:tcBorders>
              <w:bottom w:val="single" w:sz="8" w:color="auto"/>
            </w:tcBorders>
          </w:tcPr>
          <w:p>
            <w:pPr>
              <w:ind w:left="140"/>
              <w:spacing w:after="0" w:line="230" w:lineRule="exact"/>
              <w:rPr>
                <w:sz w:val="20"/>
                <w:szCs w:val="20"/>
                <w:color w:val="auto"/>
              </w:rPr>
            </w:pPr>
            <w:r>
              <w:rPr>
                <w:rFonts w:ascii="Arial" w:cs="Arial" w:eastAsia="Arial" w:hAnsi="Arial"/>
                <w:sz w:val="17"/>
                <w:szCs w:val="17"/>
                <w:color w:val="auto"/>
              </w:rPr>
              <w:t>Tax impact of stock-based compensation</w:t>
            </w:r>
            <w:r>
              <w:rPr>
                <w:rFonts w:ascii="Arial" w:cs="Arial" w:eastAsia="Arial" w:hAnsi="Arial"/>
                <w:sz w:val="21"/>
                <w:szCs w:val="21"/>
                <w:color w:val="auto"/>
                <w:vertAlign w:val="superscript"/>
              </w:rPr>
              <w:t>2</w:t>
            </w:r>
          </w:p>
        </w:tc>
        <w:tc>
          <w:tcPr>
            <w:tcW w:w="1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(0.01)</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(0.04)</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(0.01)</w:t>
            </w:r>
          </w:p>
        </w:tc>
      </w:tr>
      <w:tr>
        <w:trPr>
          <w:trHeight w:val="233"/>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diluted EPS</w:t>
            </w: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1.58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1.25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2.56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1.91</w:t>
            </w:r>
          </w:p>
        </w:tc>
      </w:tr>
      <w:tr>
        <w:trPr>
          <w:trHeight w:val="20"/>
        </w:trPr>
        <w:tc>
          <w:tcPr>
            <w:tcW w:w="4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57"/>
        </w:trPr>
        <w:tc>
          <w:tcPr>
            <w:tcW w:w="4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09"/>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Effective tax rate</w:t>
            </w: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20.6 %</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20.6 %</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19.8 %</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20.4 %</w:t>
            </w:r>
          </w:p>
        </w:tc>
      </w:tr>
      <w:tr>
        <w:trPr>
          <w:trHeight w:val="216"/>
        </w:trPr>
        <w:tc>
          <w:tcPr>
            <w:tcW w:w="410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Tax impact of stock-based compensation</w:t>
            </w:r>
            <w:r>
              <w:rPr>
                <w:rFonts w:ascii="Arial" w:cs="Arial" w:eastAsia="Arial" w:hAnsi="Arial"/>
                <w:sz w:val="21"/>
                <w:szCs w:val="21"/>
                <w:color w:val="auto"/>
                <w:vertAlign w:val="superscript"/>
              </w:rPr>
              <w:t>2</w:t>
            </w:r>
          </w:p>
        </w:tc>
        <w:tc>
          <w:tcPr>
            <w:tcW w:w="1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0.5 %</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0.2 %</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1.4 %</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0.4 %</w:t>
            </w:r>
          </w:p>
        </w:tc>
      </w:tr>
      <w:tr>
        <w:trPr>
          <w:trHeight w:val="241"/>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effective tax rate</w:t>
            </w:r>
          </w:p>
        </w:tc>
        <w:tc>
          <w:tcPr>
            <w:tcW w:w="1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21.1 %</w:t>
            </w: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20.8 %</w:t>
            </w: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21.2 %</w:t>
            </w: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20.8 %</w:t>
            </w:r>
          </w:p>
        </w:tc>
      </w:tr>
      <w:tr>
        <w:trPr>
          <w:trHeight w:val="20"/>
        </w:trPr>
        <w:tc>
          <w:tcPr>
            <w:tcW w:w="4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260" w:hanging="171"/>
        <w:spacing w:after="0" w:line="293" w:lineRule="auto"/>
        <w:tabs>
          <w:tab w:leader="none" w:pos="273" w:val="left"/>
        </w:tabs>
        <w:numPr>
          <w:ilvl w:val="0"/>
          <w:numId w:val="7"/>
        </w:numPr>
        <w:rPr>
          <w:rFonts w:ascii="Arial" w:cs="Arial" w:eastAsia="Arial" w:hAnsi="Arial"/>
          <w:sz w:val="9"/>
          <w:szCs w:val="9"/>
          <w:color w:val="auto"/>
        </w:rPr>
      </w:pPr>
      <w:r>
        <w:rPr>
          <w:rFonts w:ascii="Arial" w:cs="Arial" w:eastAsia="Arial" w:hAnsi="Arial"/>
          <w:sz w:val="14"/>
          <w:szCs w:val="14"/>
          <w:color w:val="auto"/>
        </w:rPr>
        <w:t>On January 13, 2022, the company completed the acquisition of Intimidator. Acquisition-related costs for the six month period ended May 5, 2023 represent integration costs. Acquisition-related costs for the three and six month periods ended April 29, 2022 represent transaction and integration costs.</w:t>
      </w:r>
    </w:p>
    <w:p>
      <w:pPr>
        <w:spacing w:after="0" w:line="66" w:lineRule="exact"/>
        <w:rPr>
          <w:sz w:val="20"/>
          <w:szCs w:val="20"/>
          <w:color w:val="auto"/>
        </w:rPr>
      </w:pPr>
    </w:p>
    <w:p>
      <w:pPr>
        <w:jc w:val="both"/>
        <w:ind w:left="260" w:hanging="171"/>
        <w:spacing w:after="0" w:line="233" w:lineRule="auto"/>
        <w:tabs>
          <w:tab w:leader="none" w:pos="248"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and six month periods ended May 5, 2023 and April 29, 2022.</w:t>
      </w:r>
    </w:p>
    <w:p>
      <w:pPr>
        <w:sectPr>
          <w:pgSz w:w="11900" w:h="16838" w:orient="portrait"/>
          <w:cols w:equalWidth="0" w:num="1">
            <w:col w:w="11240"/>
          </w:cols>
          <w:pgMar w:left="320" w:top="118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Reconciliation of Non-GAAP Liquidity Measures</w:t>
      </w:r>
    </w:p>
    <w:p>
      <w:pPr>
        <w:spacing w:after="0" w:line="1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defines free cash flow as net cash provided by operating activities less purchases of property, plant and equipment, net of proceeds from insurance claim. Free cash flow conversion percentage represents free cash flow as a percentage of net earnings. The company considers free cash flow and free cash flow conversion percentage to be non-GAAP liquidity measures that provide useful information to management and investors about the company's ability to convert net earnings into cash resources that can be used to pursue opportunities to enhance shareholder value, fund ongoing and prospective business initiatives, and strengthen the company's Consolidated Balance Sheets, after reinvesting in necessary capital expenditures required to maintain and grow the company's business.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following table provides a reconciliation of non-GAAP free cash flow and free cash flow conversion percentage to net cash provided by operating activities, which is the most directly comparable financial measure calculated and reported in accordance with U.S. GAAP, for the </w:t>
      </w:r>
      <w:r>
        <w:rPr>
          <w:rFonts w:ascii="Arial" w:cs="Arial" w:eastAsia="Arial" w:hAnsi="Arial"/>
          <w:sz w:val="16"/>
          <w:szCs w:val="16"/>
          <w:color w:val="auto"/>
        </w:rPr>
        <w:t>six</w:t>
      </w:r>
      <w:r>
        <w:rPr>
          <w:rFonts w:ascii="Arial" w:cs="Arial" w:eastAsia="Arial" w:hAnsi="Arial"/>
          <w:sz w:val="18"/>
          <w:szCs w:val="18"/>
          <w:color w:val="auto"/>
        </w:rPr>
        <w:t xml:space="preserve"> month periods ended May 5, 2023 and April 29, 2022:</w:t>
      </w:r>
    </w:p>
    <w:p>
      <w:pPr>
        <w:spacing w:after="0" w:line="171" w:lineRule="exact"/>
        <w:rPr>
          <w:sz w:val="20"/>
          <w:szCs w:val="20"/>
          <w:color w:val="auto"/>
        </w:rPr>
      </w:pPr>
    </w:p>
    <w:p>
      <w:pPr>
        <w:ind w:left="8740"/>
        <w:spacing w:after="0"/>
        <w:rPr>
          <w:sz w:val="20"/>
          <w:szCs w:val="20"/>
          <w:color w:val="auto"/>
        </w:rPr>
      </w:pPr>
      <w:r>
        <w:rPr>
          <w:rFonts w:ascii="Arial" w:cs="Arial" w:eastAsia="Arial" w:hAnsi="Arial"/>
          <w:sz w:val="17"/>
          <w:szCs w:val="17"/>
          <w:b w:val="1"/>
          <w:bCs w:val="1"/>
          <w:color w:val="auto"/>
        </w:rPr>
        <w:t>Six Months Ended</w:t>
      </w:r>
    </w:p>
    <w:p>
      <w:pPr>
        <w:spacing w:after="0" w:line="21" w:lineRule="exact"/>
        <w:rPr>
          <w:sz w:val="20"/>
          <w:szCs w:val="20"/>
          <w:color w:val="auto"/>
        </w:rPr>
      </w:pPr>
    </w:p>
    <w:tbl>
      <w:tblPr>
        <w:tblLayout w:type="fixed"/>
        <w:tblInd w:w="180" w:type="dxa"/>
        <w:tblCellMar>
          <w:top w:w="0" w:type="dxa"/>
          <w:left w:w="0" w:type="dxa"/>
          <w:bottom w:w="0" w:type="dxa"/>
          <w:right w:w="0" w:type="dxa"/>
        </w:tblCellMar>
      </w:tblPr>
      <w:tr>
        <w:trPr>
          <w:trHeight w:val="227"/>
        </w:trPr>
        <w:tc>
          <w:tcPr>
            <w:tcW w:w="6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10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7"/>
                <w:szCs w:val="17"/>
                <w:b w:val="1"/>
                <w:bCs w:val="1"/>
                <w:color w:val="auto"/>
              </w:rPr>
              <w:t>May 5, 2023</w:t>
            </w:r>
          </w:p>
        </w:tc>
        <w:tc>
          <w:tcPr>
            <w:tcW w:w="2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w w:val="98"/>
              </w:rPr>
              <w:t>April 29, 2022</w:t>
            </w:r>
          </w:p>
        </w:tc>
      </w:tr>
      <w:tr>
        <w:trPr>
          <w:trHeight w:val="209"/>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61,639</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42,864</w:t>
            </w:r>
          </w:p>
        </w:tc>
      </w:tr>
      <w:tr>
        <w:trPr>
          <w:trHeight w:val="223"/>
        </w:trPr>
        <w:tc>
          <w:tcPr>
            <w:tcW w:w="67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w w:val="99"/>
              </w:rPr>
              <w:t>Less: Purchases of property, plant and equipment, net of proceeds from insurance claim</w:t>
            </w:r>
          </w:p>
        </w:tc>
        <w:tc>
          <w:tcPr>
            <w:tcW w:w="10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62,963</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35,969</w:t>
            </w: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Free cash flow</w:t>
            </w:r>
          </w:p>
        </w:tc>
        <w:tc>
          <w:tcPr>
            <w:tcW w:w="10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(1,324)</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6,895</w:t>
            </w:r>
          </w:p>
        </w:tc>
      </w:tr>
      <w:tr>
        <w:trPr>
          <w:trHeight w:val="214"/>
        </w:trPr>
        <w:tc>
          <w:tcPr>
            <w:tcW w:w="67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Net earnings</w:t>
            </w: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274,325</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200,635</w:t>
            </w:r>
          </w:p>
        </w:tc>
      </w:tr>
      <w:tr>
        <w:trPr>
          <w:trHeight w:val="243"/>
        </w:trPr>
        <w:tc>
          <w:tcPr>
            <w:tcW w:w="6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Free cash flow conversion percentage</w:t>
            </w:r>
          </w:p>
        </w:tc>
        <w:tc>
          <w:tcPr>
            <w:tcW w:w="10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2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3.4 %</w:t>
            </w:r>
          </w:p>
        </w:tc>
      </w:tr>
      <w:tr>
        <w:trPr>
          <w:trHeight w:val="20"/>
        </w:trPr>
        <w:tc>
          <w:tcPr>
            <w:tcW w:w="6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240"/>
      </w:cols>
      <w:pgMar w:left="320" w:top="11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952"/>
    </w:lvl>
  </w:abstractNum>
  <w:abstractNum w:abstractNumId="2">
    <w:nsid w:val="3D1B58BA"/>
    <w:multiLevelType w:val="hybridMultilevel"/>
    <w:lvl w:ilvl="0">
      <w:lvlJc w:val="left"/>
      <w:lvlText w:val="(%1)"/>
      <w:numFmt w:val="decimal"/>
      <w:start w:val="95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2023-06-08T08:14:53Z</dcterms:created>
  <dcterms:modified xsi:type="dcterms:W3CDTF">2023-06-08T08:14:53Z</dcterms:modified>
</cp:coreProperties>
</file>