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255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HOFFMAN MICHAEL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12/06/2011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6"/>
        <w:spacing w:after="0"/>
        <w:rPr>
          <w:sz w:val="20"/>
          <w:szCs w:val="20"/>
          <w:color w:val="auto"/>
        </w:rPr>
      </w:pPr>
      <w:r>
        <w:rPr>
          <w:rFonts w:ascii="Arial" w:cs="Arial" w:eastAsia="Arial" w:hAnsi="Arial"/>
          <w:sz w:val="17"/>
          <w:szCs w:val="17"/>
          <w:color w:val="0000FF"/>
        </w:rPr>
        <w:t>Chmn., CEO &amp; Pres.</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20" w:type="dxa"/>
            <w:vAlign w:val="bottom"/>
            <w:gridSpan w:val="7"/>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20" w:type="dxa"/>
            <w:vAlign w:val="bottom"/>
            <w:gridSpan w:val="7"/>
            <w:vMerge w:val="continue"/>
          </w:tcPr>
          <w:p>
            <w:pPr>
              <w:spacing w:after="0"/>
              <w:rPr>
                <w:sz w:val="11"/>
                <w:szCs w:val="11"/>
                <w:color w:val="auto"/>
              </w:rPr>
            </w:pPr>
          </w:p>
        </w:tc>
        <w:tc>
          <w:tcPr>
            <w:tcW w:w="38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3"/>
          </w:tcPr>
          <w:p>
            <w:pPr>
              <w:spacing w:after="0"/>
              <w:rPr>
                <w:sz w:val="20"/>
                <w:szCs w:val="20"/>
                <w:color w:val="auto"/>
              </w:rPr>
            </w:pPr>
            <w:r>
              <w:rPr>
                <w:rFonts w:ascii="Arial" w:cs="Arial" w:eastAsia="Arial" w:hAnsi="Arial"/>
                <w:sz w:val="17"/>
                <w:szCs w:val="17"/>
                <w:color w:val="0000FF"/>
              </w:rPr>
              <w:t>BLOOMINGTON MN</w:t>
            </w:r>
          </w:p>
        </w:tc>
        <w:tc>
          <w:tcPr>
            <w:tcW w:w="1180" w:type="dxa"/>
            <w:vAlign w:val="bottom"/>
          </w:tcPr>
          <w:p>
            <w:pPr>
              <w:ind w:left="80"/>
              <w:spacing w:after="0"/>
              <w:rPr>
                <w:sz w:val="20"/>
                <w:szCs w:val="20"/>
                <w:color w:val="auto"/>
              </w:rPr>
            </w:pPr>
            <w:r>
              <w:rPr>
                <w:rFonts w:ascii="Arial" w:cs="Arial" w:eastAsia="Arial" w:hAnsi="Arial"/>
                <w:sz w:val="17"/>
                <w:szCs w:val="17"/>
                <w:color w:val="0000FF"/>
              </w:rPr>
              <w:t>55420-1196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540" w:type="dxa"/>
            <w:vAlign w:val="bottom"/>
            <w:gridSpan w:val="6"/>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220" w:type="dxa"/>
            <w:vAlign w:val="bottom"/>
            <w:gridSpan w:val="8"/>
            <w:vMerge w:val="restart"/>
          </w:tcPr>
          <w:p>
            <w:pPr>
              <w:ind w:left="3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22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ind w:left="300"/>
              <w:spacing w:after="0"/>
              <w:rPr>
                <w:sz w:val="20"/>
                <w:szCs w:val="20"/>
                <w:color w:val="auto"/>
              </w:rPr>
            </w:pPr>
            <w:r>
              <w:rPr>
                <w:rFonts w:ascii="Arial" w:cs="Arial" w:eastAsia="Arial" w:hAnsi="Arial"/>
                <w:sz w:val="13"/>
                <w:szCs w:val="13"/>
                <w:color w:val="auto"/>
              </w:rPr>
              <w:t>Person</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9"/>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3"/>
          </w:tcPr>
          <w:p>
            <w:pPr>
              <w:jc w:val="center"/>
              <w:ind w:left="75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3"/>
          </w:tcPr>
          <w:p>
            <w:pPr>
              <w:ind w:left="6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12/06/2011</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14,750</w:t>
            </w:r>
            <w:r>
              <w:rPr>
                <w:rFonts w:ascii="Arial" w:cs="Arial" w:eastAsia="Arial" w:hAnsi="Arial"/>
                <w:sz w:val="22"/>
                <w:szCs w:val="22"/>
                <w:color w:val="008000"/>
                <w:vertAlign w:val="superscript"/>
              </w:rPr>
              <w:t>(1)</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245,200.21</w:t>
            </w:r>
            <w:r>
              <w:rPr>
                <w:rFonts w:ascii="Arial" w:cs="Arial" w:eastAsia="Arial" w:hAnsi="Arial"/>
                <w:sz w:val="22"/>
                <w:szCs w:val="22"/>
                <w:color w:val="008000"/>
                <w:w w:val="89"/>
                <w:vertAlign w:val="superscript"/>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60" w:type="dxa"/>
            <w:vAlign w:val="bottom"/>
            <w:gridSpan w:val="3"/>
          </w:tcPr>
          <w:p>
            <w:pPr>
              <w:ind w:left="760"/>
              <w:spacing w:after="0"/>
              <w:rPr>
                <w:sz w:val="20"/>
                <w:szCs w:val="20"/>
                <w:color w:val="auto"/>
              </w:rPr>
            </w:pPr>
            <w:r>
              <w:rPr>
                <w:rFonts w:ascii="Arial" w:cs="Arial" w:eastAsia="Arial" w:hAnsi="Arial"/>
                <w:sz w:val="17"/>
                <w:szCs w:val="17"/>
                <w:color w:val="0000FF"/>
              </w:rPr>
              <w:t>12/06/2011</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center"/>
              <w:ind w:right="279"/>
              <w:spacing w:after="0"/>
              <w:rPr>
                <w:sz w:val="20"/>
                <w:szCs w:val="20"/>
                <w:color w:val="auto"/>
              </w:rPr>
            </w:pPr>
            <w:r>
              <w:rPr>
                <w:rFonts w:ascii="Arial" w:cs="Arial" w:eastAsia="Arial" w:hAnsi="Arial"/>
                <w:sz w:val="13"/>
                <w:szCs w:val="13"/>
                <w:color w:val="0000FF"/>
              </w:rPr>
              <w:t>F</w:t>
            </w:r>
          </w:p>
        </w:tc>
        <w:tc>
          <w:tcPr>
            <w:tcW w:w="780" w:type="dxa"/>
            <w:vAlign w:val="bottom"/>
          </w:tcPr>
          <w:p>
            <w:pPr>
              <w:jc w:val="right"/>
              <w:ind w:right="93"/>
              <w:spacing w:after="0"/>
              <w:rPr>
                <w:sz w:val="20"/>
                <w:szCs w:val="20"/>
                <w:color w:val="auto"/>
              </w:rPr>
            </w:pPr>
            <w:r>
              <w:rPr>
                <w:rFonts w:ascii="Arial" w:cs="Arial" w:eastAsia="Arial" w:hAnsi="Arial"/>
                <w:sz w:val="17"/>
                <w:szCs w:val="17"/>
                <w:color w:val="0000FF"/>
              </w:rPr>
              <w:t>6,299</w:t>
            </w:r>
          </w:p>
        </w:tc>
        <w:tc>
          <w:tcPr>
            <w:tcW w:w="5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0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56.88</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238,901.21</w:t>
            </w:r>
          </w:p>
        </w:tc>
        <w:tc>
          <w:tcPr>
            <w:tcW w:w="30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7"/>
                <w:szCs w:val="17"/>
                <w:color w:val="0000FF"/>
                <w:w w:val="97"/>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gridSpan w:val="3"/>
          </w:tcPr>
          <w:p>
            <w:pPr>
              <w:jc w:val="center"/>
              <w:spacing w:after="0" w:line="214" w:lineRule="exact"/>
              <w:rPr>
                <w:sz w:val="20"/>
                <w:szCs w:val="20"/>
                <w:color w:val="auto"/>
              </w:rPr>
            </w:pPr>
            <w:r>
              <w:rPr>
                <w:rFonts w:ascii="Arial" w:cs="Arial" w:eastAsia="Arial" w:hAnsi="Arial"/>
                <w:sz w:val="17"/>
                <w:szCs w:val="17"/>
                <w:color w:val="0000FF"/>
                <w:w w:val="89"/>
              </w:rPr>
              <w:t>31,889.025</w:t>
            </w:r>
            <w:r>
              <w:rPr>
                <w:rFonts w:ascii="Arial" w:cs="Arial" w:eastAsia="Arial" w:hAnsi="Arial"/>
                <w:sz w:val="22"/>
                <w:szCs w:val="22"/>
                <w:color w:val="008000"/>
                <w:w w:val="89"/>
                <w:vertAlign w:val="superscript"/>
              </w:rPr>
              <w:t>(3)</w:t>
            </w:r>
          </w:p>
        </w:tc>
        <w:tc>
          <w:tcPr>
            <w:tcW w:w="30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4"/>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48,082.335</w:t>
            </w:r>
            <w:r>
              <w:rPr>
                <w:rFonts w:ascii="Arial" w:cs="Arial" w:eastAsia="Arial" w:hAnsi="Arial"/>
                <w:sz w:val="22"/>
                <w:szCs w:val="22"/>
                <w:color w:val="008000"/>
                <w:w w:val="89"/>
                <w:vertAlign w:val="superscript"/>
              </w:rPr>
              <w:t>(4)</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6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56.45</w:t>
            </w:r>
          </w:p>
        </w:tc>
        <w:tc>
          <w:tcPr>
            <w:tcW w:w="1080" w:type="dxa"/>
            <w:vAlign w:val="bottom"/>
          </w:tcPr>
          <w:p>
            <w:pPr>
              <w:jc w:val="right"/>
              <w:ind w:right="133"/>
              <w:spacing w:after="0"/>
              <w:rPr>
                <w:sz w:val="20"/>
                <w:szCs w:val="20"/>
                <w:color w:val="auto"/>
              </w:rPr>
            </w:pPr>
            <w:r>
              <w:rPr>
                <w:rFonts w:ascii="Arial" w:cs="Arial" w:eastAsia="Arial" w:hAnsi="Arial"/>
                <w:sz w:val="13"/>
                <w:szCs w:val="13"/>
                <w:color w:val="0000FF"/>
              </w:rPr>
              <w:t>12/07/2011</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ind w:left="60"/>
              <w:spacing w:after="0"/>
              <w:rPr>
                <w:sz w:val="20"/>
                <w:szCs w:val="20"/>
                <w:color w:val="auto"/>
              </w:rPr>
            </w:pPr>
            <w:r>
              <w:rPr>
                <w:rFonts w:ascii="Arial" w:cs="Arial" w:eastAsia="Arial" w:hAnsi="Arial"/>
                <w:sz w:val="13"/>
                <w:szCs w:val="13"/>
                <w:color w:val="0000FF"/>
              </w:rPr>
              <w:t>A</w:t>
            </w:r>
          </w:p>
        </w:tc>
        <w:tc>
          <w:tcPr>
            <w:tcW w:w="360" w:type="dxa"/>
            <w:vAlign w:val="bottom"/>
          </w:tcPr>
          <w:p>
            <w:pPr>
              <w:spacing w:after="0"/>
              <w:rPr>
                <w:sz w:val="17"/>
                <w:szCs w:val="17"/>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66,300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80" w:type="dxa"/>
            <w:vAlign w:val="bottom"/>
          </w:tcPr>
          <w:p>
            <w:pPr>
              <w:ind w:left="80"/>
              <w:spacing w:after="0"/>
              <w:rPr>
                <w:sz w:val="20"/>
                <w:szCs w:val="20"/>
                <w:color w:val="auto"/>
              </w:rPr>
            </w:pPr>
            <w:r>
              <w:rPr>
                <w:rFonts w:ascii="Arial" w:cs="Arial" w:eastAsia="Arial" w:hAnsi="Arial"/>
                <w:sz w:val="13"/>
                <w:szCs w:val="13"/>
                <w:color w:val="0000FF"/>
              </w:rPr>
              <w:t>12/07/2021</w:t>
            </w:r>
          </w:p>
        </w:tc>
        <w:tc>
          <w:tcPr>
            <w:tcW w:w="580" w:type="dxa"/>
            <w:vAlign w:val="bottom"/>
          </w:tcPr>
          <w:p>
            <w:pPr>
              <w:ind w:left="40"/>
              <w:spacing w:after="0"/>
              <w:rPr>
                <w:sz w:val="20"/>
                <w:szCs w:val="20"/>
                <w:color w:val="auto"/>
              </w:rPr>
            </w:pPr>
            <w:r>
              <w:rPr>
                <w:rFonts w:ascii="Arial" w:cs="Arial" w:eastAsia="Arial" w:hAnsi="Arial"/>
                <w:sz w:val="13"/>
                <w:szCs w:val="13"/>
                <w:color w:val="0000FF"/>
                <w:w w:val="98"/>
              </w:rPr>
              <w:t>Common</w:t>
            </w:r>
          </w:p>
        </w:tc>
        <w:tc>
          <w:tcPr>
            <w:tcW w:w="600" w:type="dxa"/>
            <w:vAlign w:val="bottom"/>
          </w:tcPr>
          <w:p>
            <w:pPr>
              <w:ind w:left="100"/>
              <w:spacing w:after="0"/>
              <w:rPr>
                <w:sz w:val="20"/>
                <w:szCs w:val="20"/>
                <w:color w:val="auto"/>
              </w:rPr>
            </w:pPr>
            <w:r>
              <w:rPr>
                <w:rFonts w:ascii="Arial" w:cs="Arial" w:eastAsia="Arial" w:hAnsi="Arial"/>
                <w:sz w:val="17"/>
                <w:szCs w:val="17"/>
                <w:color w:val="0000FF"/>
                <w:w w:val="92"/>
              </w:rPr>
              <w:t>66,300</w:t>
            </w:r>
          </w:p>
        </w:tc>
        <w:tc>
          <w:tcPr>
            <w:tcW w:w="820" w:type="dxa"/>
            <w:vAlign w:val="bottom"/>
            <w:gridSpan w:val="2"/>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60"/>
              <w:spacing w:after="0"/>
              <w:rPr>
                <w:sz w:val="20"/>
                <w:szCs w:val="20"/>
                <w:color w:val="auto"/>
              </w:rPr>
            </w:pPr>
            <w:r>
              <w:rPr>
                <w:rFonts w:ascii="Arial" w:cs="Arial" w:eastAsia="Arial" w:hAnsi="Arial"/>
                <w:sz w:val="13"/>
                <w:szCs w:val="13"/>
                <w:color w:val="0000FF"/>
              </w:rPr>
              <w:t>66,300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jc w:val="center"/>
              <w:spacing w:after="0" w:line="109" w:lineRule="exact"/>
              <w:rPr>
                <w:sz w:val="20"/>
                <w:szCs w:val="20"/>
                <w:color w:val="auto"/>
              </w:rPr>
            </w:pPr>
            <w:r>
              <w:rPr>
                <w:rFonts w:ascii="Arial" w:cs="Arial" w:eastAsia="Arial" w:hAnsi="Arial"/>
                <w:sz w:val="12"/>
                <w:szCs w:val="12"/>
                <w:color w:val="0000FF"/>
                <w:w w:val="99"/>
              </w:rPr>
              <w:t>Stock</w:t>
            </w: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2009 to Fiscal 2011 Performance Period under The Toro Company Performance Share Plan (the "PSP"), as approved by the registrant's Compensation &amp; Human Resources Committee of its Board of Directors and conditioned upon and subject to confirmation by the registrant's Fiscal 2011 financial results released on December 6, 2011. Performance Share Awards are paid in shares of common stock under the PSP.</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793.478 shares of common stock acquired by the reporting person under The Toro Company Dividend Reinvestment Plan since the date of his last report.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122.395 shares of common stock acquired by the reporting person under the dividend reinvestment feature of The Toro Company Investment, Savings &amp; ESOP since the date of his last report.</w:t>
      </w:r>
    </w:p>
    <w:p>
      <w:pPr>
        <w:spacing w:after="0" w:line="63" w:lineRule="exact"/>
        <w:rPr>
          <w:rFonts w:ascii="Arial" w:cs="Arial" w:eastAsia="Arial" w:hAnsi="Arial"/>
          <w:sz w:val="12"/>
          <w:szCs w:val="12"/>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184.931 performance share units acquired by the reporting person under the dividend reinvestment feature of The Toro Company Deferred Compensation Plan for Officers since the date of his last report.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12/08/2011</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2019-12-17T00:57:49Z</dcterms:created>
  <dcterms:modified xsi:type="dcterms:W3CDTF">2019-12-17T00:57:49Z</dcterms:modified>
</cp:coreProperties>
</file>