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rhc20053732_sd.htm"/>
      <w:bookmarkStart w:id="1" w:name="ksbrhc20053732_sd"/>
      <w:bookmarkStart w:id="2" w:name="brhc20053732_sd.htm"/>
      <w:bookmarkStart w:id="3" w:name="ksbrhc20053732_sd"/>
      <w:bookmarkEnd w:id="2"/>
      <w:bookmarkEnd w:id="3"/>
    </w:p>
    <w:p>
      <w:pPr>
        <w:pStyle w:val="TextBody"/>
        <w:bidi w:val="0"/>
        <w:spacing w:before="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0"/>
        <w:jc w:val="center"/>
        <w:rPr>
          <w:b/>
          <w:sz w:val="24"/>
        </w:rPr>
      </w:pPr>
      <w:r>
        <w:rPr>
          <w:b/>
          <w:sz w:val="24"/>
        </w:rPr>
        <w:t>Washington, D.C. 20549</w:t>
      </w:r>
    </w:p>
    <w:p>
      <w:pPr>
        <w:pStyle w:val="TextBody"/>
        <w:bidi w:val="0"/>
        <w:spacing w:before="0" w:after="0"/>
        <w:jc w:val="center"/>
        <w:rPr>
          <w:b/>
        </w:rPr>
      </w:pPr>
      <w:r>
        <w:rPr>
          <w:b/>
        </w:rPr>
      </w:r>
    </w:p>
    <w:p>
      <w:pPr>
        <w:pStyle w:val="TextBody"/>
        <w:bidi w:val="0"/>
        <w:spacing w:before="0" w:after="0"/>
        <w:jc w:val="center"/>
        <w:rPr>
          <w:b/>
          <w:sz w:val="36"/>
        </w:rPr>
      </w:pPr>
      <w:r>
        <w:rPr>
          <w:b/>
          <w:sz w:val="36"/>
        </w:rPr>
        <w:t>FORM SD</w:t>
      </w:r>
    </w:p>
    <w:p>
      <w:pPr>
        <w:pStyle w:val="TextBody"/>
        <w:bidi w:val="0"/>
        <w:spacing w:before="0" w:after="0"/>
        <w:jc w:val="center"/>
        <w:rPr>
          <w:b/>
        </w:rPr>
      </w:pPr>
      <w:r>
        <w:rPr>
          <w:b/>
        </w:rPr>
        <w:t>Specialized Disclosure Report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 w:name="zfe554b61bf954be98b329167520d91c6"/>
      <w:bookmarkStart w:id="5" w:name="zfe554b61bf954be98b329167520d91c6"/>
      <w:bookmarkEnd w:id="5"/>
    </w:p>
    <w:tbl>
      <w:tblPr>
        <w:tblW w:w="4835" w:type="dxa"/>
        <w:jc w:val="center"/>
        <w:tblInd w:w="0" w:type="dxa"/>
        <w:tblLayout w:type="fixed"/>
        <w:tblCellMar>
          <w:top w:w="0" w:type="dxa"/>
          <w:left w:w="0" w:type="dxa"/>
          <w:bottom w:w="28" w:type="dxa"/>
          <w:right w:w="0" w:type="dxa"/>
        </w:tblCellMar>
      </w:tblPr>
      <w:tblGrid>
        <w:gridCol w:w="4835"/>
      </w:tblGrid>
      <w:tr>
        <w:trPr/>
        <w:tc>
          <w:tcPr>
            <w:tcW w:w="4835" w:type="dxa"/>
            <w:tcBorders>
              <w:bottom w:val="single" w:sz="12" w:space="0" w:color="000000"/>
            </w:tcBorders>
            <w:vAlign w:val="center"/>
          </w:tcPr>
          <w:p>
            <w:pPr>
              <w:pStyle w:val="TableContents"/>
              <w:bidi w:val="0"/>
              <w:spacing w:before="0" w:after="0"/>
              <w:jc w:val="center"/>
              <w:rPr>
                <w:b/>
                <w:sz w:val="48"/>
              </w:rPr>
            </w:pPr>
            <w:r>
              <w:rPr>
                <w:b/>
                <w:sz w:val="48"/>
              </w:rPr>
              <w:t>The Toro Company</w:t>
            </w:r>
          </w:p>
        </w:tc>
      </w:tr>
      <w:tr>
        <w:trPr/>
        <w:tc>
          <w:tcPr>
            <w:tcW w:w="4835" w:type="dxa"/>
            <w:tcBorders/>
            <w:tcMar>
              <w:bottom w:w="0" w:type="dxa"/>
            </w:tcMar>
            <w:vAlign w:val="center"/>
          </w:tcPr>
          <w:p>
            <w:pPr>
              <w:pStyle w:val="TableContents"/>
              <w:bidi w:val="0"/>
              <w:spacing w:before="0" w:after="0"/>
              <w:jc w:val="center"/>
              <w:rPr/>
            </w:pPr>
            <w:r>
              <w:rPr/>
              <w:t>(Exact name of registrant as specified in its charter)</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 w:name="zcafed26327904605b9e8d42d1dd67225"/>
      <w:bookmarkStart w:id="7" w:name="zcafed26327904605b9e8d42d1dd67225"/>
      <w:bookmarkEnd w:id="7"/>
    </w:p>
    <w:tbl>
      <w:tblPr>
        <w:tblW w:w="6730" w:type="dxa"/>
        <w:jc w:val="center"/>
        <w:tblInd w:w="0" w:type="dxa"/>
        <w:tblLayout w:type="fixed"/>
        <w:tblCellMar>
          <w:top w:w="0" w:type="dxa"/>
          <w:left w:w="0" w:type="dxa"/>
          <w:bottom w:w="28" w:type="dxa"/>
          <w:right w:w="0" w:type="dxa"/>
        </w:tblCellMar>
      </w:tblPr>
      <w:tblGrid>
        <w:gridCol w:w="4115"/>
        <w:gridCol w:w="2615"/>
      </w:tblGrid>
      <w:tr>
        <w:trPr/>
        <w:tc>
          <w:tcPr>
            <w:tcW w:w="4115" w:type="dxa"/>
            <w:tcBorders>
              <w:bottom w:val="single" w:sz="12" w:space="0" w:color="000000"/>
            </w:tcBorders>
            <w:vAlign w:val="center"/>
          </w:tcPr>
          <w:p>
            <w:pPr>
              <w:pStyle w:val="TableContents"/>
              <w:bidi w:val="0"/>
              <w:spacing w:before="0" w:after="0"/>
              <w:jc w:val="center"/>
              <w:rPr>
                <w:b/>
              </w:rPr>
            </w:pPr>
            <w:r>
              <w:rPr>
                <w:b/>
              </w:rPr>
              <w:t>Delaware</w:t>
            </w:r>
          </w:p>
        </w:tc>
        <w:tc>
          <w:tcPr>
            <w:tcW w:w="2615" w:type="dxa"/>
            <w:tcBorders>
              <w:bottom w:val="single" w:sz="12" w:space="0" w:color="000000"/>
            </w:tcBorders>
            <w:vAlign w:val="center"/>
          </w:tcPr>
          <w:p>
            <w:pPr>
              <w:pStyle w:val="TableContents"/>
              <w:bidi w:val="0"/>
              <w:spacing w:before="0" w:after="0"/>
              <w:jc w:val="center"/>
              <w:rPr>
                <w:b/>
              </w:rPr>
            </w:pPr>
            <w:r>
              <w:rPr>
                <w:b/>
              </w:rPr>
              <w:t>1-8649</w:t>
            </w:r>
          </w:p>
        </w:tc>
      </w:tr>
      <w:tr>
        <w:trPr/>
        <w:tc>
          <w:tcPr>
            <w:tcW w:w="4115" w:type="dxa"/>
            <w:tcBorders/>
            <w:tcMar>
              <w:bottom w:w="0" w:type="dxa"/>
            </w:tcMar>
            <w:vAlign w:val="center"/>
          </w:tcPr>
          <w:p>
            <w:pPr>
              <w:pStyle w:val="TableContents"/>
              <w:bidi w:val="0"/>
              <w:spacing w:before="0" w:after="0"/>
              <w:jc w:val="center"/>
              <w:rPr/>
            </w:pPr>
            <w:r>
              <w:rPr/>
              <w:t>(State or other jurisdiction of incorporation)</w:t>
            </w:r>
          </w:p>
        </w:tc>
        <w:tc>
          <w:tcPr>
            <w:tcW w:w="2615" w:type="dxa"/>
            <w:tcBorders/>
            <w:tcMar>
              <w:bottom w:w="0" w:type="dxa"/>
            </w:tcMar>
            <w:vAlign w:val="center"/>
          </w:tcPr>
          <w:p>
            <w:pPr>
              <w:pStyle w:val="TableContents"/>
              <w:bidi w:val="0"/>
              <w:spacing w:before="0" w:after="0"/>
              <w:jc w:val="center"/>
              <w:rPr/>
            </w:pPr>
            <w:r>
              <w:rPr/>
              <w:t>(Commission File Number)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a66d085fe2324773a3610c4a8a45ce0e"/>
      <w:bookmarkStart w:id="9" w:name="za66d085fe2324773a3610c4a8a45ce0e"/>
      <w:bookmarkEnd w:id="9"/>
    </w:p>
    <w:tbl>
      <w:tblPr>
        <w:tblW w:w="4810" w:type="dxa"/>
        <w:jc w:val="center"/>
        <w:tblInd w:w="0" w:type="dxa"/>
        <w:tblLayout w:type="fixed"/>
        <w:tblCellMar>
          <w:top w:w="0" w:type="dxa"/>
          <w:left w:w="0" w:type="dxa"/>
          <w:bottom w:w="28" w:type="dxa"/>
          <w:right w:w="0" w:type="dxa"/>
        </w:tblCellMar>
      </w:tblPr>
      <w:tblGrid>
        <w:gridCol w:w="3740"/>
        <w:gridCol w:w="1070"/>
      </w:tblGrid>
      <w:tr>
        <w:trPr/>
        <w:tc>
          <w:tcPr>
            <w:tcW w:w="3740" w:type="dxa"/>
            <w:tcBorders>
              <w:bottom w:val="single" w:sz="12" w:space="0" w:color="000000"/>
            </w:tcBorders>
            <w:vAlign w:val="center"/>
          </w:tcPr>
          <w:p>
            <w:pPr>
              <w:pStyle w:val="TableContents"/>
              <w:bidi w:val="0"/>
              <w:spacing w:before="0" w:after="0"/>
              <w:jc w:val="center"/>
              <w:rPr>
                <w:b/>
              </w:rPr>
            </w:pPr>
            <w:r>
              <w:rPr>
                <w:b/>
              </w:rPr>
              <w:t>8111 Lyndale Avenue South</w:t>
            </w:r>
          </w:p>
          <w:p>
            <w:pPr>
              <w:pStyle w:val="TableContents"/>
              <w:bidi w:val="0"/>
              <w:spacing w:before="0" w:after="0"/>
              <w:jc w:val="center"/>
              <w:rPr>
                <w:b/>
              </w:rPr>
            </w:pPr>
            <w:r>
              <w:rPr>
                <w:b/>
              </w:rPr>
              <w:t>Bloomington, Minnesota</w:t>
            </w:r>
          </w:p>
        </w:tc>
        <w:tc>
          <w:tcPr>
            <w:tcW w:w="107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b/>
              </w:rPr>
            </w:pPr>
            <w:r>
              <w:rPr>
                <w:b/>
              </w:rPr>
              <w:t>55420</w:t>
            </w:r>
          </w:p>
        </w:tc>
      </w:tr>
      <w:tr>
        <w:trPr/>
        <w:tc>
          <w:tcPr>
            <w:tcW w:w="3740" w:type="dxa"/>
            <w:tcBorders/>
            <w:tcMar>
              <w:bottom w:w="0" w:type="dxa"/>
            </w:tcMar>
            <w:vAlign w:val="center"/>
          </w:tcPr>
          <w:p>
            <w:pPr>
              <w:pStyle w:val="TableContents"/>
              <w:bidi w:val="0"/>
              <w:spacing w:before="0" w:after="0"/>
              <w:jc w:val="center"/>
              <w:rPr/>
            </w:pPr>
            <w:r>
              <w:rPr/>
              <w:t>(Address of principal executive offices)</w:t>
            </w:r>
          </w:p>
        </w:tc>
        <w:tc>
          <w:tcPr>
            <w:tcW w:w="1070" w:type="dxa"/>
            <w:tcBorders/>
            <w:tcMar>
              <w:bottom w:w="0" w:type="dxa"/>
            </w:tcMar>
            <w:vAlign w:val="center"/>
          </w:tcPr>
          <w:p>
            <w:pPr>
              <w:pStyle w:val="TableContents"/>
              <w:bidi w:val="0"/>
              <w:spacing w:before="0" w:after="0"/>
              <w:jc w:val="center"/>
              <w:rPr/>
            </w:pPr>
            <w:r>
              <w:rPr/>
              <w:t>(Zip Code)</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0" w:name="z5028ee2fe9074729a82f839c077534a6"/>
      <w:bookmarkStart w:id="11" w:name="z5028ee2fe9074729a82f839c077534a6"/>
      <w:bookmarkEnd w:id="11"/>
    </w:p>
    <w:tbl>
      <w:tblPr>
        <w:tblW w:w="5205" w:type="dxa"/>
        <w:jc w:val="center"/>
        <w:tblInd w:w="0" w:type="dxa"/>
        <w:tblLayout w:type="fixed"/>
        <w:tblCellMar>
          <w:top w:w="0" w:type="dxa"/>
          <w:left w:w="0" w:type="dxa"/>
          <w:bottom w:w="28" w:type="dxa"/>
          <w:right w:w="0" w:type="dxa"/>
        </w:tblCellMar>
      </w:tblPr>
      <w:tblGrid>
        <w:gridCol w:w="5205"/>
      </w:tblGrid>
      <w:tr>
        <w:trPr/>
        <w:tc>
          <w:tcPr>
            <w:tcW w:w="5205" w:type="dxa"/>
            <w:tcBorders>
              <w:bottom w:val="single" w:sz="12" w:space="0" w:color="000000"/>
            </w:tcBorders>
            <w:vAlign w:val="center"/>
          </w:tcPr>
          <w:p>
            <w:pPr>
              <w:pStyle w:val="TableContents"/>
              <w:bidi w:val="0"/>
              <w:spacing w:before="0" w:after="0"/>
              <w:jc w:val="center"/>
              <w:rPr/>
            </w:pPr>
            <w:r>
              <w:rPr/>
              <w:t>Colleen Hart (952) 888-8801</w:t>
            </w:r>
          </w:p>
        </w:tc>
      </w:tr>
      <w:tr>
        <w:trPr/>
        <w:tc>
          <w:tcPr>
            <w:tcW w:w="5205" w:type="dxa"/>
            <w:tcBorders/>
            <w:tcMar>
              <w:bottom w:w="0" w:type="dxa"/>
            </w:tcMar>
            <w:vAlign w:val="center"/>
          </w:tcPr>
          <w:p>
            <w:pPr>
              <w:pStyle w:val="TableContents"/>
              <w:bidi w:val="0"/>
              <w:spacing w:before="0" w:after="0"/>
              <w:ind w:left="0" w:right="0" w:firstLine="25"/>
              <w:jc w:val="center"/>
              <w:rPr/>
            </w:pPr>
            <w:r>
              <w:rPr/>
              <w:t>(Name and telephone number, including area code,</w:t>
            </w:r>
          </w:p>
          <w:p>
            <w:pPr>
              <w:pStyle w:val="TableContents"/>
              <w:bidi w:val="0"/>
              <w:spacing w:before="0" w:after="0"/>
              <w:ind w:left="0" w:right="0" w:firstLine="25"/>
              <w:jc w:val="center"/>
              <w:rPr/>
            </w:pPr>
            <w:r>
              <w:rPr/>
              <w:t>of the person to contact in connection with this report.)</w:t>
            </w:r>
          </w:p>
        </w:tc>
      </w:tr>
    </w:tbl>
    <w:p>
      <w:pPr>
        <w:pStyle w:val="TextBody"/>
        <w:bidi w:val="0"/>
        <w:spacing w:before="0" w:after="0"/>
        <w:jc w:val="left"/>
        <w:rPr/>
      </w:pPr>
      <w:r>
        <w:rPr/>
        <w:t> </w:t>
      </w:r>
    </w:p>
    <w:p>
      <w:pPr>
        <w:pStyle w:val="TextBody"/>
        <w:bidi w:val="0"/>
        <w:spacing w:before="0" w:after="0"/>
        <w:jc w:val="left"/>
        <w:rPr/>
      </w:pPr>
      <w:r>
        <w:rPr/>
        <w:t>Check the appropriate box to indicate the rule pursuant to which this form is being filed, and provide the period to which the information in this form applies: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2" w:name="ze6584d1e318d418ba27b0014f85f643e"/>
      <w:bookmarkStart w:id="13" w:name="ze6584d1e318d418ba27b0014f85f643e"/>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Rule 13p-1 under the Securities Exchange Act (17 CFR 240.13p-1) for the reporting period from January 1 to December 31, 2022.</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4" w:name="z9df336c7f6754963bdf259528b4c6a19"/>
      <w:bookmarkStart w:id="15" w:name="z9df336c7f6754963bdf259528b4c6a19"/>
      <w:bookmarkEnd w:id="1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Rule 13q-1 under the Securities Exchange Act (17 CFR 240.13q-1) for the fiscal year ended __________________________.</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1409" w:hanging="0"/>
        <w:jc w:val="left"/>
        <w:rPr>
          <w:b/>
        </w:rPr>
      </w:pPr>
      <w:r>
        <w:rPr>
          <w:b/>
        </w:rPr>
        <w:t>Section 1 — Conflict Minerals Disclosure</w:t>
      </w:r>
    </w:p>
    <w:p>
      <w:pPr>
        <w:pStyle w:val="TextBody"/>
        <w:bidi w:val="0"/>
        <w:spacing w:before="0" w:after="0"/>
        <w:ind w:left="0" w:right="1409" w:hanging="0"/>
        <w:jc w:val="left"/>
        <w:rPr>
          <w:b/>
        </w:rPr>
      </w:pPr>
      <w:r>
        <w:rPr>
          <w:b/>
        </w:rPr>
      </w:r>
    </w:p>
    <w:p>
      <w:pPr>
        <w:pStyle w:val="Normal"/>
        <w:bidi w:val="0"/>
        <w:spacing w:before="0" w:after="0"/>
        <w:jc w:val="left"/>
        <w:rPr>
          <w:sz w:val="4"/>
          <w:szCs w:val="4"/>
        </w:rPr>
      </w:pPr>
      <w:r>
        <w:rPr>
          <w:sz w:val="4"/>
          <w:szCs w:val="4"/>
        </w:rPr>
      </w:r>
      <w:bookmarkStart w:id="16" w:name="zc92f0c1707d44b4ebe16e0b8e51a77d1"/>
      <w:bookmarkStart w:id="17" w:name="zc92f0c1707d44b4ebe16e0b8e51a77d1"/>
      <w:bookmarkEnd w:id="17"/>
    </w:p>
    <w:tbl>
      <w:tblPr>
        <w:tblW w:w="5125" w:type="dxa"/>
        <w:jc w:val="left"/>
        <w:tblInd w:w="0" w:type="dxa"/>
        <w:tblLayout w:type="fixed"/>
        <w:tblCellMar>
          <w:top w:w="0" w:type="dxa"/>
          <w:left w:w="0" w:type="dxa"/>
          <w:bottom w:w="0" w:type="dxa"/>
          <w:right w:w="0" w:type="dxa"/>
        </w:tblCellMar>
      </w:tblPr>
      <w:tblGrid>
        <w:gridCol w:w="980"/>
        <w:gridCol w:w="4145"/>
      </w:tblGrid>
      <w:tr>
        <w:trPr/>
        <w:tc>
          <w:tcPr>
            <w:tcW w:w="980" w:type="dxa"/>
            <w:tcBorders/>
            <w:vAlign w:val="center"/>
          </w:tcPr>
          <w:p>
            <w:pPr>
              <w:pStyle w:val="TableContents"/>
              <w:bidi w:val="0"/>
              <w:spacing w:before="0" w:after="283"/>
              <w:jc w:val="left"/>
              <w:rPr>
                <w:b/>
                <w:color w:val="000000"/>
              </w:rPr>
            </w:pPr>
            <w:r>
              <w:rPr>
                <w:b/>
                <w:color w:val="000000"/>
              </w:rPr>
              <w:t>Item 1.01</w:t>
            </w:r>
          </w:p>
        </w:tc>
        <w:tc>
          <w:tcPr>
            <w:tcW w:w="4145" w:type="dxa"/>
            <w:tcBorders/>
            <w:vAlign w:val="center"/>
          </w:tcPr>
          <w:p>
            <w:pPr>
              <w:pStyle w:val="TableContents"/>
              <w:bidi w:val="0"/>
              <w:spacing w:before="0" w:after="0"/>
              <w:jc w:val="left"/>
              <w:rPr>
                <w:b/>
                <w:color w:val="000000"/>
              </w:rPr>
            </w:pPr>
            <w:r>
              <w:rPr>
                <w:b/>
                <w:color w:val="000000"/>
              </w:rPr>
              <w:t>Conflict Minerals Disclosure and Report</w:t>
            </w:r>
          </w:p>
        </w:tc>
      </w:tr>
    </w:tbl>
    <w:p>
      <w:pPr>
        <w:pStyle w:val="TextBody"/>
        <w:bidi w:val="0"/>
        <w:spacing w:before="0" w:after="0"/>
        <w:jc w:val="left"/>
        <w:rPr/>
      </w:pPr>
      <w:r>
        <w:rPr/>
      </w:r>
    </w:p>
    <w:p>
      <w:pPr>
        <w:pStyle w:val="TextBody"/>
        <w:bidi w:val="0"/>
        <w:spacing w:before="0" w:after="0"/>
        <w:jc w:val="both"/>
        <w:rPr/>
      </w:pPr>
      <w:r>
        <w:rPr/>
        <w:t>As required by Rule 13p-1 under the Securities Exchange Act of 1934, as amended, and Form SD, a copy of The Toro Company’s Conflict Minerals Report for the year ended December 31, 2022, is provided as an Exhibit to this Form SD and is available at www.thetorocompany.com/sustainability/product/cmreports. The information contained on our websites or connected to our websites is not incorporated by reference into this Form SD or our Conflict Minerals Report and should not be considered part of this Form SD or the Conflict Minerals Report.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8" w:name="z385b16a2844141fb90f654b020b37f05"/>
      <w:bookmarkStart w:id="19" w:name="z385b16a2844141fb90f654b020b37f05"/>
      <w:bookmarkEnd w:id="19"/>
    </w:p>
    <w:tbl>
      <w:tblPr>
        <w:tblW w:w="1765" w:type="dxa"/>
        <w:jc w:val="left"/>
        <w:tblInd w:w="0" w:type="dxa"/>
        <w:tblLayout w:type="fixed"/>
        <w:tblCellMar>
          <w:top w:w="0" w:type="dxa"/>
          <w:left w:w="0" w:type="dxa"/>
          <w:bottom w:w="0" w:type="dxa"/>
          <w:right w:w="0" w:type="dxa"/>
        </w:tblCellMar>
      </w:tblPr>
      <w:tblGrid>
        <w:gridCol w:w="980"/>
        <w:gridCol w:w="785"/>
      </w:tblGrid>
      <w:tr>
        <w:trPr/>
        <w:tc>
          <w:tcPr>
            <w:tcW w:w="980" w:type="dxa"/>
            <w:tcBorders/>
            <w:vAlign w:val="center"/>
          </w:tcPr>
          <w:p>
            <w:pPr>
              <w:pStyle w:val="TableContents"/>
              <w:bidi w:val="0"/>
              <w:spacing w:before="0" w:after="283"/>
              <w:jc w:val="left"/>
              <w:rPr>
                <w:b/>
              </w:rPr>
            </w:pPr>
            <w:r>
              <w:rPr>
                <w:b/>
              </w:rPr>
              <w:t>Item 1.02</w:t>
            </w:r>
          </w:p>
        </w:tc>
        <w:tc>
          <w:tcPr>
            <w:tcW w:w="785" w:type="dxa"/>
            <w:tcBorders/>
            <w:vAlign w:val="center"/>
          </w:tcPr>
          <w:p>
            <w:pPr>
              <w:pStyle w:val="TableContents"/>
              <w:bidi w:val="0"/>
              <w:spacing w:before="0" w:after="0"/>
              <w:jc w:val="left"/>
              <w:rPr>
                <w:b/>
              </w:rPr>
            </w:pPr>
            <w:r>
              <w:rPr>
                <w:b/>
              </w:rPr>
              <w:t>Exhibit</w:t>
            </w:r>
          </w:p>
        </w:tc>
      </w:tr>
    </w:tbl>
    <w:p>
      <w:pPr>
        <w:pStyle w:val="TextBody"/>
        <w:bidi w:val="0"/>
        <w:spacing w:before="0" w:after="0"/>
        <w:jc w:val="left"/>
        <w:rPr/>
      </w:pPr>
      <w:r>
        <w:rPr/>
        <w:t> </w:t>
      </w:r>
    </w:p>
    <w:p>
      <w:pPr>
        <w:pStyle w:val="TextBody"/>
        <w:bidi w:val="0"/>
        <w:spacing w:before="0" w:after="0"/>
        <w:jc w:val="left"/>
        <w:rPr/>
      </w:pPr>
      <w:r>
        <w:rPr/>
        <w:t>The Conflict Minerals Report for the year ended December 31, 2022 required by Item 1.01 is filed as Exhibit 1.01 to this Form SD.</w:t>
      </w:r>
    </w:p>
    <w:p>
      <w:pPr>
        <w:pStyle w:val="TextBody"/>
        <w:bidi w:val="0"/>
        <w:spacing w:before="0" w:after="0"/>
        <w:jc w:val="left"/>
        <w:rPr/>
      </w:pPr>
      <w:r>
        <w:rPr/>
        <w:t> </w:t>
      </w:r>
    </w:p>
    <w:p>
      <w:pPr>
        <w:pStyle w:val="TextBody"/>
        <w:bidi w:val="0"/>
        <w:spacing w:before="0" w:after="0"/>
        <w:ind w:left="0" w:right="1409" w:hanging="0"/>
        <w:jc w:val="left"/>
        <w:rPr>
          <w:b/>
        </w:rPr>
      </w:pPr>
      <w:r>
        <w:rPr>
          <w:b/>
        </w:rPr>
        <w:t>Section 2 — Resource Extraction Issuer Disclosure</w:t>
      </w:r>
    </w:p>
    <w:p>
      <w:pPr>
        <w:pStyle w:val="TextBody"/>
        <w:bidi w:val="0"/>
        <w:spacing w:before="0" w:after="0"/>
        <w:ind w:left="0" w:right="1409" w:hanging="0"/>
        <w:jc w:val="left"/>
        <w:rPr>
          <w:b/>
        </w:rPr>
      </w:pPr>
      <w:r>
        <w:rPr>
          <w:b/>
        </w:rPr>
      </w:r>
    </w:p>
    <w:p>
      <w:pPr>
        <w:pStyle w:val="Normal"/>
        <w:bidi w:val="0"/>
        <w:spacing w:before="0" w:after="0"/>
        <w:jc w:val="left"/>
        <w:rPr>
          <w:sz w:val="4"/>
          <w:szCs w:val="4"/>
        </w:rPr>
      </w:pPr>
      <w:r>
        <w:rPr>
          <w:sz w:val="4"/>
          <w:szCs w:val="4"/>
        </w:rPr>
      </w:r>
      <w:bookmarkStart w:id="20" w:name="zdcc1f37b46204544b515024e5b433353"/>
      <w:bookmarkStart w:id="21" w:name="zdcc1f37b46204544b515024e5b433353"/>
      <w:bookmarkEnd w:id="21"/>
    </w:p>
    <w:tbl>
      <w:tblPr>
        <w:tblW w:w="6115" w:type="dxa"/>
        <w:jc w:val="left"/>
        <w:tblInd w:w="0" w:type="dxa"/>
        <w:tblLayout w:type="fixed"/>
        <w:tblCellMar>
          <w:top w:w="0" w:type="dxa"/>
          <w:left w:w="0" w:type="dxa"/>
          <w:bottom w:w="0" w:type="dxa"/>
          <w:right w:w="0" w:type="dxa"/>
        </w:tblCellMar>
      </w:tblPr>
      <w:tblGrid>
        <w:gridCol w:w="980"/>
        <w:gridCol w:w="5135"/>
      </w:tblGrid>
      <w:tr>
        <w:trPr/>
        <w:tc>
          <w:tcPr>
            <w:tcW w:w="980" w:type="dxa"/>
            <w:tcBorders/>
            <w:vAlign w:val="center"/>
          </w:tcPr>
          <w:p>
            <w:pPr>
              <w:pStyle w:val="TableContents"/>
              <w:bidi w:val="0"/>
              <w:spacing w:before="0" w:after="283"/>
              <w:jc w:val="left"/>
              <w:rPr>
                <w:b/>
                <w:color w:val="000000"/>
              </w:rPr>
            </w:pPr>
            <w:r>
              <w:rPr>
                <w:b/>
                <w:color w:val="000000"/>
              </w:rPr>
              <w:t>Item 2.01</w:t>
            </w:r>
          </w:p>
        </w:tc>
        <w:tc>
          <w:tcPr>
            <w:tcW w:w="5135" w:type="dxa"/>
            <w:tcBorders/>
            <w:vAlign w:val="center"/>
          </w:tcPr>
          <w:p>
            <w:pPr>
              <w:pStyle w:val="TableContents"/>
              <w:bidi w:val="0"/>
              <w:spacing w:before="0" w:after="0"/>
              <w:jc w:val="left"/>
              <w:rPr>
                <w:b/>
                <w:color w:val="000000"/>
              </w:rPr>
            </w:pPr>
            <w:r>
              <w:rPr>
                <w:b/>
                <w:color w:val="000000"/>
              </w:rPr>
              <w:t>Resource Extraction Issuer Disclosure and Report</w:t>
            </w:r>
          </w:p>
        </w:tc>
      </w:tr>
    </w:tbl>
    <w:p>
      <w:pPr>
        <w:pStyle w:val="TextBody"/>
        <w:bidi w:val="0"/>
        <w:spacing w:before="0" w:after="0"/>
        <w:jc w:val="left"/>
        <w:rPr/>
      </w:pPr>
      <w:r>
        <w:rPr/>
      </w:r>
    </w:p>
    <w:p>
      <w:pPr>
        <w:pStyle w:val="TextBody"/>
        <w:bidi w:val="0"/>
        <w:spacing w:before="0" w:after="0"/>
        <w:ind w:left="0" w:right="0" w:firstLine="360"/>
        <w:jc w:val="left"/>
        <w:rPr/>
      </w:pPr>
      <w:r>
        <w:rPr/>
        <w:t>Not applicable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2" w:name="ze8ec03da80414e69b1fcdd5dc19414c3"/>
      <w:bookmarkStart w:id="23" w:name="ze8ec03da80414e69b1fcdd5dc19414c3"/>
      <w:bookmarkEnd w:id="23"/>
    </w:p>
    <w:tbl>
      <w:tblPr>
        <w:tblW w:w="1765" w:type="dxa"/>
        <w:jc w:val="left"/>
        <w:tblInd w:w="0" w:type="dxa"/>
        <w:tblLayout w:type="fixed"/>
        <w:tblCellMar>
          <w:top w:w="0" w:type="dxa"/>
          <w:left w:w="0" w:type="dxa"/>
          <w:bottom w:w="0" w:type="dxa"/>
          <w:right w:w="0" w:type="dxa"/>
        </w:tblCellMar>
      </w:tblPr>
      <w:tblGrid>
        <w:gridCol w:w="980"/>
        <w:gridCol w:w="785"/>
      </w:tblGrid>
      <w:tr>
        <w:trPr/>
        <w:tc>
          <w:tcPr>
            <w:tcW w:w="980" w:type="dxa"/>
            <w:tcBorders/>
            <w:vAlign w:val="center"/>
          </w:tcPr>
          <w:p>
            <w:pPr>
              <w:pStyle w:val="TableContents"/>
              <w:bidi w:val="0"/>
              <w:spacing w:before="0" w:after="283"/>
              <w:jc w:val="left"/>
              <w:rPr>
                <w:b/>
              </w:rPr>
            </w:pPr>
            <w:r>
              <w:rPr>
                <w:b/>
              </w:rPr>
              <w:t>Item 2.02</w:t>
            </w:r>
          </w:p>
        </w:tc>
        <w:tc>
          <w:tcPr>
            <w:tcW w:w="785" w:type="dxa"/>
            <w:tcBorders/>
            <w:vAlign w:val="center"/>
          </w:tcPr>
          <w:p>
            <w:pPr>
              <w:pStyle w:val="TableContents"/>
              <w:bidi w:val="0"/>
              <w:spacing w:before="0" w:after="0"/>
              <w:jc w:val="left"/>
              <w:rPr>
                <w:b/>
              </w:rPr>
            </w:pPr>
            <w:r>
              <w:rPr>
                <w:b/>
              </w:rPr>
              <w:t>Exhibit</w:t>
            </w:r>
          </w:p>
        </w:tc>
      </w:tr>
    </w:tbl>
    <w:p>
      <w:pPr>
        <w:pStyle w:val="TextBody"/>
        <w:bidi w:val="0"/>
        <w:spacing w:before="0" w:after="0"/>
        <w:jc w:val="left"/>
        <w:rPr/>
      </w:pPr>
      <w:r>
        <w:rPr/>
        <w:t> </w:t>
      </w:r>
    </w:p>
    <w:p>
      <w:pPr>
        <w:pStyle w:val="TextBody"/>
        <w:bidi w:val="0"/>
        <w:spacing w:before="0" w:after="0"/>
        <w:ind w:left="0" w:right="0" w:firstLine="360"/>
        <w:jc w:val="left"/>
        <w:rPr/>
      </w:pPr>
      <w:r>
        <w:rPr/>
        <w:t>Not applicable</w:t>
      </w:r>
    </w:p>
    <w:p>
      <w:pPr>
        <w:pStyle w:val="TextBody"/>
        <w:bidi w:val="0"/>
        <w:spacing w:before="0" w:after="0"/>
        <w:jc w:val="left"/>
        <w:rPr/>
      </w:pPr>
      <w:r>
        <w:rPr/>
        <w:t> </w:t>
      </w:r>
    </w:p>
    <w:p>
      <w:pPr>
        <w:pStyle w:val="TextBody"/>
        <w:bidi w:val="0"/>
        <w:spacing w:before="0" w:after="0"/>
        <w:jc w:val="left"/>
        <w:rPr>
          <w:b/>
        </w:rPr>
      </w:pPr>
      <w:r>
        <w:rPr>
          <w:b/>
        </w:rPr>
        <w:t>Section 3 — Exhibits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4" w:name="z712effd12458412fad2a234751a47354"/>
      <w:bookmarkStart w:id="25" w:name="z712effd12458412fad2a234751a47354"/>
      <w:bookmarkEnd w:id="25"/>
    </w:p>
    <w:tbl>
      <w:tblPr>
        <w:tblW w:w="1855" w:type="dxa"/>
        <w:jc w:val="left"/>
        <w:tblInd w:w="0" w:type="dxa"/>
        <w:tblLayout w:type="fixed"/>
        <w:tblCellMar>
          <w:top w:w="0" w:type="dxa"/>
          <w:left w:w="0" w:type="dxa"/>
          <w:bottom w:w="0" w:type="dxa"/>
          <w:right w:w="0" w:type="dxa"/>
        </w:tblCellMar>
      </w:tblPr>
      <w:tblGrid>
        <w:gridCol w:w="980"/>
        <w:gridCol w:w="875"/>
      </w:tblGrid>
      <w:tr>
        <w:trPr/>
        <w:tc>
          <w:tcPr>
            <w:tcW w:w="980" w:type="dxa"/>
            <w:tcBorders/>
            <w:vAlign w:val="center"/>
          </w:tcPr>
          <w:p>
            <w:pPr>
              <w:pStyle w:val="TableContents"/>
              <w:bidi w:val="0"/>
              <w:spacing w:before="0" w:after="283"/>
              <w:jc w:val="left"/>
              <w:rPr>
                <w:b/>
              </w:rPr>
            </w:pPr>
            <w:r>
              <w:rPr>
                <w:b/>
              </w:rPr>
              <w:t>Item 3.01</w:t>
            </w:r>
          </w:p>
        </w:tc>
        <w:tc>
          <w:tcPr>
            <w:tcW w:w="87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pPr>
      <w:r>
        <w:rPr/>
        <w:t> </w:t>
      </w:r>
    </w:p>
    <w:p>
      <w:pPr>
        <w:pStyle w:val="Normal"/>
        <w:bidi w:val="0"/>
        <w:spacing w:before="0" w:after="0"/>
        <w:ind w:left="720" w:right="0" w:hanging="0"/>
        <w:jc w:val="left"/>
        <w:rPr>
          <w:sz w:val="4"/>
          <w:szCs w:val="4"/>
        </w:rPr>
      </w:pPr>
      <w:r>
        <w:rPr>
          <w:sz w:val="4"/>
          <w:szCs w:val="4"/>
        </w:rPr>
      </w:r>
      <w:bookmarkStart w:id="26" w:name="z0b6879e25b24461dba5d7df2741a3d97"/>
      <w:bookmarkStart w:id="27" w:name="z0b6879e25b24461dba5d7df2741a3d97"/>
      <w:bookmarkEnd w:id="27"/>
    </w:p>
    <w:tbl>
      <w:tblPr>
        <w:tblW w:w="9485" w:type="dxa"/>
        <w:jc w:val="left"/>
        <w:tblInd w:w="720" w:type="dxa"/>
        <w:tblLayout w:type="fixed"/>
        <w:tblCellMar>
          <w:top w:w="0" w:type="dxa"/>
          <w:left w:w="0" w:type="dxa"/>
          <w:bottom w:w="28" w:type="dxa"/>
          <w:right w:w="0" w:type="dxa"/>
        </w:tblCellMar>
      </w:tblPr>
      <w:tblGrid>
        <w:gridCol w:w="1084"/>
        <w:gridCol w:w="60"/>
        <w:gridCol w:w="8341"/>
      </w:tblGrid>
      <w:tr>
        <w:trPr/>
        <w:tc>
          <w:tcPr>
            <w:tcW w:w="1084" w:type="dxa"/>
            <w:tcBorders>
              <w:bottom w:val="single" w:sz="12" w:space="0" w:color="000000"/>
            </w:tcBorders>
            <w:vAlign w:val="center"/>
          </w:tcPr>
          <w:p>
            <w:pPr>
              <w:pStyle w:val="TableContents"/>
              <w:bidi w:val="0"/>
              <w:spacing w:before="0" w:after="0"/>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341" w:type="dxa"/>
            <w:tcBorders>
              <w:bottom w:val="single" w:sz="12" w:space="0" w:color="000000"/>
            </w:tcBorders>
            <w:vAlign w:val="center"/>
          </w:tcPr>
          <w:p>
            <w:pPr>
              <w:pStyle w:val="TableContents"/>
              <w:bidi w:val="0"/>
              <w:spacing w:before="0" w:after="0"/>
              <w:jc w:val="center"/>
              <w:rPr>
                <w:b/>
              </w:rPr>
            </w:pPr>
            <w:r>
              <w:rPr>
                <w:b/>
              </w:rPr>
              <w:t>Description</w:t>
            </w:r>
          </w:p>
        </w:tc>
      </w:tr>
      <w:tr>
        <w:trPr/>
        <w:tc>
          <w:tcPr>
            <w:tcW w:w="1084" w:type="dxa"/>
            <w:tcBorders/>
            <w:tcMar>
              <w:bottom w:w="0" w:type="dxa"/>
            </w:tcMar>
            <w:vAlign w:val="center"/>
          </w:tcPr>
          <w:p>
            <w:pPr>
              <w:pStyle w:val="TableContents"/>
              <w:bidi w:val="0"/>
              <w:spacing w:before="0" w:after="0"/>
              <w:jc w:val="center"/>
              <w:rPr/>
            </w:pPr>
            <w:hyperlink w:anchor="brhc20053732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8341" w:type="dxa"/>
            <w:tcBorders/>
            <w:tcMar>
              <w:bottom w:w="0" w:type="dxa"/>
            </w:tcMar>
            <w:vAlign w:val="center"/>
          </w:tcPr>
          <w:p>
            <w:pPr>
              <w:pStyle w:val="TableContents"/>
              <w:bidi w:val="0"/>
              <w:spacing w:before="0" w:after="0"/>
              <w:jc w:val="left"/>
              <w:rPr/>
            </w:pPr>
            <w:r>
              <w:rPr/>
              <w:t>Conflict Minerals Report for the year ended December 31, 2022, as required by Items 1.01 and 1.02 of this Form.</w:t>
            </w:r>
          </w:p>
        </w:tc>
      </w:tr>
    </w:tbl>
    <w:p>
      <w:pPr>
        <w:pStyle w:val="TextBody"/>
        <w:bidi w:val="0"/>
        <w:spacing w:before="0" w:after="0"/>
        <w:ind w:left="720" w:right="0" w:hanging="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ind w:left="3602" w:right="3563" w:hanging="0"/>
        <w:jc w:val="center"/>
        <w:rPr>
          <w:b/>
        </w:rPr>
      </w:pPr>
      <w:r>
        <w:rPr>
          <w:b/>
        </w:rPr>
        <w:t>SIGNATURES</w:t>
      </w:r>
    </w:p>
    <w:p>
      <w:pPr>
        <w:pStyle w:val="TextBody"/>
        <w:bidi w:val="0"/>
        <w:spacing w:before="0" w:after="0"/>
        <w:jc w:val="left"/>
        <w:rPr/>
      </w:pPr>
      <w:r>
        <w:rPr/>
        <w:t> </w:t>
      </w:r>
    </w:p>
    <w:p>
      <w:pPr>
        <w:pStyle w:val="TextBody"/>
        <w:bidi w:val="0"/>
        <w:spacing w:before="0" w:after="0"/>
        <w:ind w:left="0" w:right="0" w:firstLine="720"/>
        <w:jc w:val="left"/>
        <w:rPr/>
      </w:pPr>
      <w:r>
        <w:rPr/>
        <w:t>Pursuant to the requirements of the Securities Exchange Act of 1934, the registrant has duly caused this report to be signed on its behalf by the duly authorized undersigned.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6cfffc185af64ba9af51f13fae52f9b3"/>
      <w:bookmarkStart w:id="29" w:name="z6cfffc185af64ba9af51f13fae52f9b3"/>
      <w:bookmarkEnd w:id="29"/>
    </w:p>
    <w:tbl>
      <w:tblPr>
        <w:tblW w:w="7815" w:type="dxa"/>
        <w:jc w:val="left"/>
        <w:tblInd w:w="0" w:type="dxa"/>
        <w:tblLayout w:type="fixed"/>
        <w:tblCellMar>
          <w:top w:w="0" w:type="dxa"/>
          <w:left w:w="0" w:type="dxa"/>
          <w:bottom w:w="0" w:type="dxa"/>
          <w:right w:w="0" w:type="dxa"/>
        </w:tblCellMar>
      </w:tblPr>
      <w:tblGrid>
        <w:gridCol w:w="1985"/>
        <w:gridCol w:w="365"/>
        <w:gridCol w:w="5465"/>
      </w:tblGrid>
      <w:tr>
        <w:trPr/>
        <w:tc>
          <w:tcPr>
            <w:tcW w:w="1985" w:type="dxa"/>
            <w:tcBorders/>
            <w:vAlign w:val="center"/>
          </w:tcPr>
          <w:p>
            <w:pPr>
              <w:pStyle w:val="TableContents"/>
              <w:bidi w:val="0"/>
              <w:spacing w:before="0" w:after="283"/>
              <w:jc w:val="left"/>
              <w:rPr/>
            </w:pPr>
            <w:r>
              <w:rPr/>
              <w:t> </w:t>
            </w:r>
          </w:p>
        </w:tc>
        <w:tc>
          <w:tcPr>
            <w:tcW w:w="5830" w:type="dxa"/>
            <w:gridSpan w:val="2"/>
            <w:tcBorders/>
            <w:vAlign w:val="center"/>
          </w:tcPr>
          <w:p>
            <w:pPr>
              <w:pStyle w:val="TableContents"/>
              <w:bidi w:val="0"/>
              <w:spacing w:before="0" w:after="0"/>
              <w:jc w:val="left"/>
              <w:rPr>
                <w:b/>
                <w:color w:val="000000"/>
              </w:rPr>
            </w:pPr>
            <w:r>
              <w:rPr>
                <w:b/>
                <w:color w:val="000000"/>
              </w:rPr>
              <w:t>THE TORO COMPANY</w:t>
            </w:r>
          </w:p>
        </w:tc>
      </w:tr>
      <w:tr>
        <w:trPr/>
        <w:tc>
          <w:tcPr>
            <w:tcW w:w="1985" w:type="dxa"/>
            <w:tcBorders/>
            <w:vAlign w:val="center"/>
          </w:tcPr>
          <w:p>
            <w:pPr>
              <w:pStyle w:val="TableContents"/>
              <w:bidi w:val="0"/>
              <w:spacing w:before="0" w:after="283"/>
              <w:jc w:val="left"/>
              <w:rPr/>
            </w:pPr>
            <w:r>
              <w:rPr/>
              <w:t> </w:t>
            </w:r>
          </w:p>
        </w:tc>
        <w:tc>
          <w:tcPr>
            <w:tcW w:w="5830" w:type="dxa"/>
            <w:gridSpan w:val="2"/>
            <w:tcBorders/>
            <w:vAlign w:val="center"/>
          </w:tcPr>
          <w:p>
            <w:pPr>
              <w:pStyle w:val="TableContents"/>
              <w:bidi w:val="0"/>
              <w:spacing w:before="0" w:after="0"/>
              <w:jc w:val="left"/>
              <w:rPr>
                <w:b/>
                <w:color w:val="000000"/>
              </w:rPr>
            </w:pPr>
            <w:r>
              <w:rPr>
                <w:b/>
                <w:color w:val="000000"/>
              </w:rPr>
              <w:t>(Registrant)</w:t>
            </w:r>
          </w:p>
        </w:tc>
      </w:tr>
      <w:tr>
        <w:trPr/>
        <w:tc>
          <w:tcPr>
            <w:tcW w:w="1985" w:type="dxa"/>
            <w:tcBorders/>
            <w:vAlign w:val="center"/>
          </w:tcPr>
          <w:p>
            <w:pPr>
              <w:pStyle w:val="TableContents"/>
              <w:bidi w:val="0"/>
              <w:spacing w:before="0" w:after="283"/>
              <w:jc w:val="left"/>
              <w:rPr/>
            </w:pPr>
            <w:r>
              <w:rPr/>
              <w:t> </w:t>
            </w:r>
          </w:p>
        </w:tc>
        <w:tc>
          <w:tcPr>
            <w:tcW w:w="5830"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5830"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Date:  May 30, 2023</w:t>
            </w:r>
          </w:p>
        </w:tc>
        <w:tc>
          <w:tcPr>
            <w:tcW w:w="365" w:type="dxa"/>
            <w:tcBorders/>
            <w:vAlign w:val="center"/>
          </w:tcPr>
          <w:p>
            <w:pPr>
              <w:pStyle w:val="TableContents"/>
              <w:bidi w:val="0"/>
              <w:spacing w:before="0" w:after="0"/>
              <w:jc w:val="left"/>
              <w:rPr>
                <w:color w:val="000000"/>
              </w:rPr>
            </w:pPr>
            <w:r>
              <w:rPr>
                <w:color w:val="000000"/>
              </w:rPr>
              <w:t>By:</w:t>
            </w:r>
          </w:p>
        </w:tc>
        <w:tc>
          <w:tcPr>
            <w:tcW w:w="546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Amy E. Dahl</w:t>
            </w:r>
          </w:p>
        </w:tc>
      </w:tr>
      <w:tr>
        <w:trPr/>
        <w:tc>
          <w:tcPr>
            <w:tcW w:w="19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color w:val="000000"/>
              </w:rPr>
            </w:pPr>
            <w:r>
              <w:rPr>
                <w:color w:val="000000"/>
              </w:rPr>
              <w:t>Amy E. Dahl</w:t>
            </w:r>
          </w:p>
        </w:tc>
      </w:tr>
      <w:tr>
        <w:trPr/>
        <w:tc>
          <w:tcPr>
            <w:tcW w:w="19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color w:val="000000"/>
              </w:rPr>
            </w:pPr>
            <w:r>
              <w:rPr>
                <w:color w:val="000000"/>
              </w:rPr>
              <w:t>Vice President, General Counsel and Corporate Secretary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0" w:name="brhc20053732_ex1-01.htm"/>
      <w:bookmarkStart w:id="31" w:name="ksbrhc20053732_ex101"/>
      <w:bookmarkStart w:id="32" w:name="brhc20053732_ex1-01.htm"/>
      <w:bookmarkStart w:id="33" w:name="ksbrhc20053732_ex101"/>
      <w:bookmarkEnd w:id="32"/>
      <w:bookmarkEnd w:id="33"/>
      <w:r>
        <w:br w:type="page"/>
      </w:r>
    </w:p>
    <w:p>
      <w:pPr>
        <w:pStyle w:val="TextBody"/>
        <w:bidi w:val="0"/>
        <w:spacing w:before="0" w:after="0"/>
        <w:ind w:left="90" w:right="100" w:hanging="0"/>
        <w:jc w:val="left"/>
        <w:rPr>
          <w:b/>
        </w:rPr>
      </w:pPr>
      <w:r>
        <w:rPr>
          <w:b/>
        </w:rPr>
        <w:t>Exhibit 1.01</w:t>
      </w:r>
    </w:p>
    <w:p>
      <w:pPr>
        <w:pStyle w:val="TextBody"/>
        <w:bidi w:val="0"/>
        <w:spacing w:before="0" w:after="0"/>
        <w:ind w:left="90" w:right="100" w:hanging="0"/>
        <w:jc w:val="center"/>
        <w:rPr>
          <w:b/>
        </w:rPr>
      </w:pPr>
      <w:r>
        <w:rPr>
          <w:b/>
        </w:rPr>
        <w:t>Conflict Minerals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5c55c28343f5449e97e9fd21ecb908d1"/>
      <w:bookmarkStart w:id="35" w:name="z5c55c28343f5449e97e9fd21ecb908d1"/>
      <w:bookmarkEnd w:id="35"/>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b/>
              </w:rPr>
            </w:pPr>
            <w:r>
              <w:rPr>
                <w:b/>
              </w:rPr>
              <w:t>I.</w:t>
            </w:r>
          </w:p>
        </w:tc>
        <w:tc>
          <w:tcPr>
            <w:tcW w:w="1325" w:type="dxa"/>
            <w:tcBorders/>
            <w:vAlign w:val="center"/>
          </w:tcPr>
          <w:p>
            <w:pPr>
              <w:pStyle w:val="TableContents"/>
              <w:bidi w:val="0"/>
              <w:spacing w:before="0" w:after="0"/>
              <w:jc w:val="left"/>
              <w:rPr>
                <w:b/>
              </w:rPr>
            </w:pPr>
            <w:r>
              <w:rPr>
                <w:b/>
              </w:rPr>
              <w:t>Introduction</w:t>
            </w:r>
          </w:p>
        </w:tc>
      </w:tr>
    </w:tbl>
    <w:p>
      <w:pPr>
        <w:pStyle w:val="TextBody"/>
        <w:bidi w:val="0"/>
        <w:spacing w:before="0" w:after="0"/>
        <w:jc w:val="left"/>
        <w:rPr/>
      </w:pPr>
      <w:r>
        <w:rPr/>
        <w:t> </w:t>
      </w:r>
    </w:p>
    <w:p>
      <w:pPr>
        <w:pStyle w:val="TextBody"/>
        <w:bidi w:val="0"/>
        <w:spacing w:before="0" w:after="0"/>
        <w:ind w:left="90" w:right="100" w:hanging="0"/>
        <w:jc w:val="both"/>
        <w:rPr/>
      </w:pPr>
      <w:r>
        <w:rPr/>
        <w:t>The Toro Company (“TTC”) has included this Conflict Minerals Report as an exhibit to its Form SD as required by Rule 13p-1 under the Securities Exchange Act of 1934, as amended, and Form SD (the “Conflict Minerals Rule”).</w:t>
      </w:r>
    </w:p>
    <w:p>
      <w:pPr>
        <w:pStyle w:val="TextBody"/>
        <w:bidi w:val="0"/>
        <w:spacing w:before="0" w:after="0"/>
        <w:jc w:val="left"/>
        <w:rPr/>
      </w:pPr>
      <w:r>
        <w:rPr/>
      </w:r>
    </w:p>
    <w:p>
      <w:pPr>
        <w:pStyle w:val="TextBody"/>
        <w:bidi w:val="0"/>
        <w:spacing w:before="0" w:after="0"/>
        <w:ind w:left="90" w:right="100" w:hanging="0"/>
        <w:jc w:val="both"/>
        <w:rPr/>
      </w:pPr>
      <w:r>
        <w:rPr/>
        <w:t>As used herein, Conflict Minerals, or 3TG, are columbite-tantalite (coltan), cassiterite, gold, wolframite and the derivatives tantalum, tin, and tungsten, without regard to their location of origin, as provided for in the Conflict Minerals Rule. TTC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(Third Edition 2016) (collectively, the “OECD Guidance”) to establish its company management systems, to conduct its reasonable country of origin inquiry (“RCOI”) and for its due diligence measures relating to 3TG, as discussed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2676605db06a43fc8d96093660c62ba6"/>
      <w:bookmarkStart w:id="37" w:name="z2676605db06a43fc8d96093660c62ba6"/>
      <w:bookmarkEnd w:id="37"/>
    </w:p>
    <w:tbl>
      <w:tblPr>
        <w:tblW w:w="3603" w:type="dxa"/>
        <w:jc w:val="left"/>
        <w:tblInd w:w="0" w:type="dxa"/>
        <w:tblLayout w:type="fixed"/>
        <w:tblCellMar>
          <w:top w:w="0" w:type="dxa"/>
          <w:left w:w="0" w:type="dxa"/>
          <w:bottom w:w="0" w:type="dxa"/>
          <w:right w:w="0" w:type="dxa"/>
        </w:tblCellMar>
      </w:tblPr>
      <w:tblGrid>
        <w:gridCol w:w="38"/>
        <w:gridCol w:w="260"/>
        <w:gridCol w:w="330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II.</w:t>
            </w:r>
          </w:p>
        </w:tc>
        <w:tc>
          <w:tcPr>
            <w:tcW w:w="3305" w:type="dxa"/>
            <w:tcBorders/>
            <w:vAlign w:val="center"/>
          </w:tcPr>
          <w:p>
            <w:pPr>
              <w:pStyle w:val="TableContents"/>
              <w:bidi w:val="0"/>
              <w:spacing w:before="0" w:after="0"/>
              <w:jc w:val="left"/>
              <w:rPr>
                <w:b/>
              </w:rPr>
            </w:pPr>
            <w:r>
              <w:rPr>
                <w:b/>
              </w:rPr>
              <w:t>Company Management Systems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8" w:name="z9c50968874b24564b6a7722fab803e86"/>
      <w:bookmarkStart w:id="39" w:name="z9c50968874b24564b6a7722fab803e86"/>
      <w:bookmarkEnd w:id="39"/>
    </w:p>
    <w:tbl>
      <w:tblPr>
        <w:tblW w:w="2778" w:type="dxa"/>
        <w:jc w:val="left"/>
        <w:tblInd w:w="0" w:type="dxa"/>
        <w:tblLayout w:type="fixed"/>
        <w:tblCellMar>
          <w:top w:w="0" w:type="dxa"/>
          <w:left w:w="0" w:type="dxa"/>
          <w:bottom w:w="0" w:type="dxa"/>
          <w:right w:w="0" w:type="dxa"/>
        </w:tblCellMar>
      </w:tblPr>
      <w:tblGrid>
        <w:gridCol w:w="38"/>
        <w:gridCol w:w="260"/>
        <w:gridCol w:w="248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2480" w:type="dxa"/>
            <w:tcBorders/>
            <w:vAlign w:val="center"/>
          </w:tcPr>
          <w:p>
            <w:pPr>
              <w:pStyle w:val="TableContents"/>
              <w:bidi w:val="0"/>
              <w:spacing w:before="0" w:after="0"/>
              <w:jc w:val="left"/>
              <w:rPr>
                <w:b/>
              </w:rPr>
            </w:pPr>
            <w:r>
              <w:rPr>
                <w:b/>
              </w:rPr>
              <w:t>Conflict Minerals Policy</w:t>
            </w:r>
          </w:p>
        </w:tc>
      </w:tr>
    </w:tbl>
    <w:p>
      <w:pPr>
        <w:pStyle w:val="TextBody"/>
        <w:bidi w:val="0"/>
        <w:spacing w:before="0" w:after="0"/>
        <w:jc w:val="left"/>
        <w:rPr/>
      </w:pPr>
      <w:r>
        <w:rPr/>
        <w:t> </w:t>
      </w:r>
    </w:p>
    <w:p>
      <w:pPr>
        <w:pStyle w:val="TextBody"/>
        <w:bidi w:val="0"/>
        <w:spacing w:before="0" w:after="0"/>
        <w:ind w:left="90" w:right="100" w:hanging="0"/>
        <w:jc w:val="both"/>
        <w:rPr/>
      </w:pPr>
      <w:r>
        <w:rPr/>
        <w:t>TTC has a Conflict Minerals Policy that is communicated to our direct suppliers and available under the Product Safety and Sustainability page of our website at www.thetorocompany.com/sustainability/product.</w:t>
      </w:r>
    </w:p>
    <w:p>
      <w:pPr>
        <w:pStyle w:val="TextBody"/>
        <w:bidi w:val="0"/>
        <w:spacing w:before="0" w:after="0"/>
        <w:jc w:val="left"/>
        <w:rPr/>
      </w:pPr>
      <w:r>
        <w:rPr/>
      </w:r>
    </w:p>
    <w:p>
      <w:pPr>
        <w:pStyle w:val="TextBody"/>
        <w:bidi w:val="0"/>
        <w:spacing w:before="0" w:after="0"/>
        <w:ind w:left="90" w:right="100" w:hanging="0"/>
        <w:jc w:val="both"/>
        <w:rPr/>
      </w:pPr>
      <w:r>
        <w:rPr/>
        <w:t>Our policy confirms that TTC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pStyle w:val="TextBody"/>
        <w:bidi w:val="0"/>
        <w:spacing w:before="0" w:after="0"/>
        <w:jc w:val="left"/>
        <w:rPr/>
      </w:pPr>
      <w:r>
        <w:rPr/>
      </w:r>
    </w:p>
    <w:p>
      <w:pPr>
        <w:pStyle w:val="TextBody"/>
        <w:bidi w:val="0"/>
        <w:spacing w:before="0" w:after="0"/>
        <w:ind w:left="90" w:right="100" w:hanging="0"/>
        <w:jc w:val="both"/>
        <w:rPr/>
      </w:pPr>
      <w:r>
        <w:rPr/>
        <w:t>TTC does not seek to embargo the sourcing of 3TG from the Democratic Republic of the Congo (“DRC”) region, nor does it expect its suppliers to do so.</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0" w:name="z4ebd4e691024451fad1a78e0a188cfcc"/>
      <w:bookmarkStart w:id="41" w:name="z4ebd4e691024451fad1a78e0a188cfcc"/>
      <w:bookmarkEnd w:id="41"/>
    </w:p>
    <w:tbl>
      <w:tblPr>
        <w:tblW w:w="3183" w:type="dxa"/>
        <w:jc w:val="left"/>
        <w:tblInd w:w="0" w:type="dxa"/>
        <w:tblLayout w:type="fixed"/>
        <w:tblCellMar>
          <w:top w:w="0" w:type="dxa"/>
          <w:left w:w="0" w:type="dxa"/>
          <w:bottom w:w="0" w:type="dxa"/>
          <w:right w:w="0" w:type="dxa"/>
        </w:tblCellMar>
      </w:tblPr>
      <w:tblGrid>
        <w:gridCol w:w="38"/>
        <w:gridCol w:w="245"/>
        <w:gridCol w:w="29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2900" w:type="dxa"/>
            <w:tcBorders/>
            <w:vAlign w:val="center"/>
          </w:tcPr>
          <w:p>
            <w:pPr>
              <w:pStyle w:val="TableContents"/>
              <w:bidi w:val="0"/>
              <w:spacing w:before="0" w:after="0"/>
              <w:jc w:val="left"/>
              <w:rPr>
                <w:b/>
              </w:rPr>
            </w:pPr>
            <w:r>
              <w:rPr>
                <w:b/>
              </w:rPr>
              <w:t>Internal Management Team</w:t>
            </w:r>
          </w:p>
        </w:tc>
      </w:tr>
    </w:tbl>
    <w:p>
      <w:pPr>
        <w:pStyle w:val="TextBody"/>
        <w:bidi w:val="0"/>
        <w:spacing w:before="0" w:after="0"/>
        <w:jc w:val="left"/>
        <w:rPr/>
      </w:pPr>
      <w:r>
        <w:rPr/>
        <w:t> </w:t>
      </w:r>
    </w:p>
    <w:p>
      <w:pPr>
        <w:pStyle w:val="TextBody"/>
        <w:bidi w:val="0"/>
        <w:spacing w:before="0" w:after="0"/>
        <w:ind w:left="90" w:right="100" w:hanging="0"/>
        <w:jc w:val="both"/>
        <w:rPr/>
      </w:pPr>
      <w:r>
        <w:rPr/>
        <w:t>TTC created a team of senior staff under the Vice President, Chief Financial Officer, Vice President, Global Operations and Integrated Supply Chain, and Vice President, International, General Counsel and Corporate Secretary responsible for oversight of TTC’s Conflict Minerals compliance strategy. The following functional areas were represented on the working group: Finance, Legal, Information Technology and Sourcing. Relevant internal personnel were educated on the Conflict Minerals Rule, the OECD Guidance, TTC’s compliance plan and reviewing and validating supplier responses to TTC inquiries.</w:t>
      </w:r>
    </w:p>
    <w:p>
      <w:pPr>
        <w:pStyle w:val="TextBody"/>
        <w:bidi w:val="0"/>
        <w:spacing w:before="0" w:after="0"/>
        <w:jc w:val="left"/>
        <w:rPr/>
      </w:pPr>
      <w:r>
        <w:rPr/>
      </w:r>
    </w:p>
    <w:p>
      <w:pPr>
        <w:pStyle w:val="TextBody"/>
        <w:bidi w:val="0"/>
        <w:spacing w:before="0" w:after="0"/>
        <w:ind w:left="90" w:right="100" w:hanging="0"/>
        <w:jc w:val="left"/>
        <w:rPr/>
      </w:pPr>
      <w:r>
        <w:rPr/>
        <w:t>We report the findings of our supply chain risk assessment to our internal management team.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953cdfefcfa04198974893f62ea060ca"/>
      <w:bookmarkStart w:id="43" w:name="z953cdfefcfa04198974893f62ea060ca"/>
      <w:bookmarkEnd w:id="43"/>
    </w:p>
    <w:tbl>
      <w:tblPr>
        <w:tblW w:w="1998" w:type="dxa"/>
        <w:jc w:val="left"/>
        <w:tblInd w:w="0" w:type="dxa"/>
        <w:tblLayout w:type="fixed"/>
        <w:tblCellMar>
          <w:top w:w="0" w:type="dxa"/>
          <w:left w:w="0" w:type="dxa"/>
          <w:bottom w:w="0" w:type="dxa"/>
          <w:right w:w="0" w:type="dxa"/>
        </w:tblCellMar>
      </w:tblPr>
      <w:tblGrid>
        <w:gridCol w:w="38"/>
        <w:gridCol w:w="260"/>
        <w:gridCol w:w="170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C.</w:t>
            </w:r>
          </w:p>
        </w:tc>
        <w:tc>
          <w:tcPr>
            <w:tcW w:w="1700" w:type="dxa"/>
            <w:tcBorders/>
            <w:vAlign w:val="center"/>
          </w:tcPr>
          <w:p>
            <w:pPr>
              <w:pStyle w:val="TableContents"/>
              <w:bidi w:val="0"/>
              <w:spacing w:before="0" w:after="0"/>
              <w:jc w:val="left"/>
              <w:rPr>
                <w:b/>
              </w:rPr>
            </w:pPr>
            <w:r>
              <w:rPr>
                <w:b/>
              </w:rPr>
              <w:t>Control Systems</w:t>
            </w:r>
          </w:p>
        </w:tc>
      </w:tr>
    </w:tbl>
    <w:p>
      <w:pPr>
        <w:pStyle w:val="TextBody"/>
        <w:bidi w:val="0"/>
        <w:spacing w:before="0" w:after="0"/>
        <w:jc w:val="left"/>
        <w:rPr/>
      </w:pPr>
      <w:r>
        <w:rPr/>
        <w:t> </w:t>
      </w:r>
    </w:p>
    <w:p>
      <w:pPr>
        <w:pStyle w:val="TextBody"/>
        <w:bidi w:val="0"/>
        <w:spacing w:before="0" w:after="0"/>
        <w:ind w:left="90" w:right="100" w:hanging="0"/>
        <w:jc w:val="both"/>
        <w:rPr/>
      </w:pPr>
      <w:r>
        <w:rPr/>
        <w:t>TTC is a member of the Responsible Minerals Initiative (“RMI”).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890935357ebf40d0884867dadb432a39"/>
      <w:bookmarkStart w:id="45" w:name="z890935357ebf40d0884867dadb432a39"/>
      <w:bookmarkEnd w:id="45"/>
    </w:p>
    <w:tbl>
      <w:tblPr>
        <w:tblW w:w="2538" w:type="dxa"/>
        <w:jc w:val="left"/>
        <w:tblInd w:w="0" w:type="dxa"/>
        <w:tblLayout w:type="fixed"/>
        <w:tblCellMar>
          <w:top w:w="0" w:type="dxa"/>
          <w:left w:w="0" w:type="dxa"/>
          <w:bottom w:w="0" w:type="dxa"/>
          <w:right w:w="0" w:type="dxa"/>
        </w:tblCellMar>
      </w:tblPr>
      <w:tblGrid>
        <w:gridCol w:w="38"/>
        <w:gridCol w:w="260"/>
        <w:gridCol w:w="224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D.</w:t>
            </w:r>
          </w:p>
        </w:tc>
        <w:tc>
          <w:tcPr>
            <w:tcW w:w="2240" w:type="dxa"/>
            <w:tcBorders/>
            <w:vAlign w:val="center"/>
          </w:tcPr>
          <w:p>
            <w:pPr>
              <w:pStyle w:val="TableContents"/>
              <w:bidi w:val="0"/>
              <w:spacing w:before="0" w:after="0"/>
              <w:jc w:val="left"/>
              <w:rPr>
                <w:b/>
              </w:rPr>
            </w:pPr>
            <w:r>
              <w:rPr>
                <w:b/>
              </w:rPr>
              <w:t>Supplier Engagement</w:t>
            </w:r>
          </w:p>
        </w:tc>
      </w:tr>
    </w:tbl>
    <w:p>
      <w:pPr>
        <w:pStyle w:val="TextBody"/>
        <w:bidi w:val="0"/>
        <w:spacing w:before="0" w:after="0"/>
        <w:jc w:val="left"/>
        <w:rPr/>
      </w:pPr>
      <w:r>
        <w:rPr/>
        <w:t> </w:t>
      </w:r>
    </w:p>
    <w:p>
      <w:pPr>
        <w:pStyle w:val="TextBody"/>
        <w:bidi w:val="0"/>
        <w:spacing w:before="0" w:after="0"/>
        <w:ind w:left="90" w:right="100" w:hanging="0"/>
        <w:jc w:val="both"/>
        <w:rPr/>
      </w:pPr>
      <w:r>
        <w:rPr/>
        <w:t>TTC’s Supplier Terms of Commerce reflect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TTC utilized the CMRTs returned to us by our suppliers to identify smelters and refiners in our supply chain.</w:t>
      </w:r>
    </w:p>
    <w:p>
      <w:pPr>
        <w:pStyle w:val="TextBody"/>
        <w:bidi w:val="0"/>
        <w:spacing w:before="0" w:after="0"/>
        <w:ind w:left="90" w:right="100" w:hanging="0"/>
        <w:jc w:val="both"/>
        <w:rPr/>
      </w:pPr>
      <w:r>
        <w:rPr/>
      </w:r>
    </w:p>
    <w:p>
      <w:pPr>
        <w:pStyle w:val="TextBody"/>
        <w:bidi w:val="0"/>
        <w:spacing w:before="200" w:after="200"/>
        <w:jc w:val="center"/>
        <w:rPr>
          <w:b w:val="false"/>
          <w:i w:val="false"/>
          <w:caps w:val="false"/>
          <w:smallCaps w:val="false"/>
          <w:color w:val="000000"/>
          <w:sz w:val="16"/>
        </w:rPr>
      </w:pPr>
      <w:r>
        <w:rPr>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 w:name="zd6246be11f1847ce818e750e25ab9f3b"/>
      <w:bookmarkStart w:id="47" w:name="zd6246be11f1847ce818e750e25ab9f3b"/>
      <w:bookmarkEnd w:id="47"/>
    </w:p>
    <w:tbl>
      <w:tblPr>
        <w:tblW w:w="2553" w:type="dxa"/>
        <w:jc w:val="left"/>
        <w:tblInd w:w="0" w:type="dxa"/>
        <w:tblLayout w:type="fixed"/>
        <w:tblCellMar>
          <w:top w:w="0" w:type="dxa"/>
          <w:left w:w="0" w:type="dxa"/>
          <w:bottom w:w="0" w:type="dxa"/>
          <w:right w:w="0" w:type="dxa"/>
        </w:tblCellMar>
      </w:tblPr>
      <w:tblGrid>
        <w:gridCol w:w="38"/>
        <w:gridCol w:w="245"/>
        <w:gridCol w:w="22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E.</w:t>
            </w:r>
          </w:p>
        </w:tc>
        <w:tc>
          <w:tcPr>
            <w:tcW w:w="2270" w:type="dxa"/>
            <w:tcBorders/>
            <w:vAlign w:val="center"/>
          </w:tcPr>
          <w:p>
            <w:pPr>
              <w:pStyle w:val="TableContents"/>
              <w:bidi w:val="0"/>
              <w:spacing w:before="0" w:after="0"/>
              <w:jc w:val="left"/>
              <w:rPr>
                <w:b/>
              </w:rPr>
            </w:pPr>
            <w:r>
              <w:rPr>
                <w:b/>
              </w:rPr>
              <w:t>Records Management</w:t>
            </w:r>
          </w:p>
        </w:tc>
      </w:tr>
    </w:tbl>
    <w:p>
      <w:pPr>
        <w:pStyle w:val="TextBody"/>
        <w:bidi w:val="0"/>
        <w:spacing w:before="0" w:after="0"/>
        <w:jc w:val="left"/>
        <w:rPr/>
      </w:pPr>
      <w:r>
        <w:rPr/>
      </w:r>
    </w:p>
    <w:p>
      <w:pPr>
        <w:pStyle w:val="TextBody"/>
        <w:bidi w:val="0"/>
        <w:spacing w:before="0" w:after="0"/>
        <w:ind w:left="90" w:right="100" w:hanging="0"/>
        <w:jc w:val="both"/>
        <w:rPr/>
      </w:pPr>
      <w:r>
        <w:rPr/>
        <w:t>TTC maintains records relating to Conflict Minerals due diligence, including records of due diligence processes, findings, and resulting decisions, per TTC’s applicable record retention policies, which provides for retention of at least five years.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8" w:name="zbaf8583233cd486eaae3b5572859382f"/>
      <w:bookmarkStart w:id="49" w:name="zbaf8583233cd486eaae3b5572859382f"/>
      <w:bookmarkEnd w:id="49"/>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b/>
              </w:rPr>
            </w:pPr>
            <w:r>
              <w:rPr>
                <w:b/>
              </w:rPr>
              <w:t>F.</w:t>
            </w:r>
          </w:p>
        </w:tc>
        <w:tc>
          <w:tcPr>
            <w:tcW w:w="2300" w:type="dxa"/>
            <w:tcBorders/>
            <w:vAlign w:val="center"/>
          </w:tcPr>
          <w:p>
            <w:pPr>
              <w:pStyle w:val="TableContents"/>
              <w:bidi w:val="0"/>
              <w:spacing w:before="0" w:after="0"/>
              <w:jc w:val="left"/>
              <w:rPr>
                <w:b/>
              </w:rPr>
            </w:pPr>
            <w:r>
              <w:rPr>
                <w:b/>
              </w:rPr>
              <w:t>Grievance Mechanism</w:t>
            </w:r>
          </w:p>
        </w:tc>
      </w:tr>
    </w:tbl>
    <w:p>
      <w:pPr>
        <w:pStyle w:val="TextBody"/>
        <w:bidi w:val="0"/>
        <w:spacing w:before="0" w:after="0"/>
        <w:jc w:val="left"/>
        <w:rPr/>
      </w:pPr>
      <w:r>
        <w:rPr/>
        <w:t> </w:t>
      </w:r>
    </w:p>
    <w:p>
      <w:pPr>
        <w:pStyle w:val="TextBody"/>
        <w:bidi w:val="0"/>
        <w:spacing w:before="0" w:after="0"/>
        <w:ind w:left="90" w:right="100" w:hanging="0"/>
        <w:jc w:val="both"/>
        <w:rPr/>
      </w:pPr>
      <w:r>
        <w:rPr/>
        <w:t>TTC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www.thetorocompany.com/sustainability/product.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9fe7f390e9fc4b57a4cb37a6ff966bed"/>
      <w:bookmarkStart w:id="51" w:name="z9fe7f390e9fc4b57a4cb37a6ff966bed"/>
      <w:bookmarkEnd w:id="51"/>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G.</w:t>
            </w:r>
          </w:p>
        </w:tc>
        <w:tc>
          <w:tcPr>
            <w:tcW w:w="9907" w:type="dxa"/>
            <w:tcBorders/>
            <w:vAlign w:val="center"/>
          </w:tcPr>
          <w:p>
            <w:pPr>
              <w:pStyle w:val="TableContents"/>
              <w:bidi w:val="0"/>
              <w:spacing w:before="0" w:after="0"/>
              <w:jc w:val="left"/>
              <w:rPr>
                <w:b/>
              </w:rPr>
            </w:pPr>
            <w:r>
              <w:rPr>
                <w:b/>
              </w:rPr>
              <w:t>Carry Out Independent Third-Party Audit of Supply Chain Due Diligence at Identified Points in the Supply Chain</w:t>
            </w:r>
          </w:p>
        </w:tc>
      </w:tr>
    </w:tbl>
    <w:p>
      <w:pPr>
        <w:pStyle w:val="TextBody"/>
        <w:bidi w:val="0"/>
        <w:spacing w:before="0" w:after="0"/>
        <w:jc w:val="left"/>
        <w:rPr/>
      </w:pPr>
      <w:r>
        <w:rPr/>
        <w:t> </w:t>
      </w:r>
    </w:p>
    <w:p>
      <w:pPr>
        <w:pStyle w:val="TextBody"/>
        <w:bidi w:val="0"/>
        <w:spacing w:before="0" w:after="0"/>
        <w:ind w:left="90" w:right="100" w:hanging="0"/>
        <w:jc w:val="both"/>
        <w:rPr/>
      </w:pPr>
      <w:r>
        <w:rPr/>
        <w:t>In connection with its due diligence, TTC utilized information made available to RMI members concerning independent third-party audits of smelters and refiners. TTC supports the development and implementation of independent third-party audits of smelters and refiners through its membership in the RMI.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4c5e13a579734d59ad187d1be94916ab"/>
      <w:bookmarkStart w:id="53" w:name="z4c5e13a579734d59ad187d1be94916ab"/>
      <w:bookmarkEnd w:id="53"/>
    </w:p>
    <w:tbl>
      <w:tblPr>
        <w:tblW w:w="4308" w:type="dxa"/>
        <w:jc w:val="left"/>
        <w:tblInd w:w="0" w:type="dxa"/>
        <w:tblLayout w:type="fixed"/>
        <w:tblCellMar>
          <w:top w:w="0" w:type="dxa"/>
          <w:left w:w="0" w:type="dxa"/>
          <w:bottom w:w="0" w:type="dxa"/>
          <w:right w:w="0" w:type="dxa"/>
        </w:tblCellMar>
      </w:tblPr>
      <w:tblGrid>
        <w:gridCol w:w="38"/>
        <w:gridCol w:w="260"/>
        <w:gridCol w:w="401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H.</w:t>
            </w:r>
          </w:p>
        </w:tc>
        <w:tc>
          <w:tcPr>
            <w:tcW w:w="4010" w:type="dxa"/>
            <w:tcBorders/>
            <w:vAlign w:val="center"/>
          </w:tcPr>
          <w:p>
            <w:pPr>
              <w:pStyle w:val="TableContents"/>
              <w:bidi w:val="0"/>
              <w:spacing w:before="0" w:after="0"/>
              <w:jc w:val="left"/>
              <w:rPr>
                <w:b/>
              </w:rPr>
            </w:pPr>
            <w:r>
              <w:rPr>
                <w:b/>
              </w:rPr>
              <w:t>Report on Supply Chain Due Diligence</w:t>
            </w:r>
          </w:p>
        </w:tc>
      </w:tr>
    </w:tbl>
    <w:p>
      <w:pPr>
        <w:pStyle w:val="TextBody"/>
        <w:bidi w:val="0"/>
        <w:spacing w:before="0" w:after="0"/>
        <w:jc w:val="left"/>
        <w:rPr/>
      </w:pPr>
      <w:r>
        <w:rPr/>
        <w:t> </w:t>
      </w:r>
    </w:p>
    <w:p>
      <w:pPr>
        <w:pStyle w:val="TextBody"/>
        <w:bidi w:val="0"/>
        <w:spacing w:before="0" w:after="0"/>
        <w:ind w:left="90" w:right="100" w:hanging="0"/>
        <w:jc w:val="both"/>
        <w:rPr/>
      </w:pPr>
      <w:r>
        <w:rPr/>
        <w:t>TTC filed a Form SD and this Conflict Minerals Report with the Securities and Exchange Commission and the filing is available under the Product Safety and Sustainability page of our website www.thetorocompany.com/sustainability/product/cmreports.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228aebd3f12b4795ab8e758eaa10ff39"/>
      <w:bookmarkStart w:id="55" w:name="z228aebd3f12b4795ab8e758eaa10ff39"/>
      <w:bookmarkEnd w:id="55"/>
    </w:p>
    <w:tbl>
      <w:tblPr>
        <w:tblW w:w="4398" w:type="dxa"/>
        <w:jc w:val="left"/>
        <w:tblInd w:w="0" w:type="dxa"/>
        <w:tblLayout w:type="fixed"/>
        <w:tblCellMar>
          <w:top w:w="0" w:type="dxa"/>
          <w:left w:w="0" w:type="dxa"/>
          <w:bottom w:w="0" w:type="dxa"/>
          <w:right w:w="0" w:type="dxa"/>
        </w:tblCellMar>
      </w:tblPr>
      <w:tblGrid>
        <w:gridCol w:w="38"/>
        <w:gridCol w:w="350"/>
        <w:gridCol w:w="401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III.</w:t>
            </w:r>
          </w:p>
        </w:tc>
        <w:tc>
          <w:tcPr>
            <w:tcW w:w="4010" w:type="dxa"/>
            <w:tcBorders/>
            <w:vAlign w:val="center"/>
          </w:tcPr>
          <w:p>
            <w:pPr>
              <w:pStyle w:val="TableContents"/>
              <w:bidi w:val="0"/>
              <w:spacing w:before="0" w:after="0"/>
              <w:jc w:val="left"/>
              <w:rPr>
                <w:b/>
              </w:rPr>
            </w:pPr>
            <w:r>
              <w:rPr>
                <w:b/>
              </w:rPr>
              <w:t>Reasonable Country  of Origin Inquiry</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6" w:name="zb47710723c30433bac8c863543421254"/>
      <w:bookmarkStart w:id="57" w:name="zb47710723c30433bac8c863543421254"/>
      <w:bookmarkEnd w:id="57"/>
    </w:p>
    <w:tbl>
      <w:tblPr>
        <w:tblW w:w="2253" w:type="dxa"/>
        <w:jc w:val="left"/>
        <w:tblInd w:w="0" w:type="dxa"/>
        <w:tblLayout w:type="fixed"/>
        <w:tblCellMar>
          <w:top w:w="0" w:type="dxa"/>
          <w:left w:w="0" w:type="dxa"/>
          <w:bottom w:w="0" w:type="dxa"/>
          <w:right w:w="0" w:type="dxa"/>
        </w:tblCellMar>
      </w:tblPr>
      <w:tblGrid>
        <w:gridCol w:w="38"/>
        <w:gridCol w:w="260"/>
        <w:gridCol w:w="195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1955" w:type="dxa"/>
            <w:tcBorders/>
            <w:vAlign w:val="center"/>
          </w:tcPr>
          <w:p>
            <w:pPr>
              <w:pStyle w:val="TableContents"/>
              <w:bidi w:val="0"/>
              <w:spacing w:before="0" w:after="0"/>
              <w:jc w:val="left"/>
              <w:rPr>
                <w:b/>
              </w:rPr>
            </w:pPr>
            <w:r>
              <w:rPr>
                <w:b/>
              </w:rPr>
              <w:t>In-Scope Suppliers</w:t>
            </w:r>
          </w:p>
        </w:tc>
      </w:tr>
    </w:tbl>
    <w:p>
      <w:pPr>
        <w:pStyle w:val="TextBody"/>
        <w:bidi w:val="0"/>
        <w:spacing w:before="0" w:after="0"/>
        <w:jc w:val="left"/>
        <w:rPr/>
      </w:pPr>
      <w:r>
        <w:rPr/>
        <w:t> </w:t>
      </w:r>
    </w:p>
    <w:p>
      <w:pPr>
        <w:pStyle w:val="TextBody"/>
        <w:bidi w:val="0"/>
        <w:spacing w:before="0" w:after="0"/>
        <w:ind w:left="90" w:right="100" w:hanging="0"/>
        <w:jc w:val="both"/>
        <w:rPr/>
      </w:pPr>
      <w:r>
        <w:rPr/>
        <w:t>TTC personnel determined which of its products were in-scope for purposes of the Conflict Minerals Rule through product specifications, bills of material, supplier inquiries and other information known to TTC. We determined which suppliers were “high-risk” based on the likelihood of suppliers’ components containing 3TG and based on the suppliers’ relationship status with TTC.</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8" w:name="zea66ca28db774b93a2c31b6b8b4a70c2"/>
      <w:bookmarkStart w:id="59" w:name="zea66ca28db774b93a2c31b6b8b4a70c2"/>
      <w:bookmarkEnd w:id="59"/>
    </w:p>
    <w:tbl>
      <w:tblPr>
        <w:tblW w:w="2793" w:type="dxa"/>
        <w:jc w:val="left"/>
        <w:tblInd w:w="0" w:type="dxa"/>
        <w:tblLayout w:type="fixed"/>
        <w:tblCellMar>
          <w:top w:w="0" w:type="dxa"/>
          <w:left w:w="0" w:type="dxa"/>
          <w:bottom w:w="0" w:type="dxa"/>
          <w:right w:w="0" w:type="dxa"/>
        </w:tblCellMar>
      </w:tblPr>
      <w:tblGrid>
        <w:gridCol w:w="38"/>
        <w:gridCol w:w="245"/>
        <w:gridCol w:w="251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2510" w:type="dxa"/>
            <w:tcBorders/>
            <w:vAlign w:val="center"/>
          </w:tcPr>
          <w:p>
            <w:pPr>
              <w:pStyle w:val="TableContents"/>
              <w:bidi w:val="0"/>
              <w:spacing w:before="0" w:after="0"/>
              <w:jc w:val="left"/>
              <w:rPr>
                <w:b/>
              </w:rPr>
            </w:pPr>
            <w:r>
              <w:rPr>
                <w:b/>
              </w:rPr>
              <w:t>Request for Information</w:t>
            </w:r>
          </w:p>
        </w:tc>
      </w:tr>
    </w:tbl>
    <w:p>
      <w:pPr>
        <w:pStyle w:val="TextBody"/>
        <w:bidi w:val="0"/>
        <w:spacing w:before="0" w:after="0"/>
        <w:jc w:val="left"/>
        <w:rPr/>
      </w:pPr>
      <w:r>
        <w:rPr/>
        <w:t> </w:t>
      </w:r>
    </w:p>
    <w:p>
      <w:pPr>
        <w:pStyle w:val="TextBody"/>
        <w:bidi w:val="0"/>
        <w:spacing w:before="0" w:after="0"/>
        <w:ind w:left="90" w:right="100" w:hanging="0"/>
        <w:jc w:val="both"/>
        <w:rPr/>
      </w:pPr>
      <w:r>
        <w:rPr/>
        <w:t>TTC utilized the CMRT developed by the RMI to identify smelters and refiners in its supply chain. We distributed the CMRT to our in-scope suppliers by email. In the communication accompanying the CMRT, TTC communicated its expectations that the CMRT be completed and returned to TTC for review. We followed up by email or phone with suppliers that TTC deemed “high-risk” who did not submit a CMRT within the specified timeframe.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236148d114644e7a800a3e21c216432b"/>
      <w:bookmarkStart w:id="61" w:name="z236148d114644e7a800a3e21c216432b"/>
      <w:bookmarkEnd w:id="61"/>
    </w:p>
    <w:tbl>
      <w:tblPr>
        <w:tblW w:w="2163" w:type="dxa"/>
        <w:jc w:val="left"/>
        <w:tblInd w:w="0" w:type="dxa"/>
        <w:tblLayout w:type="fixed"/>
        <w:tblCellMar>
          <w:top w:w="0" w:type="dxa"/>
          <w:left w:w="0" w:type="dxa"/>
          <w:bottom w:w="0" w:type="dxa"/>
          <w:right w:w="0" w:type="dxa"/>
        </w:tblCellMar>
      </w:tblPr>
      <w:tblGrid>
        <w:gridCol w:w="38"/>
        <w:gridCol w:w="260"/>
        <w:gridCol w:w="18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C.</w:t>
            </w:r>
          </w:p>
        </w:tc>
        <w:tc>
          <w:tcPr>
            <w:tcW w:w="1865" w:type="dxa"/>
            <w:tcBorders/>
            <w:vAlign w:val="center"/>
          </w:tcPr>
          <w:p>
            <w:pPr>
              <w:pStyle w:val="TableContents"/>
              <w:bidi w:val="0"/>
              <w:spacing w:before="0" w:after="0"/>
              <w:jc w:val="left"/>
              <w:rPr>
                <w:b/>
              </w:rPr>
            </w:pPr>
            <w:r>
              <w:rPr>
                <w:b/>
              </w:rPr>
              <w:t>Survey Responses</w:t>
            </w:r>
          </w:p>
        </w:tc>
      </w:tr>
    </w:tbl>
    <w:p>
      <w:pPr>
        <w:pStyle w:val="TextBody"/>
        <w:bidi w:val="0"/>
        <w:spacing w:before="0" w:after="0"/>
        <w:jc w:val="left"/>
        <w:rPr/>
      </w:pPr>
      <w:r>
        <w:rPr/>
        <w:t> </w:t>
      </w:r>
    </w:p>
    <w:p>
      <w:pPr>
        <w:pStyle w:val="TextBody"/>
        <w:bidi w:val="0"/>
        <w:spacing w:before="0" w:after="0"/>
        <w:ind w:left="90" w:right="100" w:hanging="0"/>
        <w:jc w:val="both"/>
        <w:rPr/>
      </w:pPr>
      <w:r>
        <w:rPr/>
        <w:t>TTC personnel reviewed the completed CMRTs and other responses received from suppliers. We followed up by email or phone with TTC’s “high risk” suppliers that did not fully complete the CMRT or provided a non-conforming written response, requesting them to submit a revised CMRT.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17979399b9e046128037ad62cf029932"/>
      <w:bookmarkStart w:id="63" w:name="z17979399b9e046128037ad62cf029932"/>
      <w:bookmarkEnd w:id="63"/>
    </w:p>
    <w:tbl>
      <w:tblPr>
        <w:tblW w:w="2013" w:type="dxa"/>
        <w:jc w:val="left"/>
        <w:tblInd w:w="0" w:type="dxa"/>
        <w:tblLayout w:type="fixed"/>
        <w:tblCellMar>
          <w:top w:w="0" w:type="dxa"/>
          <w:left w:w="0" w:type="dxa"/>
          <w:bottom w:w="0" w:type="dxa"/>
          <w:right w:w="0" w:type="dxa"/>
        </w:tblCellMar>
      </w:tblPr>
      <w:tblGrid>
        <w:gridCol w:w="38"/>
        <w:gridCol w:w="260"/>
        <w:gridCol w:w="171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D.</w:t>
            </w:r>
          </w:p>
        </w:tc>
        <w:tc>
          <w:tcPr>
            <w:tcW w:w="1715" w:type="dxa"/>
            <w:tcBorders/>
            <w:vAlign w:val="center"/>
          </w:tcPr>
          <w:p>
            <w:pPr>
              <w:pStyle w:val="TableContents"/>
              <w:bidi w:val="0"/>
              <w:spacing w:before="0" w:after="0"/>
              <w:jc w:val="left"/>
              <w:rPr>
                <w:b/>
              </w:rPr>
            </w:pPr>
            <w:r>
              <w:rPr>
                <w:b/>
              </w:rPr>
              <w:t>Risk Assessment</w:t>
            </w:r>
          </w:p>
        </w:tc>
      </w:tr>
    </w:tbl>
    <w:p>
      <w:pPr>
        <w:pStyle w:val="TextBody"/>
        <w:bidi w:val="0"/>
        <w:spacing w:before="0" w:after="0"/>
        <w:jc w:val="left"/>
        <w:rPr/>
      </w:pPr>
      <w:r>
        <w:rPr/>
        <w:t> </w:t>
      </w:r>
    </w:p>
    <w:p>
      <w:pPr>
        <w:pStyle w:val="TextBody"/>
        <w:bidi w:val="0"/>
        <w:spacing w:before="0" w:after="0"/>
        <w:ind w:left="90" w:right="100" w:hanging="0"/>
        <w:jc w:val="both"/>
        <w:rPr/>
      </w:pPr>
      <w:r>
        <w:rPr/>
        <w:t>Based on the information furnished by our suppliers and other information known to TTC, we assessed the risks of adverse impacts. To the extent that a completed CMRT contained smelter or refiner information, TTC reviewed this information against an internally developed “red flags” list and the list of eligible smelters and refiners contained in the RMI member smelter database. To the extent that an eligible or provisionally eligible smelter or refiner identified by a supplier was not certified as conformant by the RMI, TTC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16"/>
        </w:rPr>
      </w:pPr>
      <w:r>
        <w:rPr>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90" w:right="100" w:hanging="0"/>
        <w:jc w:val="both"/>
        <w:rPr/>
      </w:pPr>
      <w:r>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TTC’s products, did not identify a smelter or refiner, or an eligible or provisionally eligible smelter or refiner was not certified as conformant by the RMI, the origin of the applicable 3TG contained in the products covered by the response was treated as “unknown origin.”</w:t>
      </w:r>
    </w:p>
    <w:p>
      <w:pPr>
        <w:pStyle w:val="TextBody"/>
        <w:bidi w:val="0"/>
        <w:spacing w:before="0" w:after="0"/>
        <w:jc w:val="left"/>
        <w:rPr/>
      </w:pPr>
      <w:r>
        <w:rPr/>
      </w:r>
    </w:p>
    <w:p>
      <w:pPr>
        <w:pStyle w:val="TextBody"/>
        <w:bidi w:val="0"/>
        <w:spacing w:before="0" w:after="0"/>
        <w:ind w:left="90" w:right="100" w:hanging="0"/>
        <w:jc w:val="both"/>
        <w:rPr/>
      </w:pPr>
      <w:r>
        <w:rPr/>
        <w:t>TTC’s Conflict Minerals Compliance Team reported the findings of its supply chain risk assessment to TTC’s Vice President, Chief Financial Officer, Vice President, Global Operations and Integrated Supply Chain, and Vice President, International, General Counsel and Corporate Secretary.</w:t>
      </w:r>
    </w:p>
    <w:p>
      <w:pPr>
        <w:pStyle w:val="TextBody"/>
        <w:bidi w:val="0"/>
        <w:spacing w:before="0" w:after="0"/>
        <w:jc w:val="left"/>
        <w:rPr/>
      </w:pPr>
      <w:r>
        <w:rPr/>
      </w:r>
    </w:p>
    <w:p>
      <w:pPr>
        <w:pStyle w:val="TextBody"/>
        <w:bidi w:val="0"/>
        <w:spacing w:before="0" w:after="0"/>
        <w:ind w:left="90" w:right="100" w:hanging="0"/>
        <w:jc w:val="both"/>
        <w:rPr/>
      </w:pPr>
      <w:r>
        <w:rPr/>
        <w:t>TTC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718ad46a02ab44cfb1990ff7b437aba5"/>
      <w:bookmarkStart w:id="65" w:name="z718ad46a02ab44cfb1990ff7b437aba5"/>
      <w:bookmarkEnd w:id="65"/>
    </w:p>
    <w:tbl>
      <w:tblPr>
        <w:tblW w:w="4113" w:type="dxa"/>
        <w:jc w:val="left"/>
        <w:tblInd w:w="0" w:type="dxa"/>
        <w:tblLayout w:type="fixed"/>
        <w:tblCellMar>
          <w:top w:w="0" w:type="dxa"/>
          <w:left w:w="0" w:type="dxa"/>
          <w:bottom w:w="0" w:type="dxa"/>
          <w:right w:w="0" w:type="dxa"/>
        </w:tblCellMar>
      </w:tblPr>
      <w:tblGrid>
        <w:gridCol w:w="38"/>
        <w:gridCol w:w="350"/>
        <w:gridCol w:w="372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IV.</w:t>
            </w:r>
          </w:p>
        </w:tc>
        <w:tc>
          <w:tcPr>
            <w:tcW w:w="3725" w:type="dxa"/>
            <w:tcBorders/>
            <w:vAlign w:val="center"/>
          </w:tcPr>
          <w:p>
            <w:pPr>
              <w:pStyle w:val="TableContents"/>
              <w:bidi w:val="0"/>
              <w:spacing w:before="0" w:after="0"/>
              <w:jc w:val="left"/>
              <w:rPr>
                <w:b/>
              </w:rPr>
            </w:pPr>
            <w:r>
              <w:rPr>
                <w:b/>
              </w:rPr>
              <w:t>Design of Due Diligence Framework</w:t>
            </w:r>
          </w:p>
        </w:tc>
      </w:tr>
    </w:tbl>
    <w:p>
      <w:pPr>
        <w:pStyle w:val="TextBody"/>
        <w:bidi w:val="0"/>
        <w:spacing w:before="0" w:after="0"/>
        <w:jc w:val="left"/>
        <w:rPr/>
      </w:pPr>
      <w:r>
        <w:rPr/>
      </w:r>
    </w:p>
    <w:p>
      <w:pPr>
        <w:pStyle w:val="TextBody"/>
        <w:bidi w:val="0"/>
        <w:spacing w:before="0" w:after="0"/>
        <w:ind w:left="90" w:right="100" w:hanging="0"/>
        <w:jc w:val="left"/>
        <w:rPr/>
      </w:pPr>
      <w:r>
        <w:rPr/>
        <w:t>TTC followed the criteria set forth in the OECD Guidance to conduct its due diligence measures relating to 3TG.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a3b7e77cc8914b2b8d236e3dca297422"/>
      <w:bookmarkStart w:id="67" w:name="za3b7e77cc8914b2b8d236e3dca297422"/>
      <w:bookmarkEnd w:id="67"/>
    </w:p>
    <w:tbl>
      <w:tblPr>
        <w:tblW w:w="2778" w:type="dxa"/>
        <w:jc w:val="left"/>
        <w:tblInd w:w="0" w:type="dxa"/>
        <w:tblLayout w:type="fixed"/>
        <w:tblCellMar>
          <w:top w:w="0" w:type="dxa"/>
          <w:left w:w="0" w:type="dxa"/>
          <w:bottom w:w="0" w:type="dxa"/>
          <w:right w:w="0" w:type="dxa"/>
        </w:tblCellMar>
      </w:tblPr>
      <w:tblGrid>
        <w:gridCol w:w="38"/>
        <w:gridCol w:w="260"/>
        <w:gridCol w:w="248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V.</w:t>
            </w:r>
          </w:p>
        </w:tc>
        <w:tc>
          <w:tcPr>
            <w:tcW w:w="2480" w:type="dxa"/>
            <w:tcBorders/>
            <w:vAlign w:val="center"/>
          </w:tcPr>
          <w:p>
            <w:pPr>
              <w:pStyle w:val="TableContents"/>
              <w:bidi w:val="0"/>
              <w:spacing w:before="0" w:after="0"/>
              <w:jc w:val="left"/>
              <w:rPr>
                <w:b/>
              </w:rPr>
            </w:pPr>
            <w:r>
              <w:rPr>
                <w:b/>
              </w:rPr>
              <w:t>Due Diligence Measures</w:t>
            </w:r>
          </w:p>
        </w:tc>
      </w:tr>
    </w:tbl>
    <w:p>
      <w:pPr>
        <w:pStyle w:val="TextBody"/>
        <w:bidi w:val="0"/>
        <w:spacing w:before="0" w:after="0"/>
        <w:jc w:val="left"/>
        <w:rPr/>
      </w:pPr>
      <w:r>
        <w:rPr/>
        <w:t> </w:t>
      </w:r>
    </w:p>
    <w:p>
      <w:pPr>
        <w:pStyle w:val="TextBody"/>
        <w:bidi w:val="0"/>
        <w:spacing w:before="0" w:after="0"/>
        <w:ind w:left="90" w:right="100" w:hanging="0"/>
        <w:jc w:val="both"/>
        <w:rPr/>
      </w:pPr>
      <w:r>
        <w:rPr/>
        <w:t>The due diligence measures performed by TTC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748c1dab8b4f43b981f166a135dd1d08"/>
      <w:bookmarkStart w:id="69" w:name="z748c1dab8b4f43b981f166a135dd1d08"/>
      <w:bookmarkEnd w:id="69"/>
    </w:p>
    <w:tbl>
      <w:tblPr>
        <w:tblW w:w="3678" w:type="dxa"/>
        <w:jc w:val="left"/>
        <w:tblInd w:w="0" w:type="dxa"/>
        <w:tblLayout w:type="fixed"/>
        <w:tblCellMar>
          <w:top w:w="0" w:type="dxa"/>
          <w:left w:w="0" w:type="dxa"/>
          <w:bottom w:w="0" w:type="dxa"/>
          <w:right w:w="0" w:type="dxa"/>
        </w:tblCellMar>
      </w:tblPr>
      <w:tblGrid>
        <w:gridCol w:w="38"/>
        <w:gridCol w:w="350"/>
        <w:gridCol w:w="329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VI.</w:t>
            </w:r>
          </w:p>
        </w:tc>
        <w:tc>
          <w:tcPr>
            <w:tcW w:w="3290" w:type="dxa"/>
            <w:tcBorders/>
            <w:vAlign w:val="center"/>
          </w:tcPr>
          <w:p>
            <w:pPr>
              <w:pStyle w:val="TableContents"/>
              <w:bidi w:val="0"/>
              <w:spacing w:before="0" w:after="0"/>
              <w:jc w:val="left"/>
              <w:rPr>
                <w:b/>
              </w:rPr>
            </w:pPr>
            <w:r>
              <w:rPr>
                <w:b/>
              </w:rPr>
              <w:t>Product Status and Information</w:t>
            </w:r>
          </w:p>
        </w:tc>
      </w:tr>
    </w:tbl>
    <w:p>
      <w:pPr>
        <w:pStyle w:val="TextBody"/>
        <w:bidi w:val="0"/>
        <w:spacing w:before="0" w:after="0"/>
        <w:jc w:val="left"/>
        <w:rPr/>
      </w:pPr>
      <w:r>
        <w:rPr/>
        <w:t> </w:t>
      </w:r>
    </w:p>
    <w:p>
      <w:pPr>
        <w:pStyle w:val="TextBody"/>
        <w:bidi w:val="0"/>
        <w:spacing w:before="0" w:after="0"/>
        <w:ind w:left="90" w:right="100" w:hanging="0"/>
        <w:jc w:val="left"/>
        <w:rPr/>
      </w:pPr>
      <w:r>
        <w:rPr/>
        <w:t>For 2022, TTC has concluded that all of the TTC in-scope products in the categories indicated below contained 3TG of unknown origin:</w:t>
      </w:r>
    </w:p>
    <w:p>
      <w:pPr>
        <w:pStyle w:val="Normal"/>
        <w:bidi w:val="0"/>
        <w:spacing w:before="0" w:after="0"/>
        <w:jc w:val="left"/>
        <w:rPr>
          <w:sz w:val="4"/>
          <w:szCs w:val="4"/>
        </w:rPr>
      </w:pPr>
      <w:r>
        <w:rPr>
          <w:sz w:val="4"/>
          <w:szCs w:val="4"/>
        </w:rPr>
      </w:r>
      <w:bookmarkStart w:id="70" w:name="z1f86eb3dd08d4997925f586756f7f4ba"/>
      <w:bookmarkStart w:id="71" w:name="z1f86eb3dd08d4997925f586756f7f4ba"/>
      <w:bookmarkEnd w:id="71"/>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0"/>
              <w:jc w:val="left"/>
              <w:rPr/>
            </w:pPr>
            <w:r>
              <w:rPr/>
              <w:t>turf maintenance equipment</w:t>
            </w:r>
          </w:p>
        </w:tc>
      </w:tr>
    </w:tbl>
    <w:p>
      <w:pPr>
        <w:pStyle w:val="Normal"/>
        <w:bidi w:val="0"/>
        <w:spacing w:before="0" w:after="0"/>
        <w:jc w:val="left"/>
        <w:rPr>
          <w:sz w:val="4"/>
          <w:szCs w:val="4"/>
        </w:rPr>
      </w:pPr>
      <w:r>
        <w:rPr>
          <w:sz w:val="4"/>
          <w:szCs w:val="4"/>
        </w:rPr>
      </w:r>
      <w:bookmarkStart w:id="72" w:name="z2cb63141ee634e409a81a6532213184d"/>
      <w:bookmarkStart w:id="73" w:name="z2cb63141ee634e409a81a6532213184d"/>
      <w:bookmarkEnd w:id="73"/>
    </w:p>
    <w:tbl>
      <w:tblPr>
        <w:tblW w:w="2223" w:type="dxa"/>
        <w:jc w:val="left"/>
        <w:tblInd w:w="0" w:type="dxa"/>
        <w:tblLayout w:type="fixed"/>
        <w:tblCellMar>
          <w:top w:w="0" w:type="dxa"/>
          <w:left w:w="0" w:type="dxa"/>
          <w:bottom w:w="0" w:type="dxa"/>
          <w:right w:w="0" w:type="dxa"/>
        </w:tblCellMar>
      </w:tblPr>
      <w:tblGrid>
        <w:gridCol w:w="38"/>
        <w:gridCol w:w="110"/>
        <w:gridCol w:w="2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pPr>
            <w:r>
              <w:rPr/>
              <w:t>turf irrigation systems</w:t>
            </w:r>
          </w:p>
        </w:tc>
      </w:tr>
    </w:tbl>
    <w:p>
      <w:pPr>
        <w:pStyle w:val="Normal"/>
        <w:bidi w:val="0"/>
        <w:spacing w:before="0" w:after="0"/>
        <w:jc w:val="left"/>
        <w:rPr>
          <w:sz w:val="4"/>
          <w:szCs w:val="4"/>
        </w:rPr>
      </w:pPr>
      <w:r>
        <w:rPr>
          <w:sz w:val="4"/>
          <w:szCs w:val="4"/>
        </w:rPr>
      </w:r>
      <w:bookmarkStart w:id="74" w:name="z4453318d779c49edba8c9add3215f3d6"/>
      <w:bookmarkStart w:id="75" w:name="z4453318d779c49edba8c9add3215f3d6"/>
      <w:bookmarkEnd w:id="75"/>
    </w:p>
    <w:tbl>
      <w:tblPr>
        <w:tblW w:w="3543" w:type="dxa"/>
        <w:jc w:val="left"/>
        <w:tblInd w:w="0" w:type="dxa"/>
        <w:tblLayout w:type="fixed"/>
        <w:tblCellMar>
          <w:top w:w="0" w:type="dxa"/>
          <w:left w:w="0" w:type="dxa"/>
          <w:bottom w:w="0" w:type="dxa"/>
          <w:right w:w="0" w:type="dxa"/>
        </w:tblCellMar>
      </w:tblPr>
      <w:tblGrid>
        <w:gridCol w:w="38"/>
        <w:gridCol w:w="110"/>
        <w:gridCol w:w="3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left"/>
              <w:rPr/>
            </w:pPr>
            <w:r>
              <w:rPr/>
              <w:t>landscaping equipment and lighting</w:t>
            </w:r>
          </w:p>
        </w:tc>
      </w:tr>
    </w:tbl>
    <w:p>
      <w:pPr>
        <w:pStyle w:val="Normal"/>
        <w:bidi w:val="0"/>
        <w:spacing w:before="0" w:after="0"/>
        <w:jc w:val="left"/>
        <w:rPr>
          <w:sz w:val="4"/>
          <w:szCs w:val="4"/>
        </w:rPr>
      </w:pPr>
      <w:r>
        <w:rPr>
          <w:sz w:val="4"/>
          <w:szCs w:val="4"/>
        </w:rPr>
      </w:r>
      <w:bookmarkStart w:id="76" w:name="z2290defe0cc54a79b5f888f0284ce506"/>
      <w:bookmarkStart w:id="77" w:name="z2290defe0cc54a79b5f888f0284ce506"/>
      <w:bookmarkEnd w:id="77"/>
    </w:p>
    <w:tbl>
      <w:tblPr>
        <w:tblW w:w="3573" w:type="dxa"/>
        <w:jc w:val="left"/>
        <w:tblInd w:w="0" w:type="dxa"/>
        <w:tblLayout w:type="fixed"/>
        <w:tblCellMar>
          <w:top w:w="0" w:type="dxa"/>
          <w:left w:w="0" w:type="dxa"/>
          <w:bottom w:w="0" w:type="dxa"/>
          <w:right w:w="0" w:type="dxa"/>
        </w:tblCellMar>
      </w:tblPr>
      <w:tblGrid>
        <w:gridCol w:w="38"/>
        <w:gridCol w:w="110"/>
        <w:gridCol w:w="3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0"/>
              <w:jc w:val="left"/>
              <w:rPr/>
            </w:pPr>
            <w:r>
              <w:rPr/>
              <w:t>agricultural micro-irrigation systems</w:t>
            </w:r>
          </w:p>
        </w:tc>
      </w:tr>
    </w:tbl>
    <w:p>
      <w:pPr>
        <w:pStyle w:val="Normal"/>
        <w:bidi w:val="0"/>
        <w:spacing w:before="0" w:after="0"/>
        <w:jc w:val="left"/>
        <w:rPr>
          <w:sz w:val="4"/>
          <w:szCs w:val="4"/>
        </w:rPr>
      </w:pPr>
      <w:r>
        <w:rPr>
          <w:sz w:val="4"/>
          <w:szCs w:val="4"/>
        </w:rPr>
      </w:r>
      <w:bookmarkStart w:id="78" w:name="z53ce437e191541c099f82edd6e926938"/>
      <w:bookmarkStart w:id="79" w:name="z53ce437e191541c099f82edd6e926938"/>
      <w:bookmarkEnd w:id="79"/>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left"/>
              <w:rPr/>
            </w:pPr>
            <w:r>
              <w:rPr/>
              <w:t>rental and specialty construction equipment</w:t>
            </w:r>
          </w:p>
        </w:tc>
      </w:tr>
    </w:tbl>
    <w:p>
      <w:pPr>
        <w:pStyle w:val="Normal"/>
        <w:bidi w:val="0"/>
        <w:spacing w:before="0" w:after="0"/>
        <w:jc w:val="left"/>
        <w:rPr>
          <w:sz w:val="4"/>
          <w:szCs w:val="4"/>
        </w:rPr>
      </w:pPr>
      <w:r>
        <w:rPr>
          <w:sz w:val="4"/>
          <w:szCs w:val="4"/>
        </w:rPr>
      </w:r>
      <w:bookmarkStart w:id="80" w:name="zbb127cc74c1a4cadb5acdf2ce1ca5d80"/>
      <w:bookmarkStart w:id="81" w:name="zbb127cc74c1a4cadb5acdf2ce1ca5d80"/>
      <w:bookmarkEnd w:id="81"/>
    </w:p>
    <w:tbl>
      <w:tblPr>
        <w:tblW w:w="4263" w:type="dxa"/>
        <w:jc w:val="left"/>
        <w:tblInd w:w="0" w:type="dxa"/>
        <w:tblLayout w:type="fixed"/>
        <w:tblCellMar>
          <w:top w:w="0" w:type="dxa"/>
          <w:left w:w="0" w:type="dxa"/>
          <w:bottom w:w="0" w:type="dxa"/>
          <w:right w:w="0" w:type="dxa"/>
        </w:tblCellMar>
      </w:tblPr>
      <w:tblGrid>
        <w:gridCol w:w="38"/>
        <w:gridCol w:w="110"/>
        <w:gridCol w:w="4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left"/>
              <w:rPr/>
            </w:pPr>
            <w:r>
              <w:rPr/>
              <w:t>residential yard and snow thrower products</w:t>
            </w:r>
          </w:p>
        </w:tc>
      </w:tr>
    </w:tbl>
    <w:p>
      <w:pPr>
        <w:pStyle w:val="Normal"/>
        <w:bidi w:val="0"/>
        <w:spacing w:before="0" w:after="0"/>
        <w:jc w:val="left"/>
        <w:rPr>
          <w:sz w:val="4"/>
          <w:szCs w:val="4"/>
        </w:rPr>
      </w:pPr>
      <w:r>
        <w:rPr>
          <w:sz w:val="4"/>
          <w:szCs w:val="4"/>
        </w:rPr>
      </w:r>
      <w:bookmarkStart w:id="82" w:name="zd8a2237e7fe94e92bece2fa8b28503ae"/>
      <w:bookmarkStart w:id="83" w:name="zd8a2237e7fe94e92bece2fa8b28503ae"/>
      <w:bookmarkEnd w:id="83"/>
    </w:p>
    <w:tbl>
      <w:tblPr>
        <w:tblW w:w="3558" w:type="dxa"/>
        <w:jc w:val="left"/>
        <w:tblInd w:w="0" w:type="dxa"/>
        <w:tblLayout w:type="fixed"/>
        <w:tblCellMar>
          <w:top w:w="0" w:type="dxa"/>
          <w:left w:w="0" w:type="dxa"/>
          <w:bottom w:w="0" w:type="dxa"/>
          <w:right w:w="0" w:type="dxa"/>
        </w:tblCellMar>
      </w:tblPr>
      <w:tblGrid>
        <w:gridCol w:w="38"/>
        <w:gridCol w:w="110"/>
        <w:gridCol w:w="3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0"/>
              <w:jc w:val="left"/>
              <w:rPr/>
            </w:pPr>
            <w:r>
              <w:rPr/>
              <w:t>snow and ice management products</w:t>
            </w:r>
          </w:p>
        </w:tc>
      </w:tr>
    </w:tbl>
    <w:p>
      <w:pPr>
        <w:pStyle w:val="Normal"/>
        <w:bidi w:val="0"/>
        <w:spacing w:before="0" w:after="0"/>
        <w:jc w:val="left"/>
        <w:rPr>
          <w:sz w:val="4"/>
          <w:szCs w:val="4"/>
        </w:rPr>
      </w:pPr>
      <w:r>
        <w:rPr>
          <w:sz w:val="4"/>
          <w:szCs w:val="4"/>
        </w:rPr>
      </w:r>
      <w:bookmarkStart w:id="84" w:name="z17241781a3e44e0bafcda8749a74e98f"/>
      <w:bookmarkStart w:id="85" w:name="z17241781a3e44e0bafcda8749a74e98f"/>
      <w:bookmarkEnd w:id="85"/>
    </w:p>
    <w:tbl>
      <w:tblPr>
        <w:tblW w:w="3483" w:type="dxa"/>
        <w:jc w:val="left"/>
        <w:tblInd w:w="0" w:type="dxa"/>
        <w:tblLayout w:type="fixed"/>
        <w:tblCellMar>
          <w:top w:w="0" w:type="dxa"/>
          <w:left w:w="0" w:type="dxa"/>
          <w:bottom w:w="0" w:type="dxa"/>
          <w:right w:w="0" w:type="dxa"/>
        </w:tblCellMar>
      </w:tblPr>
      <w:tblGrid>
        <w:gridCol w:w="38"/>
        <w:gridCol w:w="110"/>
        <w:gridCol w:w="3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jc w:val="left"/>
              <w:rPr/>
            </w:pPr>
            <w:r>
              <w:rPr/>
              <w:t>underground construction products</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6" w:name="ze537fbaef87d488691feb9b24d7f5306"/>
      <w:bookmarkStart w:id="87" w:name="ze537fbaef87d488691feb9b24d7f5306"/>
      <w:bookmarkEnd w:id="87"/>
    </w:p>
    <w:tbl>
      <w:tblPr>
        <w:tblW w:w="3783" w:type="dxa"/>
        <w:jc w:val="left"/>
        <w:tblInd w:w="0" w:type="dxa"/>
        <w:tblLayout w:type="fixed"/>
        <w:tblCellMar>
          <w:top w:w="0" w:type="dxa"/>
          <w:left w:w="0" w:type="dxa"/>
          <w:bottom w:w="0" w:type="dxa"/>
          <w:right w:w="0" w:type="dxa"/>
        </w:tblCellMar>
      </w:tblPr>
      <w:tblGrid>
        <w:gridCol w:w="38"/>
        <w:gridCol w:w="440"/>
        <w:gridCol w:w="330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VII.</w:t>
            </w:r>
          </w:p>
        </w:tc>
        <w:tc>
          <w:tcPr>
            <w:tcW w:w="3305" w:type="dxa"/>
            <w:tcBorders/>
            <w:vAlign w:val="center"/>
          </w:tcPr>
          <w:p>
            <w:pPr>
              <w:pStyle w:val="TableContents"/>
              <w:bidi w:val="0"/>
              <w:spacing w:before="0" w:after="0"/>
              <w:jc w:val="left"/>
              <w:rPr>
                <w:b/>
              </w:rPr>
            </w:pPr>
            <w:r>
              <w:rPr>
                <w:b/>
              </w:rPr>
              <w:t>Identified Smelters and Refiners</w:t>
            </w:r>
          </w:p>
        </w:tc>
      </w:tr>
    </w:tbl>
    <w:p>
      <w:pPr>
        <w:pStyle w:val="TextBody"/>
        <w:bidi w:val="0"/>
        <w:spacing w:before="0" w:after="0"/>
        <w:jc w:val="left"/>
        <w:rPr/>
      </w:pPr>
      <w:r>
        <w:rPr/>
        <w:t> </w:t>
      </w:r>
    </w:p>
    <w:p>
      <w:pPr>
        <w:pStyle w:val="TextBody"/>
        <w:bidi w:val="0"/>
        <w:spacing w:before="0" w:after="0"/>
        <w:ind w:left="90" w:right="100" w:hanging="0"/>
        <w:jc w:val="both"/>
        <w:rPr/>
      </w:pPr>
      <w:r>
        <w:rPr/>
        <w:t>We were unable to determine the origin of at least a portion of the necessary 3TG contained in each of the in-scope products that we manufactured in 2022. However, as part of our reasonable country of origin inquiry, some of our suppliers identified to us smelters and refiners that may have processed the necessary 3TG contained in the in-scope products that we manufactured in 2022,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16"/>
        </w:rPr>
      </w:pPr>
      <w:r>
        <w:rPr>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820" w:right="0" w:hanging="0"/>
        <w:jc w:val="center"/>
        <w:rPr>
          <w:b/>
        </w:rPr>
      </w:pPr>
      <w:r>
        <w:rPr>
          <w:b/>
        </w:rPr>
        <w:t>Smelter and Refiner Status and Country of Origin Information1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498bc2c6e9674c67b893915f745ba02c"/>
      <w:bookmarkStart w:id="89" w:name="z498bc2c6e9674c67b893915f745ba02c"/>
      <w:bookmarkEnd w:id="89"/>
    </w:p>
    <w:tbl>
      <w:tblPr>
        <w:tblW w:w="10205" w:type="dxa"/>
        <w:jc w:val="left"/>
        <w:tblInd w:w="0" w:type="dxa"/>
        <w:tblLayout w:type="fixed"/>
        <w:tblCellMar>
          <w:top w:w="0" w:type="dxa"/>
          <w:left w:w="0" w:type="dxa"/>
          <w:bottom w:w="0" w:type="dxa"/>
          <w:right w:w="0" w:type="dxa"/>
        </w:tblCellMar>
      </w:tblPr>
      <w:tblGrid>
        <w:gridCol w:w="935"/>
        <w:gridCol w:w="2441"/>
        <w:gridCol w:w="1227"/>
        <w:gridCol w:w="380"/>
        <w:gridCol w:w="1548"/>
        <w:gridCol w:w="1548"/>
        <w:gridCol w:w="980"/>
        <w:gridCol w:w="1146"/>
      </w:tblGrid>
      <w:tr>
        <w:trPr/>
        <w:tc>
          <w:tcPr>
            <w:tcW w:w="935" w:type="dxa"/>
            <w:tcBorders/>
            <w:vAlign w:val="center"/>
          </w:tcPr>
          <w:p>
            <w:pPr>
              <w:pStyle w:val="TableContents"/>
              <w:bidi w:val="0"/>
              <w:spacing w:before="0" w:after="283"/>
              <w:jc w:val="left"/>
              <w:rPr/>
            </w:pPr>
            <w:r>
              <w:rPr/>
              <w:t> </w:t>
            </w:r>
          </w:p>
        </w:tc>
        <w:tc>
          <w:tcPr>
            <w:tcW w:w="7144" w:type="dxa"/>
            <w:gridSpan w:val="5"/>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Conformant (225)</w:t>
            </w:r>
          </w:p>
        </w:tc>
        <w:tc>
          <w:tcPr>
            <w:tcW w:w="98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Active (8)</w:t>
            </w:r>
          </w:p>
        </w:tc>
        <w:tc>
          <w:tcPr>
            <w:tcW w:w="1146"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Other (190)</w:t>
            </w:r>
          </w:p>
        </w:tc>
      </w:tr>
      <w:tr>
        <w:trPr/>
        <w:tc>
          <w:tcPr>
            <w:tcW w:w="935" w:type="dxa"/>
            <w:tcBorders/>
            <w:vAlign w:val="center"/>
          </w:tcPr>
          <w:p>
            <w:pPr>
              <w:pStyle w:val="TableContents"/>
              <w:bidi w:val="0"/>
              <w:spacing w:before="0" w:after="283"/>
              <w:jc w:val="left"/>
              <w:rPr/>
            </w:pPr>
            <w:r>
              <w:rPr/>
              <w:t> </w:t>
            </w:r>
          </w:p>
        </w:tc>
        <w:tc>
          <w:tcPr>
            <w:tcW w:w="2441"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2441"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Non-DRC Region Sourced</w:t>
            </w:r>
          </w:p>
        </w:tc>
        <w:tc>
          <w:tcPr>
            <w:tcW w:w="1227"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DRC Region</w:t>
            </w:r>
          </w:p>
          <w:p>
            <w:pPr>
              <w:pStyle w:val="TableContents"/>
              <w:bidi w:val="0"/>
              <w:spacing w:before="0" w:after="0"/>
              <w:jc w:val="center"/>
              <w:rPr>
                <w:color w:val="000000"/>
              </w:rPr>
            </w:pPr>
            <w:r>
              <w:rPr>
                <w:color w:val="000000"/>
              </w:rPr>
              <w:t>Sourced</w:t>
            </w:r>
          </w:p>
        </w:tc>
        <w:tc>
          <w:tcPr>
            <w:tcW w:w="38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R/S</w:t>
            </w:r>
          </w:p>
        </w:tc>
        <w:tc>
          <w:tcPr>
            <w:tcW w:w="1548"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Low Risk</w:t>
            </w:r>
          </w:p>
          <w:p>
            <w:pPr>
              <w:pStyle w:val="TableContents"/>
              <w:bidi w:val="0"/>
              <w:spacing w:before="0" w:after="0"/>
              <w:jc w:val="center"/>
              <w:rPr>
                <w:color w:val="000000"/>
              </w:rPr>
            </w:pPr>
            <w:r>
              <w:rPr>
                <w:color w:val="000000"/>
              </w:rPr>
              <w:t>Country Sourced</w:t>
            </w:r>
          </w:p>
        </w:tc>
        <w:tc>
          <w:tcPr>
            <w:tcW w:w="1548"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High Risk</w:t>
            </w:r>
          </w:p>
          <w:p>
            <w:pPr>
              <w:pStyle w:val="TableContents"/>
              <w:bidi w:val="0"/>
              <w:spacing w:before="0" w:after="0"/>
              <w:jc w:val="center"/>
              <w:rPr>
                <w:color w:val="000000"/>
              </w:rPr>
            </w:pPr>
            <w:r>
              <w:rPr>
                <w:color w:val="000000"/>
              </w:rPr>
              <w:t>Country Sourced</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2441"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color w:val="000000"/>
              </w:rPr>
            </w:pPr>
            <w:r>
              <w:rPr>
                <w:color w:val="000000"/>
              </w:rPr>
              <w:t>Gold</w:t>
            </w:r>
          </w:p>
        </w:tc>
        <w:tc>
          <w:tcPr>
            <w:tcW w:w="2441" w:type="dxa"/>
            <w:tcBorders/>
            <w:vAlign w:val="center"/>
          </w:tcPr>
          <w:p>
            <w:pPr>
              <w:pStyle w:val="TableContents"/>
              <w:bidi w:val="0"/>
              <w:spacing w:before="0" w:after="0"/>
              <w:jc w:val="center"/>
              <w:rPr>
                <w:color w:val="000000"/>
              </w:rPr>
            </w:pPr>
            <w:r>
              <w:rPr>
                <w:color w:val="000000"/>
              </w:rPr>
              <w:t>1</w:t>
            </w:r>
          </w:p>
        </w:tc>
        <w:tc>
          <w:tcPr>
            <w:tcW w:w="1227" w:type="dxa"/>
            <w:tcBorders/>
            <w:vAlign w:val="center"/>
          </w:tcPr>
          <w:p>
            <w:pPr>
              <w:pStyle w:val="TableContents"/>
              <w:bidi w:val="0"/>
              <w:spacing w:before="0" w:after="0"/>
              <w:jc w:val="center"/>
              <w:rPr>
                <w:color w:val="000000"/>
              </w:rPr>
            </w:pPr>
            <w:r>
              <w:rPr>
                <w:color w:val="000000"/>
              </w:rPr>
              <w:t>1</w:t>
            </w:r>
          </w:p>
        </w:tc>
        <w:tc>
          <w:tcPr>
            <w:tcW w:w="380" w:type="dxa"/>
            <w:tcBorders/>
            <w:vAlign w:val="center"/>
          </w:tcPr>
          <w:p>
            <w:pPr>
              <w:pStyle w:val="TableContents"/>
              <w:bidi w:val="0"/>
              <w:spacing w:before="0" w:after="0"/>
              <w:jc w:val="center"/>
              <w:rPr>
                <w:color w:val="000000"/>
              </w:rPr>
            </w:pPr>
            <w:r>
              <w:rPr>
                <w:color w:val="000000"/>
              </w:rPr>
              <w:t>31</w:t>
            </w:r>
          </w:p>
        </w:tc>
        <w:tc>
          <w:tcPr>
            <w:tcW w:w="1548" w:type="dxa"/>
            <w:tcBorders/>
            <w:vAlign w:val="center"/>
          </w:tcPr>
          <w:p>
            <w:pPr>
              <w:pStyle w:val="TableContents"/>
              <w:bidi w:val="0"/>
              <w:spacing w:before="0" w:after="0"/>
              <w:jc w:val="center"/>
              <w:rPr>
                <w:color w:val="000000"/>
              </w:rPr>
            </w:pPr>
            <w:r>
              <w:rPr>
                <w:color w:val="000000"/>
              </w:rPr>
              <w:t>13</w:t>
            </w:r>
          </w:p>
        </w:tc>
        <w:tc>
          <w:tcPr>
            <w:tcW w:w="1548" w:type="dxa"/>
            <w:tcBorders/>
            <w:vAlign w:val="center"/>
          </w:tcPr>
          <w:p>
            <w:pPr>
              <w:pStyle w:val="TableContents"/>
              <w:bidi w:val="0"/>
              <w:spacing w:before="0" w:after="0"/>
              <w:jc w:val="center"/>
              <w:rPr>
                <w:color w:val="000000"/>
              </w:rPr>
            </w:pPr>
            <w:r>
              <w:rPr>
                <w:color w:val="000000"/>
              </w:rPr>
              <w:t>6</w:t>
            </w:r>
          </w:p>
        </w:tc>
        <w:tc>
          <w:tcPr>
            <w:tcW w:w="980" w:type="dxa"/>
            <w:tcBorders/>
            <w:vAlign w:val="center"/>
          </w:tcPr>
          <w:p>
            <w:pPr>
              <w:pStyle w:val="TableContents"/>
              <w:bidi w:val="0"/>
              <w:spacing w:before="0" w:after="0"/>
              <w:jc w:val="center"/>
              <w:rPr>
                <w:color w:val="000000"/>
              </w:rPr>
            </w:pPr>
            <w:r>
              <w:rPr>
                <w:color w:val="000000"/>
              </w:rPr>
              <w:t>5</w:t>
            </w:r>
          </w:p>
        </w:tc>
        <w:tc>
          <w:tcPr>
            <w:tcW w:w="1146" w:type="dxa"/>
            <w:tcBorders/>
            <w:vAlign w:val="center"/>
          </w:tcPr>
          <w:p>
            <w:pPr>
              <w:pStyle w:val="TableContents"/>
              <w:bidi w:val="0"/>
              <w:spacing w:before="0" w:after="0"/>
              <w:jc w:val="center"/>
              <w:rPr>
                <w:color w:val="000000"/>
              </w:rPr>
            </w:pPr>
            <w:r>
              <w:rPr>
                <w:color w:val="000000"/>
              </w:rPr>
              <w:t>106</w:t>
            </w:r>
          </w:p>
        </w:tc>
      </w:tr>
      <w:tr>
        <w:trPr/>
        <w:tc>
          <w:tcPr>
            <w:tcW w:w="935" w:type="dxa"/>
            <w:tcBorders/>
            <w:vAlign w:val="center"/>
          </w:tcPr>
          <w:p>
            <w:pPr>
              <w:pStyle w:val="TableContents"/>
              <w:bidi w:val="0"/>
              <w:spacing w:before="0" w:after="283"/>
              <w:jc w:val="left"/>
              <w:rPr/>
            </w:pPr>
            <w:r>
              <w:rPr/>
              <w:t> </w:t>
            </w:r>
          </w:p>
        </w:tc>
        <w:tc>
          <w:tcPr>
            <w:tcW w:w="2441"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2441" w:type="dxa"/>
            <w:tcBorders/>
            <w:vAlign w:val="center"/>
          </w:tcPr>
          <w:p>
            <w:pPr>
              <w:pStyle w:val="TableContents"/>
              <w:bidi w:val="0"/>
              <w:spacing w:before="0" w:after="0"/>
              <w:jc w:val="center"/>
              <w:rPr>
                <w:color w:val="000000"/>
              </w:rPr>
            </w:pPr>
            <w:r>
              <w:rPr>
                <w:color w:val="000000"/>
              </w:rPr>
              <w:t>6</w:t>
            </w:r>
          </w:p>
        </w:tc>
        <w:tc>
          <w:tcPr>
            <w:tcW w:w="1227" w:type="dxa"/>
            <w:tcBorders/>
            <w:vAlign w:val="center"/>
          </w:tcPr>
          <w:p>
            <w:pPr>
              <w:pStyle w:val="TableContents"/>
              <w:bidi w:val="0"/>
              <w:spacing w:before="0" w:after="0"/>
              <w:jc w:val="center"/>
              <w:rPr>
                <w:color w:val="000000"/>
              </w:rPr>
            </w:pPr>
            <w:r>
              <w:rPr>
                <w:color w:val="000000"/>
              </w:rPr>
              <w:t>21</w:t>
            </w:r>
          </w:p>
        </w:tc>
        <w:tc>
          <w:tcPr>
            <w:tcW w:w="380" w:type="dxa"/>
            <w:tcBorders/>
            <w:vAlign w:val="center"/>
          </w:tcPr>
          <w:p>
            <w:pPr>
              <w:pStyle w:val="TableContents"/>
              <w:bidi w:val="0"/>
              <w:spacing w:before="0" w:after="0"/>
              <w:jc w:val="center"/>
              <w:rPr>
                <w:color w:val="000000"/>
              </w:rPr>
            </w:pPr>
            <w:r>
              <w:rPr>
                <w:color w:val="000000"/>
              </w:rPr>
              <w:t>22</w:t>
            </w:r>
          </w:p>
        </w:tc>
        <w:tc>
          <w:tcPr>
            <w:tcW w:w="1548" w:type="dxa"/>
            <w:tcBorders/>
            <w:vAlign w:val="center"/>
          </w:tcPr>
          <w:p>
            <w:pPr>
              <w:pStyle w:val="TableContents"/>
              <w:bidi w:val="0"/>
              <w:spacing w:before="0" w:after="0"/>
              <w:jc w:val="center"/>
              <w:rPr>
                <w:color w:val="000000"/>
              </w:rPr>
            </w:pPr>
            <w:r>
              <w:rPr>
                <w:color w:val="000000"/>
              </w:rPr>
              <w:t>28</w:t>
            </w:r>
          </w:p>
        </w:tc>
        <w:tc>
          <w:tcPr>
            <w:tcW w:w="1548" w:type="dxa"/>
            <w:tcBorders/>
            <w:vAlign w:val="center"/>
          </w:tcPr>
          <w:p>
            <w:pPr>
              <w:pStyle w:val="TableContents"/>
              <w:bidi w:val="0"/>
              <w:spacing w:before="0" w:after="0"/>
              <w:jc w:val="center"/>
              <w:rPr>
                <w:color w:val="000000"/>
              </w:rPr>
            </w:pPr>
            <w:r>
              <w:rPr>
                <w:color w:val="000000"/>
              </w:rPr>
              <w:t>23</w:t>
            </w:r>
          </w:p>
        </w:tc>
        <w:tc>
          <w:tcPr>
            <w:tcW w:w="980" w:type="dxa"/>
            <w:tcBorders/>
            <w:vAlign w:val="center"/>
          </w:tcPr>
          <w:p>
            <w:pPr>
              <w:pStyle w:val="TableContents"/>
              <w:bidi w:val="0"/>
              <w:spacing w:before="0" w:after="0"/>
              <w:jc w:val="center"/>
              <w:rPr>
                <w:color w:val="000000"/>
              </w:rPr>
            </w:pPr>
            <w:r>
              <w:rPr>
                <w:color w:val="000000"/>
              </w:rPr>
              <w:t>0</w:t>
            </w:r>
          </w:p>
        </w:tc>
        <w:tc>
          <w:tcPr>
            <w:tcW w:w="1146" w:type="dxa"/>
            <w:tcBorders/>
            <w:vAlign w:val="center"/>
          </w:tcPr>
          <w:p>
            <w:pPr>
              <w:pStyle w:val="TableContents"/>
              <w:bidi w:val="0"/>
              <w:spacing w:before="0" w:after="0"/>
              <w:jc w:val="center"/>
              <w:rPr>
                <w:color w:val="000000"/>
              </w:rPr>
            </w:pPr>
            <w:r>
              <w:rPr>
                <w:color w:val="000000"/>
              </w:rPr>
              <w:t>6</w:t>
            </w:r>
          </w:p>
        </w:tc>
      </w:tr>
      <w:tr>
        <w:trPr/>
        <w:tc>
          <w:tcPr>
            <w:tcW w:w="935" w:type="dxa"/>
            <w:tcBorders/>
            <w:vAlign w:val="center"/>
          </w:tcPr>
          <w:p>
            <w:pPr>
              <w:pStyle w:val="TableContents"/>
              <w:bidi w:val="0"/>
              <w:spacing w:before="0" w:after="283"/>
              <w:jc w:val="left"/>
              <w:rPr/>
            </w:pPr>
            <w:r>
              <w:rPr/>
              <w:t> </w:t>
            </w:r>
          </w:p>
        </w:tc>
        <w:tc>
          <w:tcPr>
            <w:tcW w:w="2441"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color w:val="000000"/>
              </w:rPr>
            </w:pPr>
            <w:r>
              <w:rPr>
                <w:color w:val="000000"/>
              </w:rPr>
              <w:t>Tin</w:t>
            </w:r>
          </w:p>
        </w:tc>
        <w:tc>
          <w:tcPr>
            <w:tcW w:w="2441" w:type="dxa"/>
            <w:tcBorders/>
            <w:vAlign w:val="center"/>
          </w:tcPr>
          <w:p>
            <w:pPr>
              <w:pStyle w:val="TableContents"/>
              <w:bidi w:val="0"/>
              <w:spacing w:before="0" w:after="0"/>
              <w:jc w:val="center"/>
              <w:rPr>
                <w:color w:val="000000"/>
              </w:rPr>
            </w:pPr>
            <w:r>
              <w:rPr>
                <w:color w:val="000000"/>
              </w:rPr>
              <w:t>10</w:t>
            </w:r>
          </w:p>
        </w:tc>
        <w:tc>
          <w:tcPr>
            <w:tcW w:w="1227" w:type="dxa"/>
            <w:tcBorders/>
            <w:vAlign w:val="center"/>
          </w:tcPr>
          <w:p>
            <w:pPr>
              <w:pStyle w:val="TableContents"/>
              <w:bidi w:val="0"/>
              <w:spacing w:before="0" w:after="0"/>
              <w:jc w:val="center"/>
              <w:rPr>
                <w:color w:val="000000"/>
              </w:rPr>
            </w:pPr>
            <w:r>
              <w:rPr>
                <w:color w:val="000000"/>
              </w:rPr>
              <w:t>7</w:t>
            </w:r>
          </w:p>
        </w:tc>
        <w:tc>
          <w:tcPr>
            <w:tcW w:w="380" w:type="dxa"/>
            <w:tcBorders/>
            <w:vAlign w:val="center"/>
          </w:tcPr>
          <w:p>
            <w:pPr>
              <w:pStyle w:val="TableContents"/>
              <w:bidi w:val="0"/>
              <w:spacing w:before="0" w:after="0"/>
              <w:jc w:val="center"/>
              <w:rPr>
                <w:color w:val="000000"/>
              </w:rPr>
            </w:pPr>
            <w:r>
              <w:rPr>
                <w:color w:val="000000"/>
              </w:rPr>
              <w:t>22</w:t>
            </w:r>
          </w:p>
        </w:tc>
        <w:tc>
          <w:tcPr>
            <w:tcW w:w="1548" w:type="dxa"/>
            <w:tcBorders/>
            <w:vAlign w:val="center"/>
          </w:tcPr>
          <w:p>
            <w:pPr>
              <w:pStyle w:val="TableContents"/>
              <w:bidi w:val="0"/>
              <w:spacing w:before="0" w:after="0"/>
              <w:jc w:val="center"/>
              <w:rPr>
                <w:color w:val="000000"/>
              </w:rPr>
            </w:pPr>
            <w:r>
              <w:rPr>
                <w:color w:val="000000"/>
              </w:rPr>
              <w:t>47</w:t>
            </w:r>
          </w:p>
        </w:tc>
        <w:tc>
          <w:tcPr>
            <w:tcW w:w="1548" w:type="dxa"/>
            <w:tcBorders/>
            <w:vAlign w:val="center"/>
          </w:tcPr>
          <w:p>
            <w:pPr>
              <w:pStyle w:val="TableContents"/>
              <w:bidi w:val="0"/>
              <w:spacing w:before="0" w:after="0"/>
              <w:jc w:val="center"/>
              <w:rPr>
                <w:color w:val="000000"/>
              </w:rPr>
            </w:pPr>
            <w:r>
              <w:rPr>
                <w:color w:val="000000"/>
              </w:rPr>
              <w:t>7</w:t>
            </w:r>
          </w:p>
        </w:tc>
        <w:tc>
          <w:tcPr>
            <w:tcW w:w="980" w:type="dxa"/>
            <w:tcBorders/>
            <w:vAlign w:val="center"/>
          </w:tcPr>
          <w:p>
            <w:pPr>
              <w:pStyle w:val="TableContents"/>
              <w:bidi w:val="0"/>
              <w:spacing w:before="0" w:after="0"/>
              <w:jc w:val="center"/>
              <w:rPr>
                <w:color w:val="000000"/>
              </w:rPr>
            </w:pPr>
            <w:r>
              <w:rPr>
                <w:color w:val="000000"/>
              </w:rPr>
              <w:t>3</w:t>
            </w:r>
          </w:p>
        </w:tc>
        <w:tc>
          <w:tcPr>
            <w:tcW w:w="1146" w:type="dxa"/>
            <w:tcBorders/>
            <w:vAlign w:val="center"/>
          </w:tcPr>
          <w:p>
            <w:pPr>
              <w:pStyle w:val="TableContents"/>
              <w:bidi w:val="0"/>
              <w:spacing w:before="0" w:after="0"/>
              <w:jc w:val="center"/>
              <w:rPr>
                <w:color w:val="000000"/>
              </w:rPr>
            </w:pPr>
            <w:r>
              <w:rPr>
                <w:color w:val="000000"/>
              </w:rPr>
              <w:t>59</w:t>
            </w:r>
          </w:p>
        </w:tc>
      </w:tr>
      <w:tr>
        <w:trPr/>
        <w:tc>
          <w:tcPr>
            <w:tcW w:w="935" w:type="dxa"/>
            <w:tcBorders/>
            <w:vAlign w:val="center"/>
          </w:tcPr>
          <w:p>
            <w:pPr>
              <w:pStyle w:val="TableContents"/>
              <w:bidi w:val="0"/>
              <w:spacing w:before="0" w:after="283"/>
              <w:jc w:val="left"/>
              <w:rPr/>
            </w:pPr>
            <w:r>
              <w:rPr/>
              <w:t> </w:t>
            </w:r>
          </w:p>
        </w:tc>
        <w:tc>
          <w:tcPr>
            <w:tcW w:w="2441"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color w:val="000000"/>
              </w:rPr>
            </w:pPr>
            <w:r>
              <w:rPr>
                <w:color w:val="000000"/>
              </w:rPr>
              <w:t>Tungsten</w:t>
            </w:r>
          </w:p>
        </w:tc>
        <w:tc>
          <w:tcPr>
            <w:tcW w:w="2441" w:type="dxa"/>
            <w:tcBorders/>
            <w:vAlign w:val="center"/>
          </w:tcPr>
          <w:p>
            <w:pPr>
              <w:pStyle w:val="TableContents"/>
              <w:bidi w:val="0"/>
              <w:spacing w:before="0" w:after="0"/>
              <w:jc w:val="center"/>
              <w:rPr>
                <w:color w:val="000000"/>
              </w:rPr>
            </w:pPr>
            <w:r>
              <w:rPr>
                <w:color w:val="000000"/>
              </w:rPr>
              <w:t>2</w:t>
            </w:r>
          </w:p>
        </w:tc>
        <w:tc>
          <w:tcPr>
            <w:tcW w:w="1227" w:type="dxa"/>
            <w:tcBorders/>
            <w:vAlign w:val="center"/>
          </w:tcPr>
          <w:p>
            <w:pPr>
              <w:pStyle w:val="TableContents"/>
              <w:bidi w:val="0"/>
              <w:spacing w:before="0" w:after="0"/>
              <w:jc w:val="center"/>
              <w:rPr>
                <w:color w:val="000000"/>
              </w:rPr>
            </w:pPr>
            <w:r>
              <w:rPr>
                <w:color w:val="000000"/>
              </w:rPr>
              <w:t>10</w:t>
            </w:r>
          </w:p>
        </w:tc>
        <w:tc>
          <w:tcPr>
            <w:tcW w:w="380" w:type="dxa"/>
            <w:tcBorders/>
            <w:vAlign w:val="center"/>
          </w:tcPr>
          <w:p>
            <w:pPr>
              <w:pStyle w:val="TableContents"/>
              <w:bidi w:val="0"/>
              <w:spacing w:before="0" w:after="0"/>
              <w:jc w:val="center"/>
              <w:rPr>
                <w:color w:val="000000"/>
              </w:rPr>
            </w:pPr>
            <w:r>
              <w:rPr>
                <w:color w:val="000000"/>
              </w:rPr>
              <w:t>14</w:t>
            </w:r>
          </w:p>
        </w:tc>
        <w:tc>
          <w:tcPr>
            <w:tcW w:w="1548" w:type="dxa"/>
            <w:tcBorders/>
            <w:vAlign w:val="center"/>
          </w:tcPr>
          <w:p>
            <w:pPr>
              <w:pStyle w:val="TableContents"/>
              <w:bidi w:val="0"/>
              <w:spacing w:before="0" w:after="0"/>
              <w:jc w:val="center"/>
              <w:rPr>
                <w:color w:val="000000"/>
              </w:rPr>
            </w:pPr>
            <w:r>
              <w:rPr>
                <w:color w:val="000000"/>
              </w:rPr>
              <w:t>13</w:t>
            </w:r>
          </w:p>
        </w:tc>
        <w:tc>
          <w:tcPr>
            <w:tcW w:w="1548" w:type="dxa"/>
            <w:tcBorders/>
            <w:vAlign w:val="center"/>
          </w:tcPr>
          <w:p>
            <w:pPr>
              <w:pStyle w:val="TableContents"/>
              <w:bidi w:val="0"/>
              <w:spacing w:before="0" w:after="0"/>
              <w:jc w:val="center"/>
              <w:rPr>
                <w:color w:val="000000"/>
              </w:rPr>
            </w:pPr>
            <w:r>
              <w:rPr>
                <w:color w:val="000000"/>
              </w:rPr>
              <w:t>9</w:t>
            </w:r>
          </w:p>
        </w:tc>
        <w:tc>
          <w:tcPr>
            <w:tcW w:w="980" w:type="dxa"/>
            <w:tcBorders/>
            <w:vAlign w:val="center"/>
          </w:tcPr>
          <w:p>
            <w:pPr>
              <w:pStyle w:val="TableContents"/>
              <w:bidi w:val="0"/>
              <w:spacing w:before="0" w:after="0"/>
              <w:jc w:val="center"/>
              <w:rPr>
                <w:color w:val="000000"/>
              </w:rPr>
            </w:pPr>
            <w:r>
              <w:rPr>
                <w:color w:val="000000"/>
              </w:rPr>
              <w:t>0</w:t>
            </w:r>
          </w:p>
        </w:tc>
        <w:tc>
          <w:tcPr>
            <w:tcW w:w="1146" w:type="dxa"/>
            <w:tcBorders/>
            <w:vAlign w:val="center"/>
          </w:tcPr>
          <w:p>
            <w:pPr>
              <w:pStyle w:val="TableContents"/>
              <w:bidi w:val="0"/>
              <w:spacing w:before="0" w:after="0"/>
              <w:jc w:val="center"/>
              <w:rPr>
                <w:color w:val="000000"/>
              </w:rPr>
            </w:pPr>
            <w:r>
              <w:rPr>
                <w:color w:val="000000"/>
              </w:rPr>
              <w:t>19</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bookmarkStart w:id="90" w:name="za68aa52ec2f747dab8af5b949fc65c77"/>
      <w:bookmarkStart w:id="91" w:name="za68aa52ec2f747dab8af5b949fc65c77"/>
      <w:bookmarkEnd w:id="91"/>
    </w:p>
    <w:tbl>
      <w:tblPr>
        <w:tblW w:w="8748" w:type="dxa"/>
        <w:jc w:val="left"/>
        <w:tblInd w:w="0" w:type="dxa"/>
        <w:tblLayout w:type="fixed"/>
        <w:tblCellMar>
          <w:top w:w="0" w:type="dxa"/>
          <w:left w:w="0" w:type="dxa"/>
          <w:bottom w:w="0" w:type="dxa"/>
          <w:right w:w="0" w:type="dxa"/>
        </w:tblCellMar>
      </w:tblPr>
      <w:tblGrid>
        <w:gridCol w:w="38"/>
        <w:gridCol w:w="140"/>
        <w:gridCol w:w="857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lineRule="auto" w:line="240" w:before="0" w:after="283"/>
              <w:jc w:val="left"/>
              <w:rPr/>
            </w:pPr>
            <w:r>
              <w:rPr/>
              <w:t>1</w:t>
            </w:r>
          </w:p>
        </w:tc>
        <w:tc>
          <w:tcPr>
            <w:tcW w:w="8570" w:type="dxa"/>
            <w:tcBorders/>
            <w:vAlign w:val="center"/>
          </w:tcPr>
          <w:p>
            <w:pPr>
              <w:pStyle w:val="TableContents"/>
              <w:bidi w:val="0"/>
              <w:spacing w:before="0" w:after="0"/>
              <w:jc w:val="left"/>
              <w:rPr/>
            </w:pPr>
            <w:r>
              <w:rPr/>
              <w:t>We note the following in connection with the information contained in the foregoing table:</w:t>
            </w:r>
          </w:p>
        </w:tc>
      </w:tr>
    </w:tbl>
    <w:p>
      <w:pPr>
        <w:pStyle w:val="Normal"/>
        <w:bidi w:val="0"/>
        <w:spacing w:before="0" w:after="0"/>
        <w:jc w:val="left"/>
        <w:rPr>
          <w:sz w:val="4"/>
          <w:szCs w:val="4"/>
        </w:rPr>
      </w:pPr>
      <w:r>
        <w:rPr>
          <w:sz w:val="4"/>
          <w:szCs w:val="4"/>
        </w:rPr>
      </w:r>
      <w:bookmarkStart w:id="92" w:name="z66d5cd26e03440b2acb242081351e89b"/>
      <w:bookmarkStart w:id="93" w:name="z66d5cd26e03440b2acb242081351e89b"/>
      <w:bookmarkEnd w:id="93"/>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0"/>
              <w:jc w:val="both"/>
              <w:rPr/>
            </w:pPr>
            <w:r>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tc>
      </w:tr>
    </w:tbl>
    <w:p>
      <w:pPr>
        <w:pStyle w:val="Normal"/>
        <w:bidi w:val="0"/>
        <w:spacing w:before="0" w:after="0"/>
        <w:jc w:val="left"/>
        <w:rPr>
          <w:sz w:val="4"/>
          <w:szCs w:val="4"/>
        </w:rPr>
      </w:pPr>
      <w:r>
        <w:rPr>
          <w:sz w:val="4"/>
          <w:szCs w:val="4"/>
        </w:rPr>
      </w:r>
      <w:bookmarkStart w:id="94" w:name="z89a2798887ce4628955ece7acce665e8"/>
      <w:bookmarkStart w:id="95" w:name="z89a2798887ce4628955ece7acce665e8"/>
      <w:bookmarkEnd w:id="95"/>
    </w:p>
    <w:tbl>
      <w:tblPr>
        <w:tblW w:w="6873" w:type="dxa"/>
        <w:jc w:val="left"/>
        <w:tblInd w:w="0" w:type="dxa"/>
        <w:tblLayout w:type="fixed"/>
        <w:tblCellMar>
          <w:top w:w="0" w:type="dxa"/>
          <w:left w:w="0" w:type="dxa"/>
          <w:bottom w:w="0" w:type="dxa"/>
          <w:right w:w="0" w:type="dxa"/>
        </w:tblCellMar>
      </w:tblPr>
      <w:tblGrid>
        <w:gridCol w:w="38"/>
        <w:gridCol w:w="290"/>
        <w:gridCol w:w="654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6545" w:type="dxa"/>
            <w:tcBorders/>
            <w:vAlign w:val="center"/>
          </w:tcPr>
          <w:p>
            <w:pPr>
              <w:pStyle w:val="TableContents"/>
              <w:bidi w:val="0"/>
              <w:spacing w:before="0" w:after="0"/>
              <w:jc w:val="left"/>
              <w:rPr/>
            </w:pPr>
            <w:r>
              <w:rPr/>
              <w:t>All compliance status information in the table is as of April 24, 2023.</w:t>
            </w:r>
          </w:p>
        </w:tc>
      </w:tr>
    </w:tbl>
    <w:p>
      <w:pPr>
        <w:pStyle w:val="Normal"/>
        <w:bidi w:val="0"/>
        <w:spacing w:before="0" w:after="0"/>
        <w:jc w:val="left"/>
        <w:rPr>
          <w:sz w:val="4"/>
          <w:szCs w:val="4"/>
        </w:rPr>
      </w:pPr>
      <w:r>
        <w:rPr>
          <w:sz w:val="4"/>
          <w:szCs w:val="4"/>
        </w:rPr>
      </w:r>
      <w:bookmarkStart w:id="96" w:name="z086ad0238c704fd891e52335aaf311d2"/>
      <w:bookmarkStart w:id="97" w:name="z086ad0238c704fd891e52335aaf311d2"/>
      <w:bookmarkEnd w:id="97"/>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0"/>
              <w:jc w:val="both"/>
              <w:rPr/>
            </w:pPr>
            <w:r>
              <w:rPr/>
              <w:t>“</w:t>
            </w:r>
            <w:r>
              <w:rPr/>
              <w:t>Conformant” means that an “Eligible” or “Provisionally Eligible” smelter or refiner was audited and found to conform with the Responsible Minerals Assurance Process’ (“RMAP”) assessment protocols.</w:t>
            </w:r>
          </w:p>
        </w:tc>
      </w:tr>
    </w:tbl>
    <w:p>
      <w:pPr>
        <w:pStyle w:val="Normal"/>
        <w:bidi w:val="0"/>
        <w:spacing w:before="0" w:after="0"/>
        <w:jc w:val="left"/>
        <w:rPr>
          <w:sz w:val="4"/>
          <w:szCs w:val="4"/>
        </w:rPr>
      </w:pPr>
      <w:r>
        <w:rPr>
          <w:sz w:val="4"/>
          <w:szCs w:val="4"/>
        </w:rPr>
      </w:r>
      <w:bookmarkStart w:id="98" w:name="zaddc2111e21040cd8dfe3604f4943df3"/>
      <w:bookmarkStart w:id="99" w:name="zaddc2111e21040cd8dfe3604f4943df3"/>
      <w:bookmarkEnd w:id="99"/>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0"/>
              <w:jc w:val="both"/>
              <w:rPr/>
            </w:pPr>
            <w:r>
              <w:rPr/>
              <w:t>“</w:t>
            </w:r>
            <w:r>
              <w:rPr/>
              <w:t>Active” means that an “Eligible” smelter or refiner is engaged in the RMAP but has not yet been found to be conformant.</w:t>
            </w:r>
          </w:p>
        </w:tc>
      </w:tr>
    </w:tbl>
    <w:p>
      <w:pPr>
        <w:pStyle w:val="Normal"/>
        <w:bidi w:val="0"/>
        <w:spacing w:before="0" w:after="0"/>
        <w:jc w:val="left"/>
        <w:rPr>
          <w:sz w:val="4"/>
          <w:szCs w:val="4"/>
        </w:rPr>
      </w:pPr>
      <w:r>
        <w:rPr>
          <w:sz w:val="4"/>
          <w:szCs w:val="4"/>
        </w:rPr>
      </w:r>
      <w:bookmarkStart w:id="100" w:name="zc4468ed636c34dfda5a48a8ddc766126"/>
      <w:bookmarkStart w:id="101" w:name="zc4468ed636c34dfda5a48a8ddc766126"/>
      <w:bookmarkEnd w:id="101"/>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pPr>
            <w:r>
              <w:rPr/>
            </w:r>
          </w:p>
        </w:tc>
        <w:tc>
          <w:tcPr>
            <w:tcW w:w="213"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0"/>
              <w:jc w:val="both"/>
              <w:rPr/>
            </w:pPr>
            <w:r>
              <w:rPr/>
              <w:t>“</w:t>
            </w:r>
            <w:r>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tc>
      </w:tr>
    </w:tbl>
    <w:p>
      <w:pPr>
        <w:pStyle w:val="Normal"/>
        <w:bidi w:val="0"/>
        <w:spacing w:before="0" w:after="0"/>
        <w:jc w:val="left"/>
        <w:rPr>
          <w:sz w:val="4"/>
          <w:szCs w:val="4"/>
        </w:rPr>
      </w:pPr>
      <w:r>
        <w:rPr>
          <w:sz w:val="4"/>
          <w:szCs w:val="4"/>
        </w:rPr>
      </w:r>
      <w:bookmarkStart w:id="102" w:name="z197535ea151e4418a12ed0d5ea4d56b7"/>
      <w:bookmarkStart w:id="103" w:name="z197535ea151e4418a12ed0d5ea4d56b7"/>
      <w:bookmarkEnd w:id="103"/>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pPr>
            <w:r>
              <w:rPr/>
            </w:r>
          </w:p>
        </w:tc>
        <w:tc>
          <w:tcPr>
            <w:tcW w:w="179"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0"/>
              <w:jc w:val="both"/>
              <w:rPr/>
            </w:pPr>
            <w:r>
              <w:rPr/>
              <w:t>“</w:t>
            </w:r>
            <w:r>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tc>
      </w:tr>
    </w:tbl>
    <w:p>
      <w:pPr>
        <w:pStyle w:val="Normal"/>
        <w:bidi w:val="0"/>
        <w:spacing w:before="0" w:after="0"/>
        <w:jc w:val="left"/>
        <w:rPr>
          <w:sz w:val="4"/>
          <w:szCs w:val="4"/>
        </w:rPr>
      </w:pPr>
      <w:r>
        <w:rPr>
          <w:sz w:val="4"/>
          <w:szCs w:val="4"/>
        </w:rPr>
      </w:r>
      <w:bookmarkStart w:id="104" w:name="z84067c330cf040f1a9dc62b714d0f202"/>
      <w:bookmarkStart w:id="105" w:name="z84067c330cf040f1a9dc62b714d0f202"/>
      <w:bookmarkEnd w:id="105"/>
    </w:p>
    <w:tbl>
      <w:tblPr>
        <w:tblW w:w="6978" w:type="dxa"/>
        <w:jc w:val="left"/>
        <w:tblInd w:w="0" w:type="dxa"/>
        <w:tblLayout w:type="fixed"/>
        <w:tblCellMar>
          <w:top w:w="0" w:type="dxa"/>
          <w:left w:w="0" w:type="dxa"/>
          <w:bottom w:w="0" w:type="dxa"/>
          <w:right w:w="0" w:type="dxa"/>
        </w:tblCellMar>
      </w:tblPr>
      <w:tblGrid>
        <w:gridCol w:w="38"/>
        <w:gridCol w:w="290"/>
        <w:gridCol w:w="665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(g)</w:t>
            </w:r>
          </w:p>
        </w:tc>
        <w:tc>
          <w:tcPr>
            <w:tcW w:w="6650" w:type="dxa"/>
            <w:tcBorders/>
            <w:vAlign w:val="center"/>
          </w:tcPr>
          <w:p>
            <w:pPr>
              <w:pStyle w:val="TableContents"/>
              <w:bidi w:val="0"/>
              <w:spacing w:before="0" w:after="0"/>
              <w:jc w:val="left"/>
              <w:rPr/>
            </w:pPr>
            <w:r>
              <w:rPr/>
              <w:t>“</w:t>
            </w:r>
            <w:r>
              <w:rPr/>
              <w:t>R/S” means the reported facility processes recycled or scrap material.</w:t>
            </w:r>
          </w:p>
        </w:tc>
      </w:tr>
    </w:tbl>
    <w:p>
      <w:pPr>
        <w:pStyle w:val="Normal"/>
        <w:bidi w:val="0"/>
        <w:spacing w:before="0" w:after="0"/>
        <w:jc w:val="left"/>
        <w:rPr>
          <w:sz w:val="4"/>
          <w:szCs w:val="4"/>
        </w:rPr>
      </w:pPr>
      <w:r>
        <w:rPr>
          <w:sz w:val="4"/>
          <w:szCs w:val="4"/>
        </w:rPr>
      </w:r>
      <w:bookmarkStart w:id="106" w:name="z5f96d8497789486eb399a67bdaa8444f"/>
      <w:bookmarkStart w:id="107" w:name="z5f96d8497789486eb399a67bdaa8444f"/>
      <w:bookmarkEnd w:id="107"/>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0"/>
              <w:jc w:val="both"/>
              <w:rPr/>
            </w:pPr>
            <w:r>
              <w:rPr/>
              <w:t>37 countries were identified by smelters and refiners as “low risk” in the data compiled by RMI and provided to its members. 27 countries were identified by smelters and refiners as “high risk” in the data compiled by RMI and provided to its members. Certain countries were identified by some smelters and refiners as “low risk” but disclosed by other smelters and refiners as “high risk.” Based upon the way data is reported to TTC by its suppliers and the manner in which aggregated Country of Origin data is provided by RMI to its members, we are unable to determine whether the 3TG contained in the in-scope products we manufacture originated in low- risk or high-risk countries.</w:t>
            </w:r>
          </w:p>
        </w:tc>
      </w:tr>
    </w:tbl>
    <w:p>
      <w:pPr>
        <w:pStyle w:val="Normal"/>
        <w:bidi w:val="0"/>
        <w:spacing w:before="0" w:after="0"/>
        <w:jc w:val="left"/>
        <w:rPr>
          <w:sz w:val="4"/>
          <w:szCs w:val="4"/>
        </w:rPr>
      </w:pPr>
      <w:r>
        <w:rPr>
          <w:sz w:val="4"/>
          <w:szCs w:val="4"/>
        </w:rPr>
      </w:r>
      <w:bookmarkStart w:id="108" w:name="zf22e7a51aadb49b49d3d2092a200cdcc"/>
      <w:bookmarkStart w:id="109" w:name="zf22e7a51aadb49b49d3d2092a200cdcc"/>
      <w:bookmarkEnd w:id="109"/>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pPr>
            <w:r>
              <w:rPr/>
            </w:r>
          </w:p>
        </w:tc>
        <w:tc>
          <w:tcPr>
            <w:tcW w:w="199"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0"/>
              <w:jc w:val="left"/>
              <w:rPr/>
            </w:pPr>
            <w:r>
              <w:rPr/>
              <w:t>The compliance status and origin reflected in the table is based solely on information made available by the RMI to its members, without independent verification by us.</w:t>
            </w:r>
          </w:p>
        </w:tc>
      </w:tr>
    </w:tbl>
    <w:p>
      <w:pPr>
        <w:pStyle w:val="Normal"/>
        <w:bidi w:val="0"/>
        <w:spacing w:before="0" w:after="0"/>
        <w:jc w:val="left"/>
        <w:rPr>
          <w:sz w:val="4"/>
          <w:szCs w:val="4"/>
        </w:rPr>
      </w:pPr>
      <w:r>
        <w:rPr>
          <w:sz w:val="4"/>
          <w:szCs w:val="4"/>
        </w:rPr>
      </w:r>
      <w:bookmarkStart w:id="110" w:name="z90d0334763654a3c842ca9352dd75d6b"/>
      <w:bookmarkStart w:id="111" w:name="z90d0334763654a3c842ca9352dd75d6b"/>
      <w:bookmarkEnd w:id="111"/>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pPr>
            <w:r>
              <w:rPr/>
              <w:t>(j)</w:t>
            </w:r>
          </w:p>
        </w:tc>
        <w:tc>
          <w:tcPr>
            <w:tcW w:w="9957" w:type="dxa"/>
            <w:tcBorders/>
            <w:vAlign w:val="center"/>
          </w:tcPr>
          <w:p>
            <w:pPr>
              <w:pStyle w:val="TableContents"/>
              <w:bidi w:val="0"/>
              <w:spacing w:before="0" w:after="0"/>
              <w:jc w:val="left"/>
              <w:rPr/>
            </w:pPr>
            <w:r>
              <w:rPr/>
              <w:t>We were not able to determine the country of origin of the 3TG processed by any of the smelters or refiners listed as “Active” or “Other.”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b w:val="false"/>
          <w:i w:val="false"/>
          <w:caps w:val="false"/>
          <w:smallCaps w:val="false"/>
          <w:color w:val="000000"/>
          <w:sz w:val="16"/>
        </w:rPr>
      </w:pPr>
      <w:r>
        <w:rPr>
          <w:b w:val="false"/>
          <w:i w:val="false"/>
          <w:caps w:val="false"/>
          <w:smallCaps w:val="false"/>
          <w:color w:val="000000"/>
          <w:sz w:val="16"/>
        </w:rPr>
        <w:t>4</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2513</Words>
  <Characters>13696</Characters>
  <CharactersWithSpaces>16107</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