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TWOMEY CHRISTOPHER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05/31/2017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ind w:left="660"/>
              <w:spacing w:after="0"/>
              <w:rPr>
                <w:sz w:val="20"/>
                <w:szCs w:val="20"/>
                <w:color w:val="auto"/>
              </w:rPr>
            </w:pPr>
            <w:r>
              <w:rPr>
                <w:rFonts w:ascii="Arial" w:cs="Arial" w:eastAsia="Arial" w:hAnsi="Arial"/>
                <w:sz w:val="17"/>
                <w:szCs w:val="17"/>
                <w:color w:val="0000FF"/>
              </w:rPr>
              <w:t>05/31/2017</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13,348</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right="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8.445</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2"/>
              </w:rPr>
              <w:t>13,348</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05/31/2017</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13,348</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67.823</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33"/>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Christopher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2"/>
              </w:rPr>
              <w:t>57,508</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A. Twomey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9,656.822</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8.445</w:t>
            </w:r>
          </w:p>
        </w:tc>
        <w:tc>
          <w:tcPr>
            <w:tcW w:w="1020" w:type="dxa"/>
            <w:vAlign w:val="bottom"/>
          </w:tcPr>
          <w:p>
            <w:pPr>
              <w:jc w:val="right"/>
              <w:ind w:right="138"/>
              <w:spacing w:after="0"/>
              <w:rPr>
                <w:sz w:val="20"/>
                <w:szCs w:val="20"/>
                <w:color w:val="auto"/>
              </w:rPr>
            </w:pPr>
            <w:r>
              <w:rPr>
                <w:rFonts w:ascii="Arial" w:cs="Arial" w:eastAsia="Arial" w:hAnsi="Arial"/>
                <w:sz w:val="13"/>
                <w:szCs w:val="13"/>
                <w:color w:val="0000FF"/>
              </w:rPr>
              <w:t>05/31/2017</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3"/>
                <w:szCs w:val="13"/>
                <w:color w:val="0000FF"/>
                <w:w w:val="95"/>
              </w:rPr>
              <w:t>13,348</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11/03/2018</w:t>
            </w:r>
          </w:p>
        </w:tc>
        <w:tc>
          <w:tcPr>
            <w:tcW w:w="1320" w:type="dxa"/>
            <w:vAlign w:val="bottom"/>
            <w:gridSpan w:val="3"/>
          </w:tcPr>
          <w:p>
            <w:pPr>
              <w:ind w:left="10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13,348</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$67.65 to $67.97,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56.798 common stock units acquired by the reporting person under the dividend reinvestment feature of The Toro Company Deferred Compensation Plan for Non-Employee Directors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3,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2019-12-23T21:08:04Z</dcterms:created>
  <dcterms:modified xsi:type="dcterms:W3CDTF">2019-12-23T21:08:04Z</dcterms:modified>
</cp:coreProperties>
</file>