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15, 2011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Delaware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1-8649</w:t>
            </w:r>
          </w:p>
        </w:tc>
        <w:tc>
          <w:tcPr>
            <w:tcW w:w="1420" w:type="dxa"/>
            <w:vAlign w:val="bottom"/>
          </w:tcPr>
          <w:p>
            <w:pPr>
              <w:spacing w:after="0"/>
              <w:rPr>
                <w:sz w:val="19"/>
                <w:szCs w:val="19"/>
                <w:color w:val="auto"/>
              </w:rPr>
            </w:pPr>
          </w:p>
        </w:tc>
        <w:tc>
          <w:tcPr>
            <w:tcW w:w="4000" w:type="dxa"/>
            <w:vAlign w:val="bottom"/>
          </w:tcPr>
          <w:p>
            <w:pPr>
              <w:jc w:val="right"/>
              <w:ind w:right="12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420" w:type="dxa"/>
            <w:vAlign w:val="bottom"/>
          </w:tcPr>
          <w:p>
            <w:pPr>
              <w:jc w:val="center"/>
              <w:ind w:right="750"/>
              <w:spacing w:after="0"/>
              <w:rPr>
                <w:sz w:val="20"/>
                <w:szCs w:val="20"/>
                <w:color w:val="auto"/>
              </w:rPr>
            </w:pPr>
            <w:r>
              <w:rPr>
                <w:rFonts w:ascii="Arial" w:cs="Arial" w:eastAsia="Arial" w:hAnsi="Arial"/>
                <w:sz w:val="18"/>
                <w:szCs w:val="18"/>
                <w:color w:val="auto"/>
                <w:w w:val="92"/>
              </w:rPr>
              <w:t>(State of Incorporation)</w:t>
            </w:r>
          </w:p>
        </w:tc>
        <w:tc>
          <w:tcPr>
            <w:tcW w:w="300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33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4420" w:type="dxa"/>
            <w:vAlign w:val="bottom"/>
          </w:tcPr>
          <w:p>
            <w:pPr>
              <w:jc w:val="center"/>
              <w:ind w:left="870"/>
              <w:spacing w:after="0"/>
              <w:rPr>
                <w:sz w:val="20"/>
                <w:szCs w:val="20"/>
                <w:color w:val="auto"/>
              </w:rPr>
            </w:pPr>
            <w:r>
              <w:rPr>
                <w:rFonts w:ascii="Arial" w:cs="Arial" w:eastAsia="Arial" w:hAnsi="Arial"/>
                <w:sz w:val="18"/>
                <w:szCs w:val="18"/>
                <w:b w:val="1"/>
                <w:bCs w:val="1"/>
                <w:color w:val="auto"/>
                <w:w w:val="87"/>
              </w:rPr>
              <w:t>8111 Lyndale Avenue South</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4"/>
        </w:trPr>
        <w:tc>
          <w:tcPr>
            <w:tcW w:w="44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89"/>
              </w:rPr>
              <w:t>Bloomington, Minnesota</w:t>
            </w:r>
          </w:p>
        </w:tc>
        <w:tc>
          <w:tcPr>
            <w:tcW w:w="10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55420</w:t>
            </w:r>
          </w:p>
        </w:tc>
      </w:tr>
      <w:tr>
        <w:trPr>
          <w:trHeight w:val="224"/>
        </w:trPr>
        <w:tc>
          <w:tcPr>
            <w:tcW w:w="4420" w:type="dxa"/>
            <w:vAlign w:val="bottom"/>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23495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5—Corporate Governance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Toro Company (the “Company”) held its 2011Annual Meeting of Shareholders on March 15, 2011. The final results of the shareholder vote on the business brought before the meeting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color w:val="auto"/>
              </w:rPr>
              <w:t>Against/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Broker</w:t>
            </w:r>
          </w:p>
        </w:tc>
        <w:tc>
          <w:tcPr>
            <w:tcW w:w="0" w:type="dxa"/>
            <w:vAlign w:val="bottom"/>
          </w:tcPr>
          <w:p>
            <w:pPr>
              <w:spacing w:after="0"/>
              <w:rPr>
                <w:sz w:val="1"/>
                <w:szCs w:val="1"/>
                <w:color w:val="auto"/>
              </w:rPr>
            </w:pPr>
          </w:p>
        </w:tc>
      </w:tr>
      <w:tr>
        <w:trPr>
          <w:trHeight w:val="167"/>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Proposal One—Election of Directors to serve for a term of three years</w:t>
            </w:r>
          </w:p>
        </w:tc>
        <w:tc>
          <w:tcPr>
            <w:tcW w:w="1560" w:type="dxa"/>
            <w:vAlign w:val="bottom"/>
            <w:gridSpan w:val="2"/>
          </w:tcPr>
          <w:p>
            <w:pPr>
              <w:ind w:left="360"/>
              <w:spacing w:after="0"/>
              <w:rPr>
                <w:sz w:val="20"/>
                <w:szCs w:val="20"/>
                <w:color w:val="auto"/>
              </w:rPr>
            </w:pPr>
            <w:r>
              <w:rPr>
                <w:rFonts w:ascii="Arial" w:cs="Arial" w:eastAsia="Arial" w:hAnsi="Arial"/>
                <w:sz w:val="14"/>
                <w:szCs w:val="14"/>
                <w:color w:val="auto"/>
              </w:rPr>
              <w:t>For</w:t>
            </w:r>
          </w:p>
        </w:tc>
        <w:tc>
          <w:tcPr>
            <w:tcW w:w="1500" w:type="dxa"/>
            <w:vAlign w:val="bottom"/>
            <w:gridSpan w:val="2"/>
          </w:tcPr>
          <w:p>
            <w:pPr>
              <w:jc w:val="right"/>
              <w:ind w:right="800"/>
              <w:spacing w:after="0"/>
              <w:rPr>
                <w:sz w:val="20"/>
                <w:szCs w:val="20"/>
                <w:color w:val="auto"/>
              </w:rPr>
            </w:pPr>
            <w:r>
              <w:rPr>
                <w:rFonts w:ascii="Arial" w:cs="Arial" w:eastAsia="Arial" w:hAnsi="Arial"/>
                <w:sz w:val="14"/>
                <w:szCs w:val="14"/>
                <w:color w:val="auto"/>
              </w:rPr>
              <w:t>Withheld</w:t>
            </w: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Abstain</w:t>
            </w:r>
          </w:p>
        </w:tc>
        <w:tc>
          <w:tcPr>
            <w:tcW w:w="56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4"/>
                <w:szCs w:val="14"/>
                <w:color w:val="auto"/>
              </w:rPr>
              <w:t>Non-Votes</w:t>
            </w:r>
          </w:p>
        </w:tc>
        <w:tc>
          <w:tcPr>
            <w:tcW w:w="0" w:type="dxa"/>
            <w:vAlign w:val="bottom"/>
          </w:tcPr>
          <w:p>
            <w:pPr>
              <w:spacing w:after="0"/>
              <w:rPr>
                <w:sz w:val="1"/>
                <w:szCs w:val="1"/>
                <w:color w:val="auto"/>
              </w:rPr>
            </w:pPr>
          </w:p>
        </w:tc>
      </w:tr>
      <w:tr>
        <w:trPr>
          <w:trHeight w:val="191"/>
        </w:trPr>
        <w:tc>
          <w:tcPr>
            <w:tcW w:w="6220" w:type="dxa"/>
            <w:vAlign w:val="bottom"/>
            <w:vMerge w:val="continue"/>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20" w:type="dxa"/>
            <w:vAlign w:val="bottom"/>
          </w:tcPr>
          <w:p>
            <w:pPr>
              <w:ind w:left="220"/>
              <w:spacing w:after="0"/>
              <w:rPr>
                <w:sz w:val="20"/>
                <w:szCs w:val="20"/>
                <w:color w:val="auto"/>
              </w:rPr>
            </w:pPr>
            <w:r>
              <w:rPr>
                <w:rFonts w:ascii="Arial" w:cs="Arial" w:eastAsia="Arial" w:hAnsi="Arial"/>
                <w:sz w:val="18"/>
                <w:szCs w:val="18"/>
                <w:b w:val="1"/>
                <w:bCs w:val="1"/>
                <w:color w:val="auto"/>
              </w:rPr>
              <w:t>ending at the Company’s 2014 Annual Meeting of Shareholders</w:t>
            </w: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Jeffrey M. Ettinger</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24,019,423</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498,471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w w:val="87"/>
              </w:rPr>
              <w:t>2,955,678</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Katherine J. Harless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23,373,644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1,144,250</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w w:val="87"/>
              </w:rPr>
              <w:t>2,955,678</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Inge G. Thulin</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24,019,795</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498,099</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w w:val="87"/>
              </w:rPr>
              <w:t>2,955,678</w:t>
            </w: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Michael J. Hoffman</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23,280,151</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1,237,743</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w w:val="87"/>
              </w:rPr>
              <w:t>2,955,678</w:t>
            </w:r>
          </w:p>
        </w:tc>
        <w:tc>
          <w:tcPr>
            <w:tcW w:w="0" w:type="dxa"/>
            <w:vAlign w:val="bottom"/>
          </w:tcPr>
          <w:p>
            <w:pPr>
              <w:spacing w:after="0"/>
              <w:rPr>
                <w:sz w:val="1"/>
                <w:szCs w:val="1"/>
                <w:color w:val="auto"/>
              </w:rPr>
            </w:pPr>
          </w:p>
        </w:tc>
      </w:tr>
      <w:tr>
        <w:trPr>
          <w:trHeight w:val="414"/>
        </w:trPr>
        <w:tc>
          <w:tcPr>
            <w:tcW w:w="6220" w:type="dxa"/>
            <w:vAlign w:val="bottom"/>
          </w:tcPr>
          <w:p>
            <w:pPr>
              <w:spacing w:after="0"/>
              <w:rPr>
                <w:sz w:val="20"/>
                <w:szCs w:val="20"/>
                <w:color w:val="auto"/>
              </w:rPr>
            </w:pPr>
            <w:r>
              <w:rPr>
                <w:rFonts w:ascii="Arial" w:cs="Arial" w:eastAsia="Arial" w:hAnsi="Arial"/>
                <w:sz w:val="18"/>
                <w:szCs w:val="18"/>
                <w:b w:val="1"/>
                <w:bCs w:val="1"/>
                <w:color w:val="auto"/>
              </w:rPr>
              <w:t>Proposal Two—Ratification of the selection of KPMG LLP as the</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b w:val="1"/>
                <w:bCs w:val="1"/>
                <w:color w:val="auto"/>
              </w:rPr>
              <w:t>Company’s independent registered public accounting firm for the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tcPr>
          <w:p>
            <w:pPr>
              <w:ind w:left="220"/>
              <w:spacing w:after="0"/>
              <w:rPr>
                <w:sz w:val="20"/>
                <w:szCs w:val="20"/>
                <w:color w:val="auto"/>
              </w:rPr>
            </w:pPr>
            <w:r>
              <w:rPr>
                <w:rFonts w:ascii="Arial" w:cs="Arial" w:eastAsia="Arial" w:hAnsi="Arial"/>
                <w:sz w:val="18"/>
                <w:szCs w:val="18"/>
                <w:b w:val="1"/>
                <w:bCs w:val="1"/>
                <w:color w:val="auto"/>
              </w:rPr>
              <w:t>Company’s fiscal year ending October 31, 2011</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26,711,704</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659,903</w:t>
            </w:r>
          </w:p>
        </w:tc>
        <w:tc>
          <w:tcPr>
            <w:tcW w:w="780" w:type="dxa"/>
            <w:vAlign w:val="bottom"/>
          </w:tcPr>
          <w:p>
            <w:pPr>
              <w:jc w:val="right"/>
              <w:spacing w:after="0"/>
              <w:rPr>
                <w:sz w:val="20"/>
                <w:szCs w:val="20"/>
                <w:color w:val="auto"/>
              </w:rPr>
            </w:pPr>
            <w:r>
              <w:rPr>
                <w:rFonts w:ascii="Arial" w:cs="Arial" w:eastAsia="Arial" w:hAnsi="Arial"/>
                <w:sz w:val="18"/>
                <w:szCs w:val="18"/>
                <w:color w:val="auto"/>
              </w:rPr>
              <w:t>101,965</w:t>
            </w:r>
          </w:p>
        </w:tc>
        <w:tc>
          <w:tcPr>
            <w:tcW w:w="5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6220" w:type="dxa"/>
            <w:vAlign w:val="bottom"/>
          </w:tcPr>
          <w:p>
            <w:pPr>
              <w:spacing w:after="0"/>
              <w:rPr>
                <w:sz w:val="20"/>
                <w:szCs w:val="20"/>
                <w:color w:val="auto"/>
              </w:rPr>
            </w:pPr>
            <w:r>
              <w:rPr>
                <w:rFonts w:ascii="Arial" w:cs="Arial" w:eastAsia="Arial" w:hAnsi="Arial"/>
                <w:sz w:val="18"/>
                <w:szCs w:val="18"/>
                <w:b w:val="1"/>
                <w:bCs w:val="1"/>
                <w:color w:val="auto"/>
              </w:rPr>
              <w:t>Proposal Three—Advisory vote on executive compensation</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23,097,810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780,889</w:t>
            </w:r>
          </w:p>
        </w:tc>
        <w:tc>
          <w:tcPr>
            <w:tcW w:w="780" w:type="dxa"/>
            <w:vAlign w:val="bottom"/>
          </w:tcPr>
          <w:p>
            <w:pPr>
              <w:jc w:val="right"/>
              <w:spacing w:after="0"/>
              <w:rPr>
                <w:sz w:val="20"/>
                <w:szCs w:val="20"/>
                <w:color w:val="auto"/>
              </w:rPr>
            </w:pPr>
            <w:r>
              <w:rPr>
                <w:rFonts w:ascii="Arial" w:cs="Arial" w:eastAsia="Arial" w:hAnsi="Arial"/>
                <w:sz w:val="18"/>
                <w:szCs w:val="18"/>
                <w:color w:val="auto"/>
              </w:rPr>
              <w:t>639,195</w:t>
            </w:r>
          </w:p>
        </w:tc>
        <w:tc>
          <w:tcPr>
            <w:tcW w:w="1360" w:type="dxa"/>
            <w:vAlign w:val="bottom"/>
            <w:gridSpan w:val="2"/>
          </w:tcPr>
          <w:p>
            <w:pPr>
              <w:ind w:left="640"/>
              <w:spacing w:after="0"/>
              <w:rPr>
                <w:sz w:val="20"/>
                <w:szCs w:val="20"/>
                <w:color w:val="auto"/>
              </w:rPr>
            </w:pPr>
            <w:r>
              <w:rPr>
                <w:rFonts w:ascii="Arial" w:cs="Arial" w:eastAsia="Arial" w:hAnsi="Arial"/>
                <w:sz w:val="18"/>
                <w:szCs w:val="18"/>
                <w:color w:val="auto"/>
                <w:w w:val="87"/>
              </w:rPr>
              <w:t>2,955,678</w:t>
            </w:r>
          </w:p>
        </w:tc>
        <w:tc>
          <w:tcPr>
            <w:tcW w:w="0" w:type="dxa"/>
            <w:vAlign w:val="bottom"/>
          </w:tcPr>
          <w:p>
            <w:pPr>
              <w:spacing w:after="0"/>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Broker</w:t>
            </w:r>
          </w:p>
        </w:tc>
        <w:tc>
          <w:tcPr>
            <w:tcW w:w="0" w:type="dxa"/>
            <w:vAlign w:val="bottom"/>
          </w:tcPr>
          <w:p>
            <w:pPr>
              <w:spacing w:after="0"/>
              <w:rPr>
                <w:sz w:val="1"/>
                <w:szCs w:val="1"/>
                <w:color w:val="auto"/>
              </w:rPr>
            </w:pPr>
          </w:p>
        </w:tc>
      </w:tr>
      <w:tr>
        <w:trPr>
          <w:trHeight w:val="167"/>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Proposal Four—Advisory vote on the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3 Years</w:t>
            </w:r>
          </w:p>
        </w:tc>
        <w:tc>
          <w:tcPr>
            <w:tcW w:w="4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 Years</w:t>
            </w:r>
          </w:p>
        </w:tc>
        <w:tc>
          <w:tcPr>
            <w:tcW w:w="4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1 Year</w:t>
            </w:r>
          </w:p>
        </w:tc>
        <w:tc>
          <w:tcPr>
            <w:tcW w:w="4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Abstain</w:t>
            </w:r>
          </w:p>
        </w:tc>
        <w:tc>
          <w:tcPr>
            <w:tcW w:w="4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Non-Votes</w:t>
            </w:r>
          </w:p>
        </w:tc>
        <w:tc>
          <w:tcPr>
            <w:tcW w:w="0" w:type="dxa"/>
            <w:vAlign w:val="bottom"/>
          </w:tcPr>
          <w:p>
            <w:pPr>
              <w:spacing w:after="0"/>
              <w:rPr>
                <w:sz w:val="1"/>
                <w:szCs w:val="1"/>
                <w:color w:val="auto"/>
              </w:rPr>
            </w:pPr>
          </w:p>
        </w:tc>
      </w:tr>
      <w:tr>
        <w:trPr>
          <w:trHeight w:val="191"/>
        </w:trPr>
        <w:tc>
          <w:tcPr>
            <w:tcW w:w="3800" w:type="dxa"/>
            <w:vAlign w:val="bottom"/>
            <w:vMerge w:val="continue"/>
          </w:tcPr>
          <w:p>
            <w:pPr>
              <w:spacing w:after="0"/>
              <w:rPr>
                <w:sz w:val="16"/>
                <w:szCs w:val="16"/>
                <w:color w:val="auto"/>
              </w:rPr>
            </w:pPr>
          </w:p>
        </w:tc>
        <w:tc>
          <w:tcPr>
            <w:tcW w:w="1220" w:type="dxa"/>
            <w:vAlign w:val="bottom"/>
          </w:tcPr>
          <w:p>
            <w:pPr>
              <w:jc w:val="right"/>
              <w:ind w:right="159"/>
              <w:spacing w:after="0" w:line="191" w:lineRule="exact"/>
              <w:rPr>
                <w:sz w:val="20"/>
                <w:szCs w:val="20"/>
                <w:color w:val="auto"/>
              </w:rPr>
            </w:pPr>
            <w:r>
              <w:rPr>
                <w:rFonts w:ascii="Arial" w:cs="Arial" w:eastAsia="Arial" w:hAnsi="Arial"/>
                <w:sz w:val="18"/>
                <w:szCs w:val="18"/>
                <w:color w:val="auto"/>
              </w:rPr>
              <w:t>8,788,849</w:t>
            </w:r>
          </w:p>
        </w:tc>
        <w:tc>
          <w:tcPr>
            <w:tcW w:w="400" w:type="dxa"/>
            <w:vAlign w:val="bottom"/>
          </w:tcPr>
          <w:p>
            <w:pPr>
              <w:spacing w:after="0"/>
              <w:rPr>
                <w:sz w:val="16"/>
                <w:szCs w:val="16"/>
                <w:color w:val="auto"/>
              </w:rPr>
            </w:pPr>
          </w:p>
        </w:tc>
        <w:tc>
          <w:tcPr>
            <w:tcW w:w="1120" w:type="dxa"/>
            <w:vAlign w:val="bottom"/>
          </w:tcPr>
          <w:p>
            <w:pPr>
              <w:jc w:val="right"/>
              <w:ind w:right="179"/>
              <w:spacing w:after="0" w:line="191" w:lineRule="exact"/>
              <w:rPr>
                <w:sz w:val="20"/>
                <w:szCs w:val="20"/>
                <w:color w:val="auto"/>
              </w:rPr>
            </w:pPr>
            <w:r>
              <w:rPr>
                <w:rFonts w:ascii="Arial" w:cs="Arial" w:eastAsia="Arial" w:hAnsi="Arial"/>
                <w:sz w:val="18"/>
                <w:szCs w:val="18"/>
                <w:color w:val="auto"/>
              </w:rPr>
              <w:t>463,395</w:t>
            </w:r>
          </w:p>
        </w:tc>
        <w:tc>
          <w:tcPr>
            <w:tcW w:w="400" w:type="dxa"/>
            <w:vAlign w:val="bottom"/>
          </w:tcPr>
          <w:p>
            <w:pPr>
              <w:spacing w:after="0"/>
              <w:rPr>
                <w:sz w:val="16"/>
                <w:szCs w:val="16"/>
                <w:color w:val="auto"/>
              </w:rPr>
            </w:pPr>
          </w:p>
        </w:tc>
        <w:tc>
          <w:tcPr>
            <w:tcW w:w="1320" w:type="dxa"/>
            <w:vAlign w:val="bottom"/>
          </w:tcPr>
          <w:p>
            <w:pPr>
              <w:jc w:val="right"/>
              <w:ind w:right="179"/>
              <w:spacing w:after="0" w:line="191" w:lineRule="exact"/>
              <w:rPr>
                <w:sz w:val="20"/>
                <w:szCs w:val="20"/>
                <w:color w:val="auto"/>
              </w:rPr>
            </w:pPr>
            <w:r>
              <w:rPr>
                <w:rFonts w:ascii="Arial" w:cs="Arial" w:eastAsia="Arial" w:hAnsi="Arial"/>
                <w:sz w:val="18"/>
                <w:szCs w:val="18"/>
                <w:color w:val="auto"/>
              </w:rPr>
              <w:t>14,619,658</w:t>
            </w:r>
          </w:p>
        </w:tc>
        <w:tc>
          <w:tcPr>
            <w:tcW w:w="400" w:type="dxa"/>
            <w:vAlign w:val="bottom"/>
          </w:tcPr>
          <w:p>
            <w:pPr>
              <w:spacing w:after="0"/>
              <w:rPr>
                <w:sz w:val="16"/>
                <w:szCs w:val="16"/>
                <w:color w:val="auto"/>
              </w:rPr>
            </w:pPr>
          </w:p>
        </w:tc>
        <w:tc>
          <w:tcPr>
            <w:tcW w:w="1120" w:type="dxa"/>
            <w:vAlign w:val="bottom"/>
          </w:tcPr>
          <w:p>
            <w:pPr>
              <w:jc w:val="right"/>
              <w:ind w:right="179"/>
              <w:spacing w:after="0" w:line="191" w:lineRule="exact"/>
              <w:rPr>
                <w:sz w:val="20"/>
                <w:szCs w:val="20"/>
                <w:color w:val="auto"/>
              </w:rPr>
            </w:pPr>
            <w:r>
              <w:rPr>
                <w:rFonts w:ascii="Arial" w:cs="Arial" w:eastAsia="Arial" w:hAnsi="Arial"/>
                <w:sz w:val="18"/>
                <w:szCs w:val="18"/>
                <w:color w:val="auto"/>
              </w:rPr>
              <w:t>645,992</w:t>
            </w:r>
          </w:p>
        </w:tc>
        <w:tc>
          <w:tcPr>
            <w:tcW w:w="40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color w:val="auto"/>
                <w:w w:val="89"/>
              </w:rPr>
              <w:t>2,955,678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frequency of an executive compensation</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advisory vote</w:t>
            </w: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of the directors in Proposal One was elected by the Company’s shareholders by the required vote and each of Proposals Two and Three was approved by the Company’s shareholders by the required vote. On Proposal Four, the Company’s shareholders expressed a preference for an advisory vote on executive compensation each year. In accordance with the result of the advisory vote on Proposal Four, the Board of Directors has determined that the Company will conduct an executive compensation advisory vote on an annual basis.</w:t>
      </w:r>
    </w:p>
    <w:p>
      <w:pPr>
        <w:spacing w:after="0" w:line="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Regarding the Company’s other directors, (i) Janet K. Cooper, Gary L. Ellis and Gregg W. Steinhafel continue to serve as directors for terms ending at the Company’s 2012 Annual Meeting of Shareholders; and (ii) Robert C. Buhrmaster, Robert H. Nassau and Christopher A. Twomey continue to serve as directors for terms ending at the Company’s 2013 Annual Meeting of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7—Regulation FD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the Company on March 15, 2011, announcing the declaration of a regular quarterly dividend and the results of the 2011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94"/>
              </w:rPr>
              <w:t>Exhibit</w:t>
            </w:r>
          </w:p>
        </w:tc>
        <w:tc>
          <w:tcPr>
            <w:tcW w:w="3360" w:type="dxa"/>
            <w:vAlign w:val="bottom"/>
            <w:vMerge w:val="restart"/>
          </w:tcPr>
          <w:p>
            <w:pPr>
              <w:ind w:left="264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100" w:type="dxa"/>
            <w:vAlign w:val="bottom"/>
          </w:tcPr>
          <w:p>
            <w:pPr>
              <w:jc w:val="center"/>
              <w:ind w:right="2588"/>
              <w:spacing w:after="0"/>
              <w:rPr>
                <w:sz w:val="20"/>
                <w:szCs w:val="20"/>
                <w:color w:val="auto"/>
              </w:rPr>
            </w:pPr>
            <w:r>
              <w:rPr>
                <w:rFonts w:ascii="Arial" w:cs="Arial" w:eastAsia="Arial" w:hAnsi="Arial"/>
                <w:sz w:val="14"/>
                <w:szCs w:val="14"/>
                <w:b w:val="1"/>
                <w:bCs w:val="1"/>
                <w:color w:val="auto"/>
                <w:w w:val="88"/>
              </w:rPr>
              <w:t>No.</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4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15, 2011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 TORO COMPANY</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March 16,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Timothy P. Dordell</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Timothy P. Dordell</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Secretary and General Counsel</w:t>
            </w:r>
          </w:p>
        </w:tc>
        <w:tc>
          <w:tcPr>
            <w:tcW w:w="1700" w:type="dxa"/>
            <w:vAlign w:val="bottom"/>
          </w:tcPr>
          <w:p>
            <w:pPr>
              <w:spacing w:after="0"/>
              <w:rPr>
                <w:sz w:val="20"/>
                <w:szCs w:val="20"/>
                <w:color w:val="auto"/>
              </w:rPr>
            </w:pPr>
          </w:p>
        </w:tc>
      </w:tr>
      <w:tr>
        <w:trPr>
          <w:trHeight w:val="848"/>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00" w:type="dxa"/>
            <w:vAlign w:val="bottom"/>
          </w:tcPr>
          <w:p>
            <w:pPr>
              <w:spacing w:after="0"/>
              <w:rPr>
                <w:sz w:val="14"/>
                <w:szCs w:val="14"/>
                <w:color w:val="auto"/>
              </w:rPr>
            </w:pPr>
          </w:p>
        </w:tc>
        <w:tc>
          <w:tcPr>
            <w:tcW w:w="8640" w:type="dxa"/>
            <w:vAlign w:val="bottom"/>
            <w:vMerge w:val="restart"/>
          </w:tcPr>
          <w:p>
            <w:pPr>
              <w:ind w:left="3960"/>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00" w:type="dxa"/>
            <w:vAlign w:val="bottom"/>
          </w:tcPr>
          <w:p>
            <w:pPr>
              <w:spacing w:after="0"/>
              <w:rPr>
                <w:sz w:val="14"/>
                <w:szCs w:val="14"/>
                <w:color w:val="auto"/>
              </w:rPr>
            </w:pPr>
          </w:p>
        </w:tc>
        <w:tc>
          <w:tcPr>
            <w:tcW w:w="86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Press release dated March 15, 2011.</w:t>
            </w:r>
          </w:p>
        </w:tc>
        <w:tc>
          <w:tcPr>
            <w:tcW w:w="3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71525"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234" w:lineRule="auto"/>
        <w:rPr>
          <w:sz w:val="20"/>
          <w:szCs w:val="20"/>
          <w:color w:val="auto"/>
        </w:rPr>
      </w:pPr>
      <w:r>
        <w:rPr>
          <w:rFonts w:ascii="Arial" w:cs="Arial" w:eastAsia="Arial" w:hAnsi="Arial"/>
          <w:sz w:val="18"/>
          <w:szCs w:val="18"/>
          <w:color w:val="auto"/>
        </w:rPr>
        <w:t>Director, Investor and Public Relations</w:t>
      </w:r>
    </w:p>
    <w:p>
      <w:pPr>
        <w:spacing w:after="0" w:line="1"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887-8630, </w:t>
      </w:r>
      <w:r>
        <w:rPr>
          <w:rFonts w:ascii="Arial" w:cs="Arial" w:eastAsia="Arial" w:hAnsi="Arial"/>
          <w:sz w:val="18"/>
          <w:szCs w:val="18"/>
          <w:u w:val="single" w:color="auto"/>
          <w:color w:val="auto"/>
        </w:rPr>
        <w:t>invest@toro.com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Manager, Public Relations</w:t>
      </w:r>
    </w:p>
    <w:p>
      <w:pPr>
        <w:spacing w:after="0" w:line="1" w:lineRule="exact"/>
        <w:rPr>
          <w:sz w:val="20"/>
          <w:szCs w:val="20"/>
          <w:color w:val="auto"/>
        </w:rPr>
      </w:pPr>
    </w:p>
    <w:p>
      <w:pPr>
        <w:ind w:right="9040" w:firstLine="8"/>
        <w:spacing w:after="0" w:line="371"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r>
        <w:rPr>
          <w:rFonts w:ascii="Arial" w:cs="Arial" w:eastAsia="Arial" w:hAnsi="Arial"/>
          <w:sz w:val="18"/>
          <w:szCs w:val="18"/>
          <w:color w:val="auto"/>
        </w:rPr>
        <w:t xml:space="preserve"> </w:t>
      </w:r>
      <w:r>
        <w:rPr>
          <w:rFonts w:ascii="Arial" w:cs="Arial" w:eastAsia="Arial" w:hAnsi="Arial"/>
          <w:sz w:val="18"/>
          <w:szCs w:val="18"/>
          <w:i w:val="1"/>
          <w:iCs w:val="1"/>
          <w:color w:val="auto"/>
        </w:rPr>
        <w:t>For Immediate Release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Declares Regular Quarterly Dividend and Announces Results of Annual Shareholder Meeting</w:t>
      </w:r>
    </w:p>
    <w:p>
      <w:pPr>
        <w:spacing w:after="0" w:line="12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BLOOMINGTON, Minn. (March 15, 2011) — The Toro Company (NYSE: TTC) today announced that its board of directors has declared a regular quarterly cash dividend of 20 cents per share. This dividend is payable on April 11, 2011 to shareholders of record on March 28, 2011.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Additionally, Toro announced at its 2011 annual meeting held today that its shareholders:</w:t>
      </w:r>
    </w:p>
    <w:p>
      <w:pPr>
        <w:spacing w:after="0" w:line="104" w:lineRule="exact"/>
        <w:rPr>
          <w:sz w:val="20"/>
          <w:szCs w:val="20"/>
          <w:color w:val="auto"/>
        </w:rPr>
      </w:pPr>
    </w:p>
    <w:p>
      <w:pPr>
        <w:ind w:left="660" w:right="340" w:hanging="436"/>
        <w:spacing w:after="0" w:line="24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Elected Jeffrey M. Ettinger, Katherine J. Harless, Inge G. Thulin and Michael J. Hoffman, each to serve as a member of its board of directors for a three-year term ending at the 2014 annual meeting;</w:t>
      </w:r>
    </w:p>
    <w:p>
      <w:pPr>
        <w:spacing w:after="0" w:line="102" w:lineRule="exact"/>
        <w:rPr>
          <w:rFonts w:ascii="Arial" w:cs="Arial" w:eastAsia="Arial" w:hAnsi="Arial"/>
          <w:sz w:val="18"/>
          <w:szCs w:val="18"/>
          <w:b w:val="1"/>
          <w:bCs w:val="1"/>
          <w:color w:val="auto"/>
        </w:rPr>
      </w:pPr>
    </w:p>
    <w:p>
      <w:pPr>
        <w:ind w:left="660" w:right="860" w:hanging="436"/>
        <w:spacing w:after="0" w:line="24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Ratified the selection of KPMG LLP as the company’s independent registered public accounting firm for its fiscal year ending October 31, 2011; and</w:t>
      </w:r>
    </w:p>
    <w:p>
      <w:pPr>
        <w:spacing w:after="0" w:line="102" w:lineRule="exact"/>
        <w:rPr>
          <w:rFonts w:ascii="Arial" w:cs="Arial" w:eastAsia="Arial" w:hAnsi="Arial"/>
          <w:sz w:val="18"/>
          <w:szCs w:val="18"/>
          <w:b w:val="1"/>
          <w:bCs w:val="1"/>
          <w:color w:val="auto"/>
        </w:rPr>
      </w:pPr>
    </w:p>
    <w:p>
      <w:pPr>
        <w:ind w:left="660" w:right="120" w:hanging="436"/>
        <w:spacing w:after="0" w:line="246"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Approved the advisory vote on the compensation paid to the company’s named executive officers as described in the proxy statement for the 2011 annual meeting.</w:t>
      </w:r>
    </w:p>
    <w:p>
      <w:pPr>
        <w:spacing w:after="0" w:line="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shareholders also expressed a preference for an advisory vote on executive compensation every year. In accordance with this expressed preference, the board of directors has determined that the company will conduct an executive compensation advisory vote on an annual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Toro Company (NYSE: TTC) is a leading worldwide provider of turf and landscape maintenance equipment, and precision irrigation systems. With sales of nearly $ 1.7 billion in fiscal 2010, Toro’s global presence extends to more than 80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8"/>
          <w:szCs w:val="18"/>
          <w:u w:val="single" w:color="auto"/>
          <w:color w:val="auto"/>
        </w:rPr>
        <w:t>www.toro.com.</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952"/>
    </w:lvl>
  </w:abstractNum>
  <w:abstractNum w:abstractNumId="3">
    <w:nsid w:val="238E1F29"/>
    <w:multiLevelType w:val="hybridMultilevel"/>
    <w:lvl w:ilvl="0">
      <w:lvlJc w:val="left"/>
      <w:lvlText w:val="(%1)"/>
      <w:numFmt w:val="decimal"/>
      <w:start w:val="95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2019-12-10T06:47:35Z</dcterms:created>
  <dcterms:modified xsi:type="dcterms:W3CDTF">2019-12-10T06:47:35Z</dcterms:modified>
</cp:coreProperties>
</file>