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6466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6466205"/>
                    </a:xfrm>
                    <a:prstGeom prst="rect">
                      <a:avLst/>
                    </a:prstGeom>
                    <a:noFill/>
                  </pic:spPr>
                </pic:pic>
              </a:graphicData>
            </a:graphic>
          </wp:anchor>
        </w:drawing>
      </w:r>
    </w:p>
    <w:p>
      <w:pPr>
        <w:spacing w:after="0" w:line="1231" w:lineRule="exact"/>
        <w:rPr>
          <w:sz w:val="24"/>
          <w:szCs w:val="24"/>
          <w:color w:val="auto"/>
        </w:rPr>
      </w:pPr>
    </w:p>
    <w:p>
      <w:pPr>
        <w:sectPr>
          <w:pgSz w:w="11900" w:h="16895" w:orient="portrait"/>
          <w:cols w:equalWidth="0" w:num="2">
            <w:col w:w="2300" w:space="30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Funk Edric C</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TORO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09/02/2025</w:t>
      </w:r>
    </w:p>
    <w:p>
      <w:pPr>
        <w:spacing w:after="0" w:line="20" w:lineRule="exact"/>
        <w:rPr>
          <w:sz w:val="24"/>
          <w:szCs w:val="24"/>
          <w:color w:val="auto"/>
        </w:rPr>
      </w:pPr>
      <w:r>
        <w:rPr>
          <w:sz w:val="24"/>
          <w:szCs w:val="24"/>
          <w:color w:val="auto"/>
        </w:rPr>
        <w:br w:type="column"/>
      </w: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982"/>
        <w:spacing w:after="0"/>
        <w:rPr>
          <w:sz w:val="20"/>
          <w:szCs w:val="20"/>
          <w:color w:val="auto"/>
        </w:rPr>
      </w:pPr>
      <w:r>
        <w:rPr>
          <w:rFonts w:ascii="Times New Roman" w:cs="Times New Roman" w:eastAsia="Times New Roman" w:hAnsi="Times New Roman"/>
          <w:sz w:val="17"/>
          <w:szCs w:val="17"/>
          <w:color w:val="0000FF"/>
        </w:rPr>
        <w:t>President &amp; COO</w:t>
      </w:r>
    </w:p>
    <w:p>
      <w:pPr>
        <w:spacing w:after="0" w:line="308" w:lineRule="exact"/>
        <w:rPr>
          <w:sz w:val="24"/>
          <w:szCs w:val="24"/>
          <w:color w:val="auto"/>
        </w:rPr>
      </w:pPr>
    </w:p>
    <w:p>
      <w:pPr>
        <w:sectPr>
          <w:pgSz w:w="11900" w:h="16895" w:orient="portrait"/>
          <w:cols w:equalWidth="0" w:num="3">
            <w:col w:w="3180" w:space="720"/>
            <w:col w:w="3118" w:space="720"/>
            <w:col w:w="3342"/>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620" w:type="dxa"/>
            <w:vAlign w:val="bottom"/>
            <w:gridSpan w:val="8"/>
            <w:vMerge w:val="restart"/>
          </w:tcPr>
          <w:p>
            <w:pPr>
              <w:jc w:val="right"/>
              <w:ind w:right="160"/>
              <w:spacing w:after="0"/>
              <w:rPr>
                <w:sz w:val="20"/>
                <w:szCs w:val="20"/>
                <w:color w:val="auto"/>
              </w:rPr>
            </w:pPr>
            <w:r>
              <w:rPr>
                <w:rFonts w:ascii="Arial" w:cs="Arial" w:eastAsia="Arial" w:hAnsi="Arial"/>
                <w:sz w:val="13"/>
                <w:szCs w:val="13"/>
                <w:color w:val="auto"/>
              </w:rPr>
              <w:t>4. If Amendment, Date of Original Filed (Month/Day/Year)</w:t>
            </w:r>
          </w:p>
        </w:tc>
        <w:tc>
          <w:tcPr>
            <w:tcW w:w="370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20" w:type="dxa"/>
            <w:vAlign w:val="bottom"/>
            <w:gridSpan w:val="8"/>
            <w:vMerge w:val="continue"/>
          </w:tcPr>
          <w:p>
            <w:pPr>
              <w:spacing w:after="0"/>
              <w:rPr>
                <w:sz w:val="7"/>
                <w:szCs w:val="7"/>
                <w:color w:val="auto"/>
              </w:rPr>
            </w:pPr>
          </w:p>
        </w:tc>
        <w:tc>
          <w:tcPr>
            <w:tcW w:w="37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3"/>
                <w:szCs w:val="13"/>
                <w:color w:val="auto"/>
                <w:w w:val="96"/>
              </w:rPr>
              <w:t>Line)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55420</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20" w:type="dxa"/>
            <w:vAlign w:val="bottom"/>
            <w:gridSpan w:val="5"/>
          </w:tcPr>
          <w:p>
            <w:pPr>
              <w:ind w:left="240"/>
              <w:spacing w:after="0"/>
              <w:rPr>
                <w:sz w:val="20"/>
                <w:szCs w:val="20"/>
                <w:color w:val="auto"/>
              </w:rPr>
            </w:pPr>
            <w:r>
              <w:rPr>
                <w:rFonts w:ascii="Arial" w:cs="Arial" w:eastAsia="Arial" w:hAnsi="Arial"/>
                <w:sz w:val="13"/>
                <w:szCs w:val="13"/>
                <w:color w:val="auto"/>
                <w:w w:val="98"/>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40" w:type="dxa"/>
            <w:vAlign w:val="bottom"/>
            <w:gridSpan w:val="8"/>
          </w:tcPr>
          <w:p>
            <w:pPr>
              <w:ind w:left="24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3"/>
          </w:tcPr>
          <w:p>
            <w:pPr>
              <w:ind w:left="76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Beneficially</w:t>
            </w:r>
          </w:p>
        </w:tc>
        <w:tc>
          <w:tcPr>
            <w:tcW w:w="48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gridSpan w:val="4"/>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8"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jc w:val="right"/>
              <w:ind w:right="1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321.241</w:t>
            </w:r>
            <w:r>
              <w:rPr>
                <w:rFonts w:ascii="Times New Roman" w:cs="Times New Roman" w:eastAsia="Times New Roman" w:hAnsi="Times New Roman"/>
                <w:sz w:val="21"/>
                <w:szCs w:val="21"/>
                <w:color w:val="008000"/>
                <w:w w:val="94"/>
                <w:vertAlign w:val="superscript"/>
              </w:rPr>
              <w:t>(1)</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Health</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jc w:val="center"/>
              <w:ind w:left="355"/>
              <w:spacing w:after="0"/>
              <w:rPr>
                <w:sz w:val="20"/>
                <w:szCs w:val="20"/>
                <w:color w:val="auto"/>
              </w:rPr>
            </w:pPr>
            <w:r>
              <w:rPr>
                <w:rFonts w:ascii="Times New Roman" w:cs="Times New Roman" w:eastAsia="Times New Roman" w:hAnsi="Times New Roman"/>
                <w:sz w:val="17"/>
                <w:szCs w:val="17"/>
                <w:color w:val="0000FF"/>
                <w:w w:val="93"/>
              </w:rPr>
              <w:t>280</w:t>
            </w: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Savings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60" w:type="dxa"/>
            <w:vAlign w:val="bottom"/>
            <w:tcBorders>
              <w:bottom w:val="single" w:sz="8" w:color="2C2C2C"/>
            </w:tcBorders>
            <w:gridSpan w:val="3"/>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0"/>
              </w:rPr>
              <w:t>244.104</w:t>
            </w:r>
            <w:r>
              <w:rPr>
                <w:rFonts w:ascii="Times New Roman" w:cs="Times New Roman" w:eastAsia="Times New Roman" w:hAnsi="Times New Roman"/>
                <w:sz w:val="21"/>
                <w:szCs w:val="21"/>
                <w:color w:val="008000"/>
                <w:w w:val="90"/>
                <w:vertAlign w:val="superscript"/>
              </w:rPr>
              <w:t>(1)(2)</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Roth IRA</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2"/>
            <w:vMerge w:val="restart"/>
          </w:tcPr>
          <w:p>
            <w:pPr>
              <w:jc w:val="center"/>
              <w:ind w:right="1"/>
              <w:spacing w:after="0"/>
              <w:rPr>
                <w:sz w:val="20"/>
                <w:szCs w:val="20"/>
                <w:color w:val="auto"/>
              </w:rPr>
            </w:pPr>
            <w:r>
              <w:rPr>
                <w:rFonts w:ascii="Times New Roman" w:cs="Times New Roman" w:eastAsia="Times New Roman" w:hAnsi="Times New Roman"/>
                <w:sz w:val="17"/>
                <w:szCs w:val="17"/>
                <w:color w:val="0000FF"/>
                <w:w w:val="94"/>
              </w:rPr>
              <w:t>6,045.452</w:t>
            </w:r>
            <w:r>
              <w:rPr>
                <w:rFonts w:ascii="Times New Roman" w:cs="Times New Roman" w:eastAsia="Times New Roman" w:hAnsi="Times New Roman"/>
                <w:sz w:val="21"/>
                <w:szCs w:val="21"/>
                <w:color w:val="008000"/>
                <w:w w:val="94"/>
                <w:vertAlign w:val="superscript"/>
              </w:rPr>
              <w:t>(3)</w:t>
            </w:r>
          </w:p>
        </w:tc>
        <w:tc>
          <w:tcPr>
            <w:tcW w:w="340" w:type="dxa"/>
            <w:vAlign w:val="bottom"/>
          </w:tcPr>
          <w:p>
            <w:pPr>
              <w:spacing w:after="0"/>
              <w:rPr>
                <w:sz w:val="17"/>
                <w:szCs w:val="17"/>
                <w:color w:val="auto"/>
              </w:rPr>
            </w:pPr>
          </w:p>
        </w:tc>
        <w:tc>
          <w:tcPr>
            <w:tcW w:w="520" w:type="dxa"/>
            <w:vAlign w:val="bottom"/>
            <w:vMerge w:val="restart"/>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4"/>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1,471.76</w:t>
            </w:r>
            <w:r>
              <w:rPr>
                <w:rFonts w:ascii="Times New Roman" w:cs="Times New Roman" w:eastAsia="Times New Roman" w:hAnsi="Times New Roman"/>
                <w:sz w:val="21"/>
                <w:szCs w:val="21"/>
                <w:color w:val="008000"/>
                <w:w w:val="94"/>
                <w:vertAlign w:val="superscript"/>
              </w:rPr>
              <w:t>(4)</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58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Expiration Date</w:t>
            </w:r>
          </w:p>
        </w:tc>
        <w:tc>
          <w:tcPr>
            <w:tcW w:w="540" w:type="dxa"/>
            <w:vAlign w:val="bottom"/>
          </w:tcPr>
          <w:p>
            <w:pPr>
              <w:spacing w:after="0"/>
              <w:rPr>
                <w:sz w:val="11"/>
                <w:szCs w:val="11"/>
                <w:color w:val="auto"/>
              </w:rPr>
            </w:pP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6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60"/>
              <w:spacing w:after="0" w:line="128"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ind w:left="160"/>
              <w:spacing w:after="0" w:line="128"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4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ind w:left="160"/>
              <w:spacing w:after="0" w:line="128"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ind w:left="160"/>
              <w:spacing w:after="0" w:line="128"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18,418</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ind w:left="240"/>
              <w:spacing w:after="0" w:line="141" w:lineRule="exact"/>
              <w:rPr>
                <w:sz w:val="20"/>
                <w:szCs w:val="20"/>
                <w:color w:val="auto"/>
              </w:rPr>
            </w:pPr>
            <w:r>
              <w:rPr>
                <w:rFonts w:ascii="Times New Roman" w:cs="Times New Roman" w:eastAsia="Times New Roman" w:hAnsi="Times New Roman"/>
                <w:sz w:val="13"/>
                <w:szCs w:val="13"/>
                <w:color w:val="0000FF"/>
              </w:rPr>
              <w:t>09/02/2025</w:t>
            </w: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18,418</w:t>
            </w: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81.44</w:t>
            </w:r>
          </w:p>
        </w:tc>
        <w:tc>
          <w:tcPr>
            <w:tcW w:w="820" w:type="dxa"/>
            <w:vAlign w:val="bottom"/>
            <w:gridSpan w:val="2"/>
            <w:vMerge w:val="restart"/>
          </w:tcPr>
          <w:p>
            <w:pPr>
              <w:jc w:val="right"/>
              <w:ind w:right="182"/>
              <w:spacing w:after="0" w:line="141" w:lineRule="exact"/>
              <w:rPr>
                <w:sz w:val="20"/>
                <w:szCs w:val="20"/>
                <w:color w:val="auto"/>
              </w:rPr>
            </w:pPr>
            <w:r>
              <w:rPr>
                <w:rFonts w:ascii="Times New Roman" w:cs="Times New Roman" w:eastAsia="Times New Roman" w:hAnsi="Times New Roman"/>
                <w:sz w:val="13"/>
                <w:szCs w:val="13"/>
                <w:color w:val="0000FF"/>
              </w:rPr>
              <w:t>18,418</w:t>
            </w:r>
          </w:p>
        </w:tc>
        <w:tc>
          <w:tcPr>
            <w:tcW w:w="520" w:type="dxa"/>
            <w:vAlign w:val="bottom"/>
            <w:vMerge w:val="restart"/>
          </w:tcPr>
          <w:p>
            <w:pPr>
              <w:ind w:left="36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15"/>
              <w:spacing w:after="0"/>
              <w:rPr>
                <w:sz w:val="20"/>
                <w:szCs w:val="20"/>
                <w:color w:val="auto"/>
              </w:rPr>
            </w:pPr>
            <w:r>
              <w:rPr>
                <w:rFonts w:ascii="Times New Roman" w:cs="Times New Roman" w:eastAsia="Times New Roman" w:hAnsi="Times New Roman"/>
                <w:sz w:val="17"/>
                <w:szCs w:val="17"/>
                <w:color w:val="0000FF"/>
                <w:w w:val="94"/>
              </w:rPr>
              <w:t>767.953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jc w:val="right"/>
              <w:ind w:right="142"/>
              <w:spacing w:after="0" w:line="128" w:lineRule="exact"/>
              <w:rPr>
                <w:sz w:val="20"/>
                <w:szCs w:val="20"/>
                <w:color w:val="auto"/>
              </w:rPr>
            </w:pPr>
            <w:r>
              <w:rPr>
                <w:rFonts w:ascii="Times New Roman" w:cs="Times New Roman" w:eastAsia="Times New Roman" w:hAnsi="Times New Roman"/>
                <w:sz w:val="13"/>
                <w:szCs w:val="13"/>
                <w:color w:val="0000FF"/>
              </w:rPr>
              <w:t>767.953</w:t>
            </w:r>
          </w:p>
        </w:tc>
        <w:tc>
          <w:tcPr>
            <w:tcW w:w="52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-2264410</wp:posOffset>
            </wp:positionV>
            <wp:extent cx="29210" cy="2270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701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share balance adjustment to correct an administrative error reported on the Form 4 filed on June 11, 2025.</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1.206 shares of common stock acquired by the reporting person since the date of his last report under the dividend reinvestment feature of the account in which the shares are held.</w:t>
      </w:r>
    </w:p>
    <w:p>
      <w:pPr>
        <w:spacing w:after="0" w:line="42" w:lineRule="exact"/>
        <w:rPr>
          <w:rFonts w:ascii="Times New Roman" w:cs="Times New Roman" w:eastAsia="Times New Roman" w:hAnsi="Times New Roman"/>
          <w:sz w:val="13"/>
          <w:szCs w:val="13"/>
          <w:color w:val="008000"/>
        </w:rPr>
      </w:pPr>
    </w:p>
    <w:p>
      <w:pPr>
        <w:ind w:left="40" w:right="26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following shares of common stock acquired by the reporting person since the date of his last report: 45.741 net shares acquired through regular individual and issuer matching contributions to The Toro Company Retirement Plan ("Retirement Plan"); and net 30.220 shares acquired under the dividend reinvestment feature of the Retirement Plan less quarterly non-discretionary administrative fees.</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7.401 performance share units acquired by the reporting person since the date of his last report under the dividend reinvestment feature of The Toro Company Deferred Compensation Plan for Officers.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September 2, 2025 grant date.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November 1, 2022 grant 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09/04/2025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360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0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-20955</wp:posOffset>
            </wp:positionV>
            <wp:extent cx="299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908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-86360</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86"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95"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2093"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2025-09-04T07:53:55Z</dcterms:created>
  <dcterms:modified xsi:type="dcterms:W3CDTF">2025-09-04T07:53:55Z</dcterms:modified>
</cp:coreProperties>
</file>