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907"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907"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12/03/2015</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1,600</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1,600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12/03/2015</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130"/>
              <w:spacing w:after="0"/>
              <w:rPr>
                <w:sz w:val="20"/>
                <w:szCs w:val="20"/>
                <w:color w:val="auto"/>
              </w:rPr>
            </w:pPr>
            <w:r>
              <w:rPr>
                <w:rFonts w:ascii="Arial" w:cs="Arial" w:eastAsia="Arial" w:hAnsi="Arial"/>
                <w:sz w:val="18"/>
                <w:szCs w:val="18"/>
                <w:color w:val="0000FF"/>
              </w:rPr>
              <w:t>538</w:t>
            </w:r>
          </w:p>
        </w:tc>
        <w:tc>
          <w:tcPr>
            <w:tcW w:w="640" w:type="dxa"/>
            <w:vAlign w:val="bottom"/>
          </w:tcPr>
          <w:p>
            <w:pPr>
              <w:jc w:val="center"/>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righ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74.33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1,062</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12/03/2015</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1,599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10,888.092</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3,976.375</w:t>
            </w:r>
            <w:r>
              <w:rPr>
                <w:rFonts w:ascii="Arial" w:cs="Arial" w:eastAsia="Arial" w:hAnsi="Arial"/>
                <w:sz w:val="22"/>
                <w:szCs w:val="22"/>
                <w:color w:val="008000"/>
                <w:w w:val="82"/>
                <w:vertAlign w:val="superscript"/>
              </w:rPr>
              <w:t>(4)(5)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15,794.391</w:t>
            </w:r>
            <w:r>
              <w:rPr>
                <w:rFonts w:ascii="Arial" w:cs="Arial" w:eastAsia="Arial" w:hAnsi="Arial"/>
                <w:sz w:val="22"/>
                <w:szCs w:val="22"/>
                <w:color w:val="008000"/>
                <w:w w:val="85"/>
                <w:vertAlign w:val="superscript"/>
              </w:rPr>
              <w:t>(6)</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80" w:type="dxa"/>
            <w:vAlign w:val="bottom"/>
            <w:tcBorders>
              <w:bottom w:val="single" w:sz="8" w:color="2C2C2C"/>
            </w:tcBorders>
            <w:gridSpan w:val="11"/>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12/04/2015</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color w:val="0000FF"/>
              </w:rPr>
              <w:t>6,200</w:t>
            </w:r>
          </w:p>
        </w:tc>
        <w:tc>
          <w:tcPr>
            <w:tcW w:w="30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0000FF"/>
                <w:w w:val="94"/>
              </w:rPr>
              <w:t>12/04/2025</w:t>
            </w: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w w:val="95"/>
              </w:rPr>
              <w:t>Common</w:t>
            </w:r>
          </w:p>
        </w:tc>
        <w:tc>
          <w:tcPr>
            <w:tcW w:w="620" w:type="dxa"/>
            <w:vAlign w:val="bottom"/>
            <w:vMerge w:val="restart"/>
          </w:tcPr>
          <w:p>
            <w:pPr>
              <w:ind w:left="120"/>
              <w:spacing w:after="0"/>
              <w:rPr>
                <w:sz w:val="20"/>
                <w:szCs w:val="20"/>
                <w:color w:val="auto"/>
              </w:rPr>
            </w:pPr>
            <w:r>
              <w:rPr>
                <w:rFonts w:ascii="Arial" w:cs="Arial" w:eastAsia="Arial" w:hAnsi="Arial"/>
                <w:sz w:val="18"/>
                <w:szCs w:val="18"/>
                <w:color w:val="0000FF"/>
              </w:rPr>
              <w:t>6,200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6,200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one-half of a Performance Share Award for the Fiscal 2013 to Fiscal 2015 Performance Period under The Toro Company Amended and Restated 2010 Equity and Incentive Plan, as amended, (the "Amended and Restated 2010 Plan") as approved by the registrant's Compensation &amp; Human Resources Committee of its Board of Directors on December 1, 2015, and which was conditioned upon and subject to confirmation by the registrant's Fiscal 2015 financial results that were released on December 3, 2015.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2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one-half of a Performance Share Award for the Fiscal 2013 to Fiscal 2015 Performance Period under the Amended and Restated 2010 Plan as approved by the registrant's Compensation &amp; Human Resources Committee of its Board of Directors on December 1, 2015, and which was conditioned upon and subject to confirmation by the registrant's Fiscal 2015 financial results that were released on December 3, 2015. The reporting person has deferred the payout of this portion of his Performance Share Award under The Toro Company Deferred Compensation Plan for Officers (the "Deferred Plan") and, accordingly, this portion of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98.348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transferred all directly owned shares of common stock to the Darren L. Redetzke Revocable Trust, of which the reporting person is the sole grantor, trustee and lifetime beneficiary.</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13.375 shares of common stock acquired by the reporting person under a dividend reinvestment feature of the account in which the shares are held since the date of his last report.</w:t>
      </w:r>
    </w:p>
    <w:p>
      <w:pPr>
        <w:spacing w:after="0" w:line="64"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166.903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907"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2019-12-23T20:46:37Z</dcterms:created>
  <dcterms:modified xsi:type="dcterms:W3CDTF">2019-12-23T20:46:37Z</dcterms:modified>
</cp:coreProperties>
</file>