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WILLIAM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12/12/2013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Group VP, Comm. &amp; Irrigation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20" w:type="dxa"/>
            <w:vAlign w:val="bottom"/>
            <w:gridSpan w:val="2"/>
          </w:tcPr>
          <w:p>
            <w:pPr>
              <w:ind w:left="500"/>
              <w:spacing w:after="0"/>
              <w:rPr>
                <w:sz w:val="20"/>
                <w:szCs w:val="20"/>
                <w:color w:val="auto"/>
              </w:rPr>
            </w:pPr>
            <w:r>
              <w:rPr>
                <w:rFonts w:ascii="Arial" w:cs="Arial" w:eastAsia="Arial" w:hAnsi="Arial"/>
                <w:sz w:val="18"/>
                <w:szCs w:val="18"/>
                <w:color w:val="0000FF"/>
              </w:rPr>
              <w:t>12/12/2013</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4"/>
                <w:szCs w:val="14"/>
                <w:color w:val="0000FF"/>
              </w:rPr>
              <w:t>S</w:t>
            </w:r>
          </w:p>
        </w:tc>
        <w:tc>
          <w:tcPr>
            <w:tcW w:w="880" w:type="dxa"/>
            <w:vAlign w:val="bottom"/>
          </w:tcPr>
          <w:p>
            <w:pPr>
              <w:ind w:left="220"/>
              <w:spacing w:after="0"/>
              <w:rPr>
                <w:sz w:val="20"/>
                <w:szCs w:val="20"/>
                <w:color w:val="auto"/>
              </w:rPr>
            </w:pPr>
            <w:r>
              <w:rPr>
                <w:rFonts w:ascii="Arial" w:cs="Arial" w:eastAsia="Arial" w:hAnsi="Arial"/>
                <w:sz w:val="18"/>
                <w:szCs w:val="18"/>
                <w:color w:val="0000FF"/>
              </w:rPr>
              <w:t>6,750</w:t>
            </w:r>
          </w:p>
        </w:tc>
        <w:tc>
          <w:tcPr>
            <w:tcW w:w="480" w:type="dxa"/>
            <w:vAlign w:val="bottom"/>
          </w:tcPr>
          <w:p>
            <w:pPr>
              <w:ind w:left="1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59.015</w:t>
            </w:r>
            <w:r>
              <w:rPr>
                <w:rFonts w:ascii="Arial" w:cs="Arial" w:eastAsia="Arial" w:hAnsi="Arial"/>
                <w:sz w:val="22"/>
                <w:szCs w:val="22"/>
                <w:color w:val="008000"/>
                <w:w w:val="84"/>
                <w:vertAlign w:val="superscript"/>
              </w:rPr>
              <w:t>(1)</w:t>
            </w:r>
          </w:p>
        </w:tc>
        <w:tc>
          <w:tcPr>
            <w:tcW w:w="1320" w:type="dxa"/>
            <w:vAlign w:val="bottom"/>
            <w:gridSpan w:val="3"/>
          </w:tcPr>
          <w:p>
            <w:pPr>
              <w:jc w:val="right"/>
              <w:ind w:right="239"/>
              <w:spacing w:after="0"/>
              <w:rPr>
                <w:sz w:val="20"/>
                <w:szCs w:val="20"/>
                <w:color w:val="auto"/>
              </w:rPr>
            </w:pPr>
            <w:r>
              <w:rPr>
                <w:rFonts w:ascii="Arial" w:cs="Arial" w:eastAsia="Arial" w:hAnsi="Arial"/>
                <w:sz w:val="18"/>
                <w:szCs w:val="18"/>
                <w:color w:val="0000FF"/>
              </w:rPr>
              <w:t>4,830.543</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ind w:right="79"/>
              <w:spacing w:after="0"/>
              <w:rPr>
                <w:sz w:val="20"/>
                <w:szCs w:val="20"/>
                <w:color w:val="auto"/>
              </w:rPr>
            </w:pPr>
            <w:r>
              <w:rPr>
                <w:rFonts w:ascii="Arial" w:cs="Arial" w:eastAsia="Arial" w:hAnsi="Arial"/>
                <w:sz w:val="18"/>
                <w:szCs w:val="18"/>
                <w:color w:val="0000FF"/>
                <w:w w:val="96"/>
              </w:rPr>
              <w:t>103,903.813</w:t>
            </w:r>
            <w:r>
              <w:rPr>
                <w:rFonts w:ascii="Arial" w:cs="Arial" w:eastAsia="Arial" w:hAnsi="Arial"/>
                <w:sz w:val="22"/>
                <w:szCs w:val="22"/>
                <w:color w:val="008000"/>
                <w:w w:val="96"/>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6"/>
              </w:rPr>
              <w:t>and 4)</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$59.01 to $59.0165,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3,061.813 shares of restricted stock and related dividend reinvestment shares that vest in full on the third anniversary of the date of grant, which was March 20, 2012.</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12/16/2013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2019-12-17T01:22:45Z</dcterms:created>
  <dcterms:modified xsi:type="dcterms:W3CDTF">2019-12-17T01:22:45Z</dcterms:modified>
</cp:coreProperties>
</file>