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5240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MOELLER PETER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International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792.688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4,432.717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4,147.717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3,930.917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792.688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792.688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11.207 shares acquired by the reporting person since the date of his last report under a dividend reinvestment feature of the account in which the shares are held.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11.840 net shares acquired by the reporting person since the date of his last report under the dividend reinvestment feature of The Toro Company Retirement Plan less non-discretionary quarterly administrative fees.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restricted stock units and related dividend equivalents vested and became non-forfeitable in three equal annual installments commencing on April 1, 2020, which was the first anniversary of the date of grant.</w:t>
      </w:r>
    </w:p>
    <w:p>
      <w:pPr>
        <w:ind w:left="660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Timothy C. Quist,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22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297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2022-04-05T15:19:36Z</dcterms:created>
  <dcterms:modified xsi:type="dcterms:W3CDTF">2022-04-05T15:19:36Z</dcterms:modified>
</cp:coreProperties>
</file>