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UNITED STATES 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October 31, 2012</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69" w:right="239" w:bottom="1440" w:gutter="0" w:footer="0" w:header="0"/>
        </w:sectPr>
      </w:pPr>
    </w:p>
    <w:p>
      <w:pPr>
        <w:spacing w:after="0" w:line="195"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1-8649</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41-0580470</w:t>
      </w:r>
    </w:p>
    <w:p>
      <w:pPr>
        <w:spacing w:after="0" w:line="29" w:lineRule="exact"/>
        <w:rPr>
          <w:sz w:val="24"/>
          <w:szCs w:val="24"/>
          <w:color w:val="auto"/>
        </w:rPr>
      </w:pPr>
    </w:p>
    <w:p>
      <w:pPr>
        <w:sectPr>
          <w:pgSz w:w="11900" w:h="16838" w:orient="portrait"/>
          <w:cols w:equalWidth="0" w:num="3">
            <w:col w:w="5900" w:space="720"/>
            <w:col w:w="2420" w:space="720"/>
            <w:col w:w="1660"/>
          </w:cols>
          <w:pgMar w:left="240" w:top="469" w:right="239" w:bottom="1440" w:gutter="0" w:footer="0" w:header="0"/>
          <w:type w:val="continuous"/>
        </w:sectPr>
      </w:pPr>
    </w:p>
    <w:p>
      <w:pPr>
        <w:ind w:left="284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83" w:lineRule="exact"/>
        <w:rPr>
          <w:sz w:val="24"/>
          <w:szCs w:val="24"/>
          <w:color w:val="auto"/>
        </w:rPr>
      </w:pPr>
    </w:p>
    <w:p>
      <w:pPr>
        <w:sectPr>
          <w:pgSz w:w="11900" w:h="16838" w:orient="portrait"/>
          <w:cols w:equalWidth="0" w:num="3">
            <w:col w:w="5280" w:space="720"/>
            <w:col w:w="2180" w:space="720"/>
            <w:col w:w="2520"/>
          </w:cols>
          <w:pgMar w:left="240" w:top="46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132715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1720" w:type="dxa"/>
        <w:tblCellMar>
          <w:top w:w="0" w:type="dxa"/>
          <w:left w:w="0" w:type="dxa"/>
          <w:bottom w:w="0" w:type="dxa"/>
          <w:right w:w="0" w:type="dxa"/>
        </w:tblCellMar>
      </w:tblP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500" w:type="dxa"/>
            <w:vAlign w:val="bottom"/>
            <w:gridSpan w:val="3"/>
          </w:tcPr>
          <w:p>
            <w:pPr>
              <w:ind w:left="680"/>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Common Stock, par value $1.00 per share</w:t>
            </w:r>
          </w:p>
        </w:tc>
        <w:tc>
          <w:tcPr>
            <w:tcW w:w="4500" w:type="dxa"/>
            <w:vAlign w:val="bottom"/>
            <w:gridSpan w:val="3"/>
          </w:tcPr>
          <w:p>
            <w:pPr>
              <w:ind w:left="680"/>
              <w:spacing w:after="0"/>
              <w:rPr>
                <w:sz w:val="20"/>
                <w:szCs w:val="20"/>
                <w:color w:val="auto"/>
              </w:rPr>
            </w:pPr>
            <w:r>
              <w:rPr>
                <w:rFonts w:ascii="Arial" w:cs="Arial" w:eastAsia="Arial" w:hAnsi="Arial"/>
                <w:sz w:val="18"/>
                <w:szCs w:val="18"/>
                <w:color w:val="auto"/>
              </w:rPr>
              <w:t>New York Stock Exchange</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jc w:val="center"/>
        <w:ind w:right="-19"/>
        <w:spacing w:after="0"/>
        <w:rPr>
          <w:sz w:val="20"/>
          <w:szCs w:val="20"/>
          <w:color w:val="auto"/>
        </w:rPr>
      </w:pPr>
      <w:r>
        <w:rPr>
          <w:rFonts w:ascii="Arial" w:cs="Arial" w:eastAsia="Arial" w:hAnsi="Arial"/>
          <w:sz w:val="18"/>
          <w:szCs w:val="18"/>
          <w:color w:val="auto"/>
        </w:rPr>
        <w:t>None</w:t>
      </w:r>
    </w:p>
    <w:p>
      <w:pPr>
        <w:spacing w:after="0" w:line="1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100"/>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3" w:lineRule="exact"/>
        <w:rPr>
          <w:sz w:val="24"/>
          <w:szCs w:val="24"/>
          <w:color w:val="auto"/>
        </w:rPr>
      </w:pPr>
    </w:p>
    <w:p>
      <w:pPr>
        <w:ind w:right="28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9" w:right="239" w:bottom="1440" w:gutter="0" w:footer="0" w:header="0"/>
          <w:type w:val="continuous"/>
        </w:sectPr>
      </w:pPr>
    </w:p>
    <w:p>
      <w:pPr>
        <w:spacing w:after="0" w:line="163" w:lineRule="exact"/>
        <w:rPr>
          <w:sz w:val="24"/>
          <w:szCs w:val="24"/>
          <w:color w:val="auto"/>
        </w:rPr>
      </w:pPr>
    </w:p>
    <w:p>
      <w:pPr>
        <w:jc w:val="center"/>
        <w:ind w:left="780"/>
        <w:spacing w:after="0"/>
        <w:rPr>
          <w:sz w:val="20"/>
          <w:szCs w:val="20"/>
          <w:color w:val="auto"/>
        </w:rPr>
      </w:pPr>
      <w:r>
        <w:rPr>
          <w:rFonts w:ascii="Arial" w:cs="Arial" w:eastAsia="Arial" w:hAnsi="Arial"/>
          <w:sz w:val="16"/>
          <w:szCs w:val="16"/>
          <w:color w:val="auto"/>
        </w:rPr>
        <w:t>Large accelerated</w:t>
      </w:r>
    </w:p>
    <w:p>
      <w:pPr>
        <w:spacing w:after="0" w:line="19" w:lineRule="exact"/>
        <w:rPr>
          <w:sz w:val="24"/>
          <w:szCs w:val="24"/>
          <w:color w:val="auto"/>
        </w:rPr>
      </w:pPr>
    </w:p>
    <w:p>
      <w:pPr>
        <w:jc w:val="center"/>
        <w:ind w:left="780"/>
        <w:spacing w:after="0" w:line="207" w:lineRule="exact"/>
        <w:rPr>
          <w:sz w:val="20"/>
          <w:szCs w:val="20"/>
          <w:color w:val="auto"/>
        </w:rPr>
      </w:pPr>
      <w:r>
        <w:rPr>
          <w:rFonts w:ascii="Arial" w:cs="Arial" w:eastAsia="Arial" w:hAnsi="Arial"/>
          <w:sz w:val="18"/>
          <w:szCs w:val="18"/>
          <w:color w:val="auto"/>
        </w:rPr>
        <w:t xml:space="preserve">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w:t>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Non-accelerated</w:t>
      </w:r>
    </w:p>
    <w:p>
      <w:pPr>
        <w:spacing w:after="0" w:line="19"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Smaller reporting</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company o</w:t>
      </w:r>
    </w:p>
    <w:p>
      <w:pPr>
        <w:spacing w:after="0" w:line="181" w:lineRule="exact"/>
        <w:rPr>
          <w:sz w:val="24"/>
          <w:szCs w:val="24"/>
          <w:color w:val="auto"/>
        </w:rPr>
      </w:pPr>
    </w:p>
    <w:p>
      <w:pPr>
        <w:sectPr>
          <w:pgSz w:w="11900" w:h="16838" w:orient="portrait"/>
          <w:cols w:equalWidth="0" w:num="4">
            <w:col w:w="3220" w:space="720"/>
            <w:col w:w="1400" w:space="720"/>
            <w:col w:w="1940" w:space="720"/>
            <w:col w:w="2700"/>
          </w:cols>
          <w:pgMar w:left="240" w:top="469"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ind w:right="40"/>
        <w:spacing w:after="0" w:line="238"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price of the common stock on May 4, 2012, the last business day of the registrant's most recently completed second fiscal quarter, as reported by the New York Stock Exchange, was approximately $2.1 billion.</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12, 2012 was 58,345,572.</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4"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Portions of the registrant's Proxy Statement for the 2013 Annual Meeting of Shareholders expected to be held March 12, 2013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91" w:lineRule="exact"/>
        <w:rPr>
          <w:sz w:val="20"/>
          <w:szCs w:val="20"/>
          <w:color w:val="auto"/>
        </w:rPr>
      </w:pPr>
    </w:p>
    <w:p>
      <w:pPr>
        <w:ind w:left="1140"/>
        <w:spacing w:after="0"/>
        <w:tabs>
          <w:tab w:leader="none" w:pos="1026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w:t>
            </w:r>
          </w:p>
        </w:tc>
        <w:tc>
          <w:tcPr>
            <w:tcW w:w="2860" w:type="dxa"/>
            <w:vAlign w:val="bottom"/>
          </w:tcPr>
          <w:p>
            <w:pPr>
              <w:ind w:left="100"/>
              <w:spacing w:after="0"/>
              <w:rPr>
                <w:sz w:val="20"/>
                <w:szCs w:val="20"/>
                <w:color w:val="auto"/>
              </w:rPr>
            </w:pPr>
            <w:r>
              <w:rPr>
                <w:rFonts w:ascii="Arial" w:cs="Arial" w:eastAsia="Arial" w:hAnsi="Arial"/>
                <w:sz w:val="18"/>
                <w:szCs w:val="18"/>
                <w:color w:val="auto"/>
              </w:rPr>
              <w:t>Business</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1A.</w:t>
            </w:r>
          </w:p>
        </w:tc>
        <w:tc>
          <w:tcPr>
            <w:tcW w:w="2860" w:type="dxa"/>
            <w:vAlign w:val="bottom"/>
          </w:tcPr>
          <w:p>
            <w:pPr>
              <w:ind w:left="100"/>
              <w:spacing w:after="0"/>
              <w:rPr>
                <w:sz w:val="20"/>
                <w:szCs w:val="20"/>
                <w:color w:val="auto"/>
              </w:rPr>
            </w:pPr>
            <w:r>
              <w:rPr>
                <w:rFonts w:ascii="Arial" w:cs="Arial" w:eastAsia="Arial" w:hAnsi="Arial"/>
                <w:sz w:val="18"/>
                <w:szCs w:val="18"/>
                <w:color w:val="auto"/>
              </w:rPr>
              <w:t>Risk Factors</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1B.</w:t>
            </w:r>
          </w:p>
        </w:tc>
        <w:tc>
          <w:tcPr>
            <w:tcW w:w="286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2.</w:t>
            </w:r>
          </w:p>
        </w:tc>
        <w:tc>
          <w:tcPr>
            <w:tcW w:w="2860" w:type="dxa"/>
            <w:vAlign w:val="bottom"/>
          </w:tcPr>
          <w:p>
            <w:pPr>
              <w:ind w:left="100"/>
              <w:spacing w:after="0"/>
              <w:rPr>
                <w:sz w:val="20"/>
                <w:szCs w:val="20"/>
                <w:color w:val="auto"/>
              </w:rPr>
            </w:pPr>
            <w:r>
              <w:rPr>
                <w:rFonts w:ascii="Arial" w:cs="Arial" w:eastAsia="Arial" w:hAnsi="Arial"/>
                <w:sz w:val="18"/>
                <w:szCs w:val="18"/>
                <w:color w:val="auto"/>
              </w:rPr>
              <w:t>Properties</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3.</w:t>
            </w:r>
          </w:p>
        </w:tc>
        <w:tc>
          <w:tcPr>
            <w:tcW w:w="2860" w:type="dxa"/>
            <w:vAlign w:val="bottom"/>
          </w:tcPr>
          <w:p>
            <w:pPr>
              <w:ind w:left="100"/>
              <w:spacing w:after="0"/>
              <w:rPr>
                <w:sz w:val="20"/>
                <w:szCs w:val="20"/>
                <w:color w:val="auto"/>
              </w:rPr>
            </w:pPr>
            <w:r>
              <w:rPr>
                <w:rFonts w:ascii="Arial" w:cs="Arial" w:eastAsia="Arial" w:hAnsi="Arial"/>
                <w:sz w:val="18"/>
                <w:szCs w:val="18"/>
                <w:color w:val="auto"/>
              </w:rPr>
              <w:t>Legal Proceedings</w:t>
            </w:r>
          </w:p>
        </w:tc>
      </w:tr>
      <w:tr>
        <w:trPr>
          <w:trHeight w:val="279"/>
        </w:trPr>
        <w:tc>
          <w:tcPr>
            <w:tcW w:w="104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2860" w:type="dxa"/>
            <w:vAlign w:val="bottom"/>
          </w:tcPr>
          <w:p>
            <w:pPr>
              <w:ind w:left="100"/>
              <w:spacing w:after="0"/>
              <w:rPr>
                <w:sz w:val="20"/>
                <w:szCs w:val="20"/>
                <w:color w:val="auto"/>
              </w:rPr>
            </w:pPr>
            <w:r>
              <w:rPr>
                <w:rFonts w:ascii="Arial" w:cs="Arial" w:eastAsia="Arial" w:hAnsi="Arial"/>
                <w:sz w:val="18"/>
                <w:szCs w:val="18"/>
                <w:color w:val="auto"/>
              </w:rPr>
              <w:t>Mine Safety Disclosures</w:t>
            </w:r>
          </w:p>
        </w:tc>
      </w:tr>
      <w:tr>
        <w:trPr>
          <w:trHeight w:val="211"/>
        </w:trPr>
        <w:tc>
          <w:tcPr>
            <w:tcW w:w="104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8"/>
                <w:szCs w:val="18"/>
                <w:color w:val="auto"/>
                <w:w w:val="97"/>
              </w:rPr>
              <w:t>Executive Officers of the Registrant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0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906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11"/>
        </w:trPr>
        <w:tc>
          <w:tcPr>
            <w:tcW w:w="1040" w:type="dxa"/>
            <w:vAlign w:val="bottom"/>
            <w:vMerge w:val="restart"/>
          </w:tcPr>
          <w:p>
            <w:pPr>
              <w:spacing w:after="0"/>
              <w:rPr>
                <w:sz w:val="20"/>
                <w:szCs w:val="20"/>
                <w:color w:val="auto"/>
              </w:rPr>
            </w:pPr>
            <w:r>
              <w:rPr>
                <w:rFonts w:ascii="Arial" w:cs="Arial" w:eastAsia="Arial" w:hAnsi="Arial"/>
                <w:sz w:val="22"/>
                <w:szCs w:val="22"/>
                <w:b w:val="1"/>
                <w:bCs w:val="1"/>
                <w:color w:val="auto"/>
              </w:rPr>
              <w:t>ITEM 6.</w:t>
            </w:r>
          </w:p>
        </w:tc>
        <w:tc>
          <w:tcPr>
            <w:tcW w:w="9060" w:type="dxa"/>
            <w:vAlign w:val="bottom"/>
          </w:tcPr>
          <w:p>
            <w:pPr>
              <w:ind w:left="100"/>
              <w:spacing w:after="0"/>
              <w:rPr>
                <w:sz w:val="20"/>
                <w:szCs w:val="20"/>
                <w:color w:val="auto"/>
              </w:rPr>
            </w:pPr>
            <w:r>
              <w:rPr>
                <w:rFonts w:ascii="Arial" w:cs="Arial" w:eastAsia="Arial" w:hAnsi="Arial"/>
                <w:sz w:val="18"/>
                <w:szCs w:val="18"/>
                <w:color w:val="auto"/>
              </w:rPr>
              <w:t>The Toro Company Common Stock Comparative Performance Graph</w:t>
            </w:r>
          </w:p>
        </w:tc>
        <w:tc>
          <w:tcPr>
            <w:tcW w:w="0" w:type="dxa"/>
            <w:vAlign w:val="bottom"/>
          </w:tcPr>
          <w:p>
            <w:pPr>
              <w:spacing w:after="0"/>
              <w:rPr>
                <w:sz w:val="1"/>
                <w:szCs w:val="1"/>
                <w:color w:val="auto"/>
              </w:rPr>
            </w:pPr>
          </w:p>
        </w:tc>
      </w:tr>
      <w:tr>
        <w:trPr>
          <w:trHeight w:val="240"/>
        </w:trPr>
        <w:tc>
          <w:tcPr>
            <w:tcW w:w="1040" w:type="dxa"/>
            <w:vAlign w:val="bottom"/>
            <w:vMerge w:val="continue"/>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Selected Financial Data</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7.</w:t>
            </w:r>
          </w:p>
        </w:tc>
        <w:tc>
          <w:tcPr>
            <w:tcW w:w="906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7A.</w:t>
            </w:r>
          </w:p>
        </w:tc>
        <w:tc>
          <w:tcPr>
            <w:tcW w:w="906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0" w:type="dxa"/>
            <w:vAlign w:val="bottom"/>
          </w:tcPr>
          <w:p>
            <w:pPr>
              <w:spacing w:after="0"/>
              <w:rPr>
                <w:sz w:val="1"/>
                <w:szCs w:val="1"/>
                <w:color w:val="auto"/>
              </w:rPr>
            </w:pPr>
          </w:p>
        </w:tc>
      </w:tr>
      <w:tr>
        <w:trPr>
          <w:trHeight w:val="279"/>
        </w:trPr>
        <w:tc>
          <w:tcPr>
            <w:tcW w:w="10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906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Management's Report on Internal Control over Financial Reporting</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Report of Independent Registered Public Accounting Firm</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Consolidated Statements of Earnings for the fiscal years ended October 31, 2012, 2011, and 2010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w w:val="97"/>
              </w:rPr>
              <w:t>Consolidated Statements of Comprehensive Income for the fiscal years ended October 31, 2012, 2011, and 2010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Consolidated Balance Sheets as of October 31, 2012 and 2011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fiscal years ended October 31, 2012, 2011, and 2010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9060" w:type="dxa"/>
            <w:vAlign w:val="bottom"/>
          </w:tcPr>
          <w:p>
            <w:pPr>
              <w:ind w:left="260"/>
              <w:spacing w:after="0"/>
              <w:rPr>
                <w:sz w:val="20"/>
                <w:szCs w:val="20"/>
                <w:color w:val="auto"/>
              </w:rPr>
            </w:pPr>
            <w:r>
              <w:rPr>
                <w:rFonts w:ascii="Arial" w:cs="Arial" w:eastAsia="Arial" w:hAnsi="Arial"/>
                <w:sz w:val="18"/>
                <w:szCs w:val="18"/>
                <w:color w:val="auto"/>
              </w:rPr>
              <w:t>Consolidated Statements of Stockholders' Equity for the fiscal years ended October 31, 2012, 2011, and 2010</w:t>
            </w:r>
          </w:p>
        </w:tc>
        <w:tc>
          <w:tcPr>
            <w:tcW w:w="0" w:type="dxa"/>
            <w:vAlign w:val="bottom"/>
          </w:tcPr>
          <w:p>
            <w:pPr>
              <w:spacing w:after="0"/>
              <w:rPr>
                <w:sz w:val="1"/>
                <w:szCs w:val="1"/>
                <w:color w:val="auto"/>
              </w:rPr>
            </w:pPr>
          </w:p>
        </w:tc>
      </w:tr>
      <w:tr>
        <w:trPr>
          <w:trHeight w:val="243"/>
        </w:trPr>
        <w:tc>
          <w:tcPr>
            <w:tcW w:w="1040" w:type="dxa"/>
            <w:vAlign w:val="bottom"/>
            <w:vMerge w:val="restart"/>
          </w:tcPr>
          <w:p>
            <w:pPr>
              <w:spacing w:after="0"/>
              <w:rPr>
                <w:sz w:val="20"/>
                <w:szCs w:val="20"/>
                <w:color w:val="auto"/>
              </w:rPr>
            </w:pPr>
            <w:r>
              <w:rPr>
                <w:rFonts w:ascii="Arial" w:cs="Arial" w:eastAsia="Arial" w:hAnsi="Arial"/>
                <w:sz w:val="22"/>
                <w:szCs w:val="22"/>
                <w:b w:val="1"/>
                <w:bCs w:val="1"/>
                <w:color w:val="auto"/>
              </w:rPr>
              <w:t>ITEM 9.</w:t>
            </w:r>
          </w:p>
        </w:tc>
        <w:tc>
          <w:tcPr>
            <w:tcW w:w="906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240"/>
        </w:trPr>
        <w:tc>
          <w:tcPr>
            <w:tcW w:w="1040" w:type="dxa"/>
            <w:vAlign w:val="bottom"/>
            <w:vMerge w:val="continue"/>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9A.</w:t>
            </w:r>
          </w:p>
        </w:tc>
        <w:tc>
          <w:tcPr>
            <w:tcW w:w="90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0" w:type="dxa"/>
            <w:vAlign w:val="bottom"/>
          </w:tcPr>
          <w:p>
            <w:pPr>
              <w:spacing w:after="0"/>
              <w:rPr>
                <w:sz w:val="1"/>
                <w:szCs w:val="1"/>
                <w:color w:val="auto"/>
              </w:rPr>
            </w:pPr>
          </w:p>
        </w:tc>
      </w:tr>
      <w:tr>
        <w:trPr>
          <w:trHeight w:val="286"/>
        </w:trPr>
        <w:tc>
          <w:tcPr>
            <w:tcW w:w="1040" w:type="dxa"/>
            <w:vAlign w:val="bottom"/>
          </w:tcPr>
          <w:p>
            <w:pPr>
              <w:spacing w:after="0"/>
              <w:rPr>
                <w:sz w:val="20"/>
                <w:szCs w:val="20"/>
                <w:color w:val="auto"/>
              </w:rPr>
            </w:pPr>
            <w:r>
              <w:rPr>
                <w:rFonts w:ascii="Arial" w:cs="Arial" w:eastAsia="Arial" w:hAnsi="Arial"/>
                <w:sz w:val="22"/>
                <w:szCs w:val="22"/>
                <w:b w:val="1"/>
                <w:bCs w:val="1"/>
                <w:color w:val="auto"/>
              </w:rPr>
              <w:t>ITEM 9B.</w:t>
            </w:r>
          </w:p>
        </w:tc>
        <w:tc>
          <w:tcPr>
            <w:tcW w:w="906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11-20</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25-38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38-39</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47-65</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161" w:lineRule="exact"/>
        <w:rPr>
          <w:sz w:val="20"/>
          <w:szCs w:val="20"/>
          <w:color w:val="auto"/>
        </w:rPr>
      </w:pPr>
    </w:p>
    <w:p>
      <w:pPr>
        <w:sectPr>
          <w:pgSz w:w="11900" w:h="16838" w:orient="portrait"/>
          <w:cols w:equalWidth="0" w:num="2">
            <w:col w:w="10260" w:space="720"/>
            <w:col w:w="440"/>
          </w:cols>
          <w:pgMar w:left="240" w:top="111" w:right="23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PART III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892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11.</w:t>
            </w:r>
          </w:p>
        </w:tc>
        <w:tc>
          <w:tcPr>
            <w:tcW w:w="892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12.</w:t>
            </w:r>
          </w:p>
        </w:tc>
        <w:tc>
          <w:tcPr>
            <w:tcW w:w="892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1040" w:type="dxa"/>
            <w:vAlign w:val="bottom"/>
          </w:tcPr>
          <w:p>
            <w:pPr>
              <w:spacing w:after="0" w:line="243" w:lineRule="exact"/>
              <w:rPr>
                <w:sz w:val="20"/>
                <w:szCs w:val="20"/>
                <w:color w:val="auto"/>
              </w:rPr>
            </w:pPr>
            <w:r>
              <w:rPr>
                <w:rFonts w:ascii="Arial" w:cs="Arial" w:eastAsia="Arial" w:hAnsi="Arial"/>
                <w:sz w:val="22"/>
                <w:szCs w:val="22"/>
                <w:b w:val="1"/>
                <w:bCs w:val="1"/>
                <w:color w:val="auto"/>
              </w:rPr>
              <w:t>ITEM 13.</w:t>
            </w:r>
          </w:p>
        </w:tc>
        <w:tc>
          <w:tcPr>
            <w:tcW w:w="892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7"/>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14.</w:t>
            </w:r>
          </w:p>
        </w:tc>
        <w:tc>
          <w:tcPr>
            <w:tcW w:w="8920" w:type="dxa"/>
            <w:vAlign w:val="bottom"/>
          </w:tcPr>
          <w:p>
            <w:pPr>
              <w:ind w:left="100"/>
              <w:spacing w:after="0"/>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79"/>
        </w:trPr>
        <w:tc>
          <w:tcPr>
            <w:tcW w:w="1040" w:type="dxa"/>
            <w:vAlign w:val="bottom"/>
          </w:tcPr>
          <w:p>
            <w:pPr>
              <w:spacing w:after="0"/>
              <w:rPr>
                <w:sz w:val="20"/>
                <w:szCs w:val="20"/>
                <w:color w:val="auto"/>
              </w:rPr>
            </w:pPr>
            <w:r>
              <w:rPr>
                <w:rFonts w:ascii="Arial" w:cs="Arial" w:eastAsia="Arial" w:hAnsi="Arial"/>
                <w:sz w:val="24"/>
                <w:szCs w:val="24"/>
                <w:b w:val="1"/>
                <w:bCs w:val="1"/>
                <w:color w:val="auto"/>
              </w:rPr>
              <w:t>PART IV</w:t>
            </w:r>
          </w:p>
        </w:tc>
        <w:tc>
          <w:tcPr>
            <w:tcW w:w="8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4"/>
        </w:trPr>
        <w:tc>
          <w:tcPr>
            <w:tcW w:w="1040" w:type="dxa"/>
            <w:vAlign w:val="bottom"/>
          </w:tcPr>
          <w:p>
            <w:pPr>
              <w:spacing w:after="0"/>
              <w:rPr>
                <w:sz w:val="20"/>
                <w:szCs w:val="20"/>
                <w:color w:val="auto"/>
              </w:rPr>
            </w:pPr>
            <w:r>
              <w:rPr>
                <w:rFonts w:ascii="Arial" w:cs="Arial" w:eastAsia="Arial" w:hAnsi="Arial"/>
                <w:sz w:val="22"/>
                <w:szCs w:val="22"/>
                <w:b w:val="1"/>
                <w:bCs w:val="1"/>
                <w:color w:val="auto"/>
              </w:rPr>
              <w:t>ITEM 15.</w:t>
            </w:r>
          </w:p>
        </w:tc>
        <w:tc>
          <w:tcPr>
            <w:tcW w:w="8920" w:type="dxa"/>
            <w:vAlign w:val="bottom"/>
          </w:tcPr>
          <w:p>
            <w:pPr>
              <w:ind w:left="100"/>
              <w:spacing w:after="0"/>
              <w:rPr>
                <w:sz w:val="20"/>
                <w:szCs w:val="20"/>
                <w:color w:val="auto"/>
              </w:rPr>
            </w:pPr>
            <w:r>
              <w:rPr>
                <w:rFonts w:ascii="Arial" w:cs="Arial" w:eastAsia="Arial" w:hAnsi="Arial"/>
                <w:sz w:val="18"/>
                <w:szCs w:val="18"/>
                <w:color w:val="auto"/>
              </w:rPr>
              <w:t>Exhibits, Financial Statement Schedules</w:t>
            </w:r>
          </w:p>
        </w:tc>
        <w:tc>
          <w:tcPr>
            <w:tcW w:w="1460" w:type="dxa"/>
            <w:vAlign w:val="bottom"/>
          </w:tcPr>
          <w:p>
            <w:pPr>
              <w:jc w:val="right"/>
              <w:spacing w:after="0"/>
              <w:rPr>
                <w:sz w:val="20"/>
                <w:szCs w:val="20"/>
                <w:color w:val="auto"/>
              </w:rPr>
            </w:pPr>
            <w:r>
              <w:rPr>
                <w:rFonts w:ascii="Arial" w:cs="Arial" w:eastAsia="Arial" w:hAnsi="Arial"/>
                <w:sz w:val="18"/>
                <w:szCs w:val="18"/>
                <w:color w:val="auto"/>
              </w:rPr>
              <w:t>67-70</w:t>
            </w:r>
          </w:p>
        </w:tc>
      </w:tr>
      <w:tr>
        <w:trPr>
          <w:trHeight w:val="251"/>
        </w:trPr>
        <w:tc>
          <w:tcPr>
            <w:tcW w:w="1040" w:type="dxa"/>
            <w:vAlign w:val="bottom"/>
          </w:tcPr>
          <w:p>
            <w:pPr>
              <w:spacing w:after="0"/>
              <w:rPr>
                <w:sz w:val="21"/>
                <w:szCs w:val="21"/>
                <w:color w:val="auto"/>
              </w:rPr>
            </w:pPr>
          </w:p>
        </w:tc>
        <w:tc>
          <w:tcPr>
            <w:tcW w:w="8920" w:type="dxa"/>
            <w:vAlign w:val="bottom"/>
          </w:tcPr>
          <w:p>
            <w:pPr>
              <w:ind w:left="100"/>
              <w:spacing w:after="0"/>
              <w:rPr>
                <w:sz w:val="20"/>
                <w:szCs w:val="20"/>
                <w:color w:val="auto"/>
              </w:rPr>
            </w:pPr>
            <w:r>
              <w:rPr>
                <w:rFonts w:ascii="Arial" w:cs="Arial" w:eastAsia="Arial" w:hAnsi="Arial"/>
                <w:sz w:val="18"/>
                <w:szCs w:val="18"/>
                <w:color w:val="auto"/>
              </w:rPr>
              <w:t>Signatures</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9"/>
        </w:trPr>
        <w:tc>
          <w:tcPr>
            <w:tcW w:w="1040" w:type="dxa"/>
            <w:vAlign w:val="bottom"/>
          </w:tcPr>
          <w:p>
            <w:pPr>
              <w:spacing w:after="0"/>
              <w:rPr>
                <w:sz w:val="24"/>
                <w:szCs w:val="24"/>
                <w:color w:val="auto"/>
              </w:rPr>
            </w:pPr>
          </w:p>
        </w:tc>
        <w:tc>
          <w:tcPr>
            <w:tcW w:w="8920" w:type="dxa"/>
            <w:vAlign w:val="bottom"/>
          </w:tcPr>
          <w:p>
            <w:pPr>
              <w:ind w:left="462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r>
      <w:tr>
        <w:trPr>
          <w:trHeight w:val="215"/>
        </w:trPr>
        <w:tc>
          <w:tcPr>
            <w:tcW w:w="1040" w:type="dxa"/>
            <w:vAlign w:val="bottom"/>
            <w:tcBorders>
              <w:bottom w:val="single" w:sz="8" w:color="808080"/>
            </w:tcBorders>
          </w:tcPr>
          <w:p>
            <w:pPr>
              <w:spacing w:after="0"/>
              <w:rPr>
                <w:sz w:val="18"/>
                <w:szCs w:val="18"/>
                <w:color w:val="auto"/>
              </w:rPr>
            </w:pPr>
          </w:p>
        </w:tc>
        <w:tc>
          <w:tcPr>
            <w:tcW w:w="892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24"/>
          <w:szCs w:val="24"/>
          <w:b w:val="1"/>
          <w:bCs w:val="1"/>
          <w:color w:val="auto"/>
        </w:rPr>
        <w:t>PART I</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Toro Company was incorporated in Minnesota in 1935 as a successor to a business founded in 1914 and reincorporated in Delaware in 1983. Unless the context indicates otherwise, the terms "company," "Toro," "we," "us," and "our" refer to The Toro Company and its consolidated subsidiaries. Our executive offices are located at 8111 Lyndale Avenue South, Bloomington, Minnesota, 55420-1196, and our telephone number is</w:t>
      </w:r>
    </w:p>
    <w:p>
      <w:pPr>
        <w:spacing w:after="0" w:line="1" w:lineRule="exact"/>
        <w:rPr>
          <w:sz w:val="20"/>
          <w:szCs w:val="20"/>
          <w:color w:val="auto"/>
        </w:rPr>
      </w:pPr>
    </w:p>
    <w:p>
      <w:pPr>
        <w:ind w:right="20" w:firstLine="8"/>
        <w:spacing w:after="0" w:line="238" w:lineRule="auto"/>
        <w:tabs>
          <w:tab w:leader="none" w:pos="4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888-8801. Our web site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208" w:lineRule="exact"/>
        <w:rPr>
          <w:sz w:val="20"/>
          <w:szCs w:val="20"/>
          <w:color w:val="auto"/>
        </w:rPr>
      </w:pPr>
    </w:p>
    <w:p>
      <w:pPr>
        <w:ind w:right="100" w:firstLine="146"/>
        <w:spacing w:after="0" w:line="270" w:lineRule="auto"/>
        <w:rPr>
          <w:sz w:val="20"/>
          <w:szCs w:val="20"/>
          <w:color w:val="auto"/>
        </w:rPr>
      </w:pPr>
      <w:r>
        <w:rPr>
          <w:rFonts w:ascii="Arial" w:cs="Arial" w:eastAsia="Arial" w:hAnsi="Arial"/>
          <w:sz w:val="16"/>
          <w:szCs w:val="16"/>
          <w:color w:val="auto"/>
        </w:rPr>
        <w:t>We design, manufacture, and market professional turf maintenance equipment and services, turf irrigation systems, landscaping equipment and lighting, agricultural micro-irrigation systems, rental and construction equipment, and residential yard and snow removal products. We produced our first mower for golf course use in 1921 when we mounted five reel mowers on a Toro tractor, and we introduced our first lawn mower for residential use in 1935. We have continued to enhance our product lines ever since. We classify our operations into three reportable business segments: Professional, Residential, and Distribution. Our Distribution segment, which consists of our company-owned domestic distributorships, has been combined with our corporate activities and is shown as "Other." Net sales of our three reportable segments accounted for the following percentages of our consolidated net sales for fiscal 2012: Professional, 68 percent; Residential, 31 percent; and Other, 1 percent.</w:t>
      </w:r>
    </w:p>
    <w:p>
      <w:pPr>
        <w:spacing w:after="0" w:line="185" w:lineRule="exact"/>
        <w:rPr>
          <w:sz w:val="20"/>
          <w:szCs w:val="20"/>
          <w:color w:val="auto"/>
        </w:rPr>
      </w:pPr>
    </w:p>
    <w:p>
      <w:pPr>
        <w:ind w:right="200" w:firstLine="146"/>
        <w:spacing w:after="0" w:line="237" w:lineRule="auto"/>
        <w:rPr>
          <w:sz w:val="20"/>
          <w:szCs w:val="20"/>
          <w:color w:val="auto"/>
        </w:rPr>
      </w:pPr>
      <w:r>
        <w:rPr>
          <w:rFonts w:ascii="Arial" w:cs="Arial" w:eastAsia="Arial" w:hAnsi="Arial"/>
          <w:sz w:val="18"/>
          <w:szCs w:val="18"/>
          <w:color w:val="auto"/>
        </w:rPr>
        <w:t>Our products are advertised and sold at the retail level under the primary trademarks of Toro®, Exmark®, Irritrol®, Hayter®, Pope®, Unique Lighting Systems®, Lawn-Boy®, and Lawn Genie®, most of which are registered in the United States and/or in the primary countries outside the United States where we market such products. This report also contains trademarks, trade names, and service marks that are owned by other persons or entities, such as The Home Depot.</w:t>
      </w:r>
    </w:p>
    <w:p>
      <w:pPr>
        <w:spacing w:after="0" w:line="20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We emphasize quality and innovation in our products, customer service, manufacturing, and marketing. We strive to provide well-built, dependable products supported by an extensive service network. We have committed funding for research, development, and engineering in order to improve existing products and develop new products. Through these efforts, we seek to be responsive to trends that may affect our target markets now and in the future. A significant portion of our revenues have historically been, and we expect will continue to be, attributable to new and enhanced products. We define new products as those introduced in the current and previous two fiscal years. We plan to continue to pursue targeted acquisitions using a disciplined approach that adds value while considering our existing brands and product portfolio.</w:t>
      </w:r>
    </w:p>
    <w:p>
      <w:pPr>
        <w:spacing w:after="0" w:line="210" w:lineRule="exact"/>
        <w:rPr>
          <w:sz w:val="20"/>
          <w:szCs w:val="20"/>
          <w:color w:val="auto"/>
        </w:rPr>
      </w:pPr>
    </w:p>
    <w:p>
      <w:pPr>
        <w:ind w:right="300" w:firstLine="146"/>
        <w:spacing w:after="0" w:line="238" w:lineRule="auto"/>
        <w:rPr>
          <w:sz w:val="20"/>
          <w:szCs w:val="20"/>
          <w:color w:val="auto"/>
        </w:rPr>
      </w:pPr>
      <w:r>
        <w:rPr>
          <w:rFonts w:ascii="Arial" w:cs="Arial" w:eastAsia="Arial" w:hAnsi="Arial"/>
          <w:sz w:val="18"/>
          <w:szCs w:val="18"/>
          <w:color w:val="auto"/>
        </w:rPr>
        <w:t>Our purpose is to help our customers enrich the beauty, productivity, and sustainability of the land. Our mission is to be the leading worldwide provider of outdoor landscaping products, support services, and integrated systems that help customers preserve and beautify their outdoor landscapes with environmentally responsible solutions of customer-valued quality and innovation.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by Market</w:t>
      </w:r>
    </w:p>
    <w:p>
      <w:pPr>
        <w:spacing w:after="0" w:line="23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turf care maintenance, landscapes, agricultural fields, construction, and residential demands. The following is a summary of our products, by market, for the professional segment and our products for the residential segment:</w:t>
      </w:r>
    </w:p>
    <w:p>
      <w:pPr>
        <w:spacing w:after="0" w:line="186"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b w:val="1"/>
          <w:bCs w:val="1"/>
          <w:color w:val="auto"/>
        </w:rPr>
        <w:t xml:space="preserve">Professional </w:t>
      </w:r>
      <w:r>
        <w:rPr>
          <w:rFonts w:ascii="Arial" w:cs="Arial" w:eastAsia="Arial" w:hAnsi="Arial"/>
          <w:sz w:val="18"/>
          <w:szCs w:val="18"/>
          <w:color w:val="auto"/>
        </w:rPr>
        <w:t>– We design professional turf, landscape, construction, and agricultural products and market them worldwide through a network of</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distributors and dealers as well as directly to government customers, rental companies, and large retailers. These channel partners then sell our products primarily to professional users engaged in creating and renovating landscapes; irrigating turf and agricultural fields; installing, repairing, and replacing underground utilities; and maintaining turf, such as golf courses, sports fields, municipal properties, and residential and commercial landscapes.</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Landscape Contractor Market. </w:t>
      </w:r>
      <w:r>
        <w:rPr>
          <w:rFonts w:ascii="Arial" w:cs="Arial" w:eastAsia="Arial" w:hAnsi="Arial"/>
          <w:sz w:val="18"/>
          <w:szCs w:val="18"/>
          <w:color w:val="auto"/>
        </w:rPr>
        <w:t>Products for the landscape contractor market include zero-turn radius riding mowers, heavy-duty walk behind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mowers, mid-size walk behind mowers, stand-on mowers, and turf renovation and tree care equipment. We market products to landscape contractors under the Toro and Exmark brands. In fiscal 2012, we introduced the new Z Master® Commercial 2000 Series mower, featuring our exclusive TURBO FORCE® cutting decks, integrated pump, and wheel motors designed for professional results, performance, and durability. In fiscal 2012, we also introduced the new Exmark Quest® S-Series 50" mower, which is engineered using many of the same elements and features we use in our larger commercial-grade mowers, featuring a hydrostatic drive system and zero-turn radius technology. Additionally, in fiscal 2012 we introduced the new Exmark Pioneer® S-Series 60" mower, featuring a patented cutting deck designed to yield professional results and improve cutting efficiency.</w:t>
      </w:r>
    </w:p>
    <w:p>
      <w:pPr>
        <w:spacing w:after="0" w:line="19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Sports Fields and Grounds Market. </w:t>
      </w:r>
      <w:r>
        <w:rPr>
          <w:rFonts w:ascii="Arial" w:cs="Arial" w:eastAsia="Arial" w:hAnsi="Arial"/>
          <w:sz w:val="18"/>
          <w:szCs w:val="18"/>
          <w:color w:val="auto"/>
        </w:rPr>
        <w:t>Products for the sports fields and grounds market include riding rotary mowers and attachments, aerators,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debris management products, which include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3" w:name="page4"/>
    <w:bookmarkEnd w:id="3"/>
    <w:p>
      <w:pPr>
        <w:ind w:right="20"/>
        <w:spacing w:after="0" w:line="238" w:lineRule="auto"/>
        <w:rPr>
          <w:sz w:val="20"/>
          <w:szCs w:val="20"/>
          <w:color w:val="auto"/>
        </w:rPr>
      </w:pPr>
      <w:r>
        <w:rPr>
          <w:rFonts w:ascii="Arial" w:cs="Arial" w:eastAsia="Arial" w:hAnsi="Arial"/>
          <w:sz w:val="18"/>
          <w:szCs w:val="18"/>
          <w:color w:val="auto"/>
        </w:rPr>
        <w:t>versatile debris vacuums, blowers, and sweepers. Other products include multipurpose vehicles, such as the Toro Workman®, that can be used for turf maintenance, towing, and industrial hauling. These products are sold through distributors, who then sell to owners and/or managers of sports fields, governmental properties, and residential and commercial landscapes.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Golf Market. </w:t>
      </w:r>
      <w:r>
        <w:rPr>
          <w:rFonts w:ascii="Arial" w:cs="Arial" w:eastAsia="Arial" w:hAnsi="Arial"/>
          <w:sz w:val="18"/>
          <w:szCs w:val="18"/>
          <w:color w:val="auto"/>
        </w:rPr>
        <w:t>Products for the golf course market include large reel and rotary riding products for fairway, rough and trim cutting; riding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walking mowers for putting greens and specialty areas; greens rollers; turf sprayer equipment; utility vehicles; aeration equipment; and bunker maintenance equipment. In late fiscal 2011, we introduced the Greensmaster eFlex, which utilizes lithium-ion battery technology in conjunction with superior cutting performance intended to combine to deliver a highly efficient, extremely quiet, no carbon emissions greens mower. In fiscal 2012, we also introduced the GreensPro™ 1200, a riding greens roller that is designed to improve the playing conditions of fine turf surfaces, such as golf greens and turf tennis courts.</w:t>
      </w:r>
    </w:p>
    <w:p>
      <w:pPr>
        <w:spacing w:after="0" w:line="210" w:lineRule="exact"/>
        <w:rPr>
          <w:sz w:val="20"/>
          <w:szCs w:val="20"/>
          <w:color w:val="auto"/>
        </w:rPr>
      </w:pPr>
    </w:p>
    <w:p>
      <w:pPr>
        <w:ind w:right="120" w:firstLine="146"/>
        <w:spacing w:after="0" w:line="268" w:lineRule="auto"/>
        <w:rPr>
          <w:sz w:val="20"/>
          <w:szCs w:val="20"/>
          <w:color w:val="auto"/>
        </w:rPr>
      </w:pPr>
      <w:r>
        <w:rPr>
          <w:rFonts w:ascii="Arial" w:cs="Arial" w:eastAsia="Arial" w:hAnsi="Arial"/>
          <w:sz w:val="16"/>
          <w:szCs w:val="16"/>
          <w:color w:val="auto"/>
        </w:rPr>
        <w:t>We also manufacture and market underground irrigation systems for the golf course market, including sprinkler heads, controllers, turf sensors, and electric, battery-operated, and hydraulic valves. These irrigation systems are designed to use computerized management systems and a variety of other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combines modular flexibility, ease of use, and increased control in a single controller with programming to the individual station level that supports station-based flow management. Our Turf Guard® wireless soil monitoring systems are designed to measure soil moisture, salinity, and temperature through buried wireless sensors that communicate through an Internet server for processing and presentation to a user through the web. Our R Series conversion assemblies enable the upgrade of select competitive sprinklers to our patented technologies, such as our TruJectory™ sprinklers with adjustable height of spray capability. Our popular Lynx® central control system allows superintendents to control the irrigation of their course from a web-enabled device, or via our National Support Network, which provides remote troubleshooting.</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Residential/Commercial Irrigation and Lighting Market. </w:t>
      </w:r>
      <w:r>
        <w:rPr>
          <w:rFonts w:ascii="Arial" w:cs="Arial" w:eastAsia="Arial" w:hAnsi="Arial"/>
          <w:sz w:val="18"/>
          <w:szCs w:val="18"/>
          <w:color w:val="auto"/>
        </w:rPr>
        <w:t>Turf irrigation products marketed under the Toro and Irritrol brands include rotors;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sprinkler bodies and nozzles; plastic, brass, and hydraulic valves; drip tubing and subsurface irrigation; electric control devices; and wired and wireless rain, freeze, climate, and soil sensors. These products are designed for use in residential and commercial turf irrigation applications and can be installed into new systems or used to replace or retrofit existing systems. Most of the product lines are designed for professionally installed, underground automatic irrigation. Electric controllers activate hydraulic valves and sprinklers in a typical irrigation system. Our Irritrol Climate Logic® smart device automatically adjusts irrigation system watering times based on real-time weather data from an on-site sensor combined with historical averages, while our award-winning Toro Precision™ Soil Sensor wirelessly transmits soil moisture content to any modern day irrigation controller and signals whether or not a watering cycle is needed. In fiscal 2012, both the Toro and Irritrol brands achieved Environmental Protection Agency ("EPA") WaterSense certification for numerous irrigation controller families and models.</w:t>
      </w:r>
    </w:p>
    <w:p>
      <w:pPr>
        <w:spacing w:after="0" w:line="212" w:lineRule="exact"/>
        <w:rPr>
          <w:sz w:val="20"/>
          <w:szCs w:val="20"/>
          <w:color w:val="auto"/>
        </w:rPr>
      </w:pPr>
    </w:p>
    <w:p>
      <w:pPr>
        <w:ind w:firstLine="146"/>
        <w:spacing w:after="0" w:line="281" w:lineRule="auto"/>
        <w:rPr>
          <w:sz w:val="20"/>
          <w:szCs w:val="20"/>
          <w:color w:val="auto"/>
        </w:rPr>
      </w:pPr>
      <w:r>
        <w:rPr>
          <w:rFonts w:ascii="Arial" w:cs="Arial" w:eastAsia="Arial" w:hAnsi="Arial"/>
          <w:sz w:val="16"/>
          <w:szCs w:val="16"/>
          <w:color w:val="auto"/>
        </w:rPr>
        <w:t>Our retail irrigation products are marketed under the Toro and Lawn Genie brand names. These products are designed for homeowner installation and include sprinkler heads, valves, timers, sensors, and drip irrigation systems. The XTRA SMART® ECXTRA™ sprinkler timer and its intuitive, online Scheduling Advisor™ recommends the proper watering schedule based on the local weather, plant type, and sprinkler type.</w:t>
      </w:r>
    </w:p>
    <w:p>
      <w:pPr>
        <w:spacing w:after="0" w:line="178"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We manufacture and market lighting products under the Unique Lighting Systems brand name consisting of a line of high quality, professionally installed lighting fixtures and transformers for residential and commercial landscapes. Our lighting product line is offered through distributors and landscape contractors that also purchase our irrigation products. In fiscal 2012, we introduced the new line of </w:t>
      </w:r>
      <w:r>
        <w:rPr>
          <w:rFonts w:ascii="Arial" w:cs="Arial" w:eastAsia="Arial" w:hAnsi="Arial"/>
          <w:sz w:val="18"/>
          <w:szCs w:val="18"/>
          <w:i w:val="1"/>
          <w:iCs w:val="1"/>
          <w:color w:val="auto"/>
        </w:rPr>
        <w:t>FLEX</w:t>
      </w:r>
      <w:r>
        <w:rPr>
          <w:rFonts w:ascii="Arial" w:cs="Arial" w:eastAsia="Arial" w:hAnsi="Arial"/>
          <w:sz w:val="18"/>
          <w:szCs w:val="18"/>
          <w:color w:val="auto"/>
        </w:rPr>
        <w:t>™ Series drop-in LED lamps featuring our Thermal Management System, which is scientifically designed to dissipate heat for a long life LED while substantially reducing energy consumption and maintenance costs in applications where high quality lighting is desired.</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Micro-Irrigation Market. </w:t>
      </w:r>
      <w:r>
        <w:rPr>
          <w:rFonts w:ascii="Arial" w:cs="Arial" w:eastAsia="Arial" w:hAnsi="Arial"/>
          <w:sz w:val="18"/>
          <w:szCs w:val="18"/>
          <w:color w:val="auto"/>
        </w:rPr>
        <w:t>Products for the micro-irrigation market include products that regulate the flow of water for drip irrigation,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Aqua-Traxx® PBX drip tape, Aqua-Traxx® PC (pressure-compensating) drip tape, Blue Stripe® polyethylene tubing, BlueLine® drip line, and NGE® emitters, all used in agriculture, mining, and landscape applications. In addition to these core products, we offer a full complement of control devices and connection options to complete the system. These products are sold primarily through dealers and distributors who then sell to end-users for use primarily in vegetable fields, fruit and nut orchards, vineyards, landscapes, and mines. In fiscal 2012, we introduced the Neptune™ thinwall dripline, a medium-durability dripline that enables growers to install a subsurface drip irrigation system that is designed to last for up to ten years, and allow growers of medium-length crops to adopt drip irrigation at a more economical cost than other traditional irrigation methods. Also in fiscal 2012, we began operations at our new micro-irrigation facility in Ploiesti, Romania in order to support the anticipated global growth of our micro-irrigation business and enable future capacity expansion.</w:t>
      </w:r>
    </w:p>
    <w:p>
      <w:pPr>
        <w:spacing w:after="0" w:line="19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Rental and Construction Market. </w:t>
      </w:r>
      <w:r>
        <w:rPr>
          <w:rFonts w:ascii="Arial" w:cs="Arial" w:eastAsia="Arial" w:hAnsi="Arial"/>
          <w:sz w:val="18"/>
          <w:szCs w:val="18"/>
          <w:color w:val="auto"/>
        </w:rPr>
        <w:t>Products for the rental market include compact utility loaders, walk-behind trenchers, stump grinders, and tree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care and turf renovation products, many of which are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ind w:right="40"/>
        <w:spacing w:after="0" w:line="269" w:lineRule="auto"/>
        <w:rPr>
          <w:sz w:val="20"/>
          <w:szCs w:val="20"/>
          <w:color w:val="auto"/>
        </w:rPr>
      </w:pPr>
      <w:r>
        <w:rPr>
          <w:rFonts w:ascii="Arial" w:cs="Arial" w:eastAsia="Arial" w:hAnsi="Arial"/>
          <w:sz w:val="16"/>
          <w:szCs w:val="16"/>
          <w:color w:val="auto"/>
        </w:rPr>
        <w:t>also sold to landscape contractors. Our compact utility loaders are the cornerstone products for our Toro Sitework Systems business, which are designed to improve the efficiency in creation and renovation of landscapes. We offer over 35 attachments for our compact utility loaders, including trenchers, augers, vibratory plows, and backhoes. Our Toro Sitework Systems business also offers a line of turf renovation equipment, including aerators, seeders, and power rakes. In fiscal 2012, we introduced the 30" Dual Hydro Ride-On aerator, which features zero-turn maneuverability, variable speed, and reversible traction drive. We also expanded our rental market presence with the April 2012 acquisition of a line of products featuring concrete and mortar mixers, material handlers, compaction equipment, and other concrete power tools. In February 2012, we also entered the construction market with the acquisition of an equipment line of vibratory plows, trenchers, and horizontal directional drills, all of which are used in the installation, repair, and replacement of underground utilities with minimal impact on surrounding landscapes or structures.</w:t>
      </w:r>
    </w:p>
    <w:p>
      <w:pPr>
        <w:spacing w:after="0" w:line="165"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b w:val="1"/>
          <w:bCs w:val="1"/>
          <w:color w:val="auto"/>
        </w:rPr>
        <w:t xml:space="preserve">Residential </w:t>
      </w:r>
      <w:r>
        <w:rPr>
          <w:rFonts w:ascii="Arial" w:cs="Arial" w:eastAsia="Arial" w:hAnsi="Arial"/>
          <w:sz w:val="16"/>
          <w:szCs w:val="16"/>
          <w:color w:val="auto"/>
        </w:rPr>
        <w:t>– We market our residential products to homeowners through a variety of distribution channels, including outdoor power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dealers, hardware retailers, home centers, mass retailers, and over the Internet. These products are sold mainly in North America, Europe, and Australia, with the exception of snow removal products that are sold primarily in North America and Europe. We also license our trade name to other manufacturers and retailers on certain riding and home solutions products as a means of expanding our brand presence.</w:t>
      </w:r>
    </w:p>
    <w:p>
      <w:pPr>
        <w:spacing w:after="0" w:line="154" w:lineRule="exact"/>
        <w:rPr>
          <w:sz w:val="20"/>
          <w:szCs w:val="20"/>
          <w:color w:val="auto"/>
        </w:rPr>
      </w:pPr>
    </w:p>
    <w:p>
      <w:pPr>
        <w:ind w:right="180"/>
        <w:spacing w:after="0"/>
        <w:rPr>
          <w:sz w:val="20"/>
          <w:szCs w:val="20"/>
          <w:color w:val="auto"/>
        </w:rPr>
      </w:pPr>
      <w:r>
        <w:rPr>
          <w:rFonts w:ascii="Arial" w:cs="Arial" w:eastAsia="Arial" w:hAnsi="Arial"/>
          <w:sz w:val="18"/>
          <w:szCs w:val="18"/>
          <w:b w:val="1"/>
          <w:bCs w:val="1"/>
          <w:i w:val="1"/>
          <w:iCs w:val="1"/>
          <w:color w:val="auto"/>
        </w:rPr>
        <w:t xml:space="preserve">Walk Power Mower Products. </w:t>
      </w:r>
      <w:r>
        <w:rPr>
          <w:rFonts w:ascii="Arial" w:cs="Arial" w:eastAsia="Arial" w:hAnsi="Arial"/>
          <w:sz w:val="18"/>
          <w:szCs w:val="18"/>
          <w:color w:val="auto"/>
        </w:rPr>
        <w:t>We manufacture and market numerous walk power mower models under our Toro and Lawn-Boy brand names,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Pope brand in Australia and the Hayter brand in the United Kingdom. Models differ as to cutting width, type of starter mechanism, method of grass clipping discharge, deck type, operational controls, and power sources, and are either self-propelled or push mowers. We also offer a line of rear-roller walk power mowers, a design that provides a striped finish, for the United Kingdom market. In fiscal 2012, we introduced the TimeMaster® walk power mower featuring a 30" deck with a dual blade timed cutting system and a Quick-Stow lever, which are designed to work together to reduce the amount of time spent mowing while allowing for easy compact storage.</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Riding Products. </w:t>
      </w:r>
      <w:r>
        <w:rPr>
          <w:rFonts w:ascii="Arial" w:cs="Arial" w:eastAsia="Arial" w:hAnsi="Arial"/>
          <w:sz w:val="18"/>
          <w:szCs w:val="18"/>
          <w:color w:val="auto"/>
        </w:rPr>
        <w:t>We manufacture and market riding products under the Toro brand name. Riding products primarily consist of zero-turn radius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mowers that are designed to save homeowners time by using superior maneuverability to cut around obstacles more quickly and easily than tractor technology. Our TimeCutter® SS zero-turn radius mowers are equipped with our innovative Smart Speed® control system, which is designed to allow the operator to choose different ground speed ranges with the flip of a lever and without changing the blade or engine speed. In fiscal 2012, we introduced the TimeCutter® MX zero-turn radius mower featuring the speed and agility of the TimeCutter® SS with a heavy-duty fabricated deck design and a larger transmission. We also sell lawn and garden tractor riding products, as well as rear engine and direct-collect riding mowers that are manufactured and sold in the European market. Many models of our riding products are available with a variety of engines, decks, transmissions, and accessories.</w:t>
      </w:r>
    </w:p>
    <w:p>
      <w:pPr>
        <w:spacing w:after="0" w:line="195"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Home Solutions Products. </w:t>
      </w:r>
      <w:r>
        <w:rPr>
          <w:rFonts w:ascii="Arial" w:cs="Arial" w:eastAsia="Arial" w:hAnsi="Arial"/>
          <w:sz w:val="18"/>
          <w:szCs w:val="18"/>
          <w:color w:val="auto"/>
        </w:rPr>
        <w:t>We design and market home solutions products under the Toro and Pope brand names, including electric,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cordless grass trimmers, electric and cordless hedge trimmers, electric and gas blower-vacuums, and electric snow throwers. In Australia, we also design and market underground and hose-end retail irrigation products under the Pope brand name. In fiscal 2012, we introduced a new line of lithium-ion battery powered cordless grass and hedge trimmers which require no gas or oil and are virtually maintenance free. In fiscal 2012, we also introduced the 1500 Power Curve® electric snow thrower featuring Qwik-Key starting mechanism and intuitive controls while weighing just 25 pounds, making it easy to use and maneuver.</w:t>
      </w:r>
    </w:p>
    <w:p>
      <w:pPr>
        <w:spacing w:after="0" w:line="19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i w:val="1"/>
          <w:iCs w:val="1"/>
          <w:color w:val="auto"/>
        </w:rPr>
        <w:t xml:space="preserve">Gas Snow Removal Products. </w:t>
      </w:r>
      <w:r>
        <w:rPr>
          <w:rFonts w:ascii="Arial" w:cs="Arial" w:eastAsia="Arial" w:hAnsi="Arial"/>
          <w:sz w:val="18"/>
          <w:szCs w:val="18"/>
          <w:color w:val="auto"/>
        </w:rPr>
        <w:t>We manufacture and market a range of gas-powered single-stage and two-stage snow thrower models. Single-stage snow throwers are walk behind units with lightweight four-cycle gasoline engines. Most single-stage snow thrower models include Power Curve® snow thrower technology and some feature our Quick Shoot™ control system that enables operators to quickly change snow-throwing direction. Our innovative pivoting scraper is designed to keep the rotor in constant contact with the pavement. Our two-stage snow throwers are generally designed for relatively large areas of deep, heavy snow and use four-cycle engines. Our two-stage snow throwers include a line of innovative models featuring our patented Anti-Clogging System and Quick Stick® chute control technology. In fiscal 2012, we enhanced our portfolio of two-stage snow throwers by introducing a new line of Power Max® snow throwers featuring a unique one-piece frame designed to provide maximum strength and durability.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International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Business Segments</w:t>
      </w:r>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currently manufacture our products in the United States, Mexico, Australia, the United Kingdom, Italy, and Romania for sale throughout the world. We maintain sales offices in the United States, Belgium, the United Kingdom, France, Australia, Singapore, Japan, China, Italy, Korea, and Germany. New product development is pursued primarily in the United States. Our net sales outside the United States were 30.3 percent, 32.3 percent, and 31.8 percent of total consolidated net sales for fiscal 2012, 2011, and 2010, respectively.</w:t>
      </w:r>
    </w:p>
    <w:p>
      <w:pPr>
        <w:spacing w:after="0" w:line="209" w:lineRule="exact"/>
        <w:rPr>
          <w:sz w:val="20"/>
          <w:szCs w:val="20"/>
          <w:color w:val="auto"/>
        </w:rPr>
      </w:pPr>
    </w:p>
    <w:p>
      <w:pPr>
        <w:ind w:right="180" w:firstLine="137"/>
        <w:spacing w:after="0" w:line="239"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ind w:right="40"/>
        <w:spacing w:after="0" w:line="237" w:lineRule="auto"/>
        <w:rPr>
          <w:sz w:val="20"/>
          <w:szCs w:val="20"/>
          <w:color w:val="auto"/>
        </w:rPr>
      </w:pPr>
      <w:r>
        <w:rPr>
          <w:rFonts w:ascii="Arial" w:cs="Arial" w:eastAsia="Arial" w:hAnsi="Arial"/>
          <w:sz w:val="18"/>
          <w:szCs w:val="18"/>
          <w:color w:val="auto"/>
        </w:rPr>
        <w:t>contracts for select transactions. For additional information regarding our foreign currency exchange contracts, see Part II, Item 7A, "Quantitative and Qualitative Disclosures about Market Risk" of this report. For additional financial information regarding our international operations and each of our three reportable business segments, see Note 12 of the Notes to Consolidated Financial Statements, in the section entitled "Segment Data," included in Part II, Item 8, "Financial Statements and Supplementary Data" of this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Research</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these risks through our focus on and commitment to understanding our customers' needs and requirements. We invest time upfront with customers, using "Voice of the Customer" tools, to help us develop innovative products that are intended to meet or exceed customer expectations. We use Design for Manufacturing and Assembly ("DFM/A") tools to ensure early manufacturing involvement in new product designs intended to reduce production costs. DFM/A focuses on reducing the number of parts required to assemble new products, as well as designing products to move more efficiently through the manufacturing process. We strive to make improvements to our new product development system as part of our continuing focus on Lean methods to shorten development time, reduce costs, and improve quality.</w:t>
      </w:r>
    </w:p>
    <w:p>
      <w:pPr>
        <w:spacing w:after="0" w:line="215"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$60.1 million (3.1 percent of net sales) in fiscal 2012, $57.0 million (3.0 percent of net sales) in fiscal 2011, and $53.3 million (3.2 percent of net sales) in fiscal 2010.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Production</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some areas of our business we serve as a fully integrated manufacturer, while in others we are primarily an assembler.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in the design and production of component parts. Manufacturing operations include robotic and computer-automated equipment to speed production, reduce costs, and improve the quality, fit, and finish of our products. Operations are also designed to be flexible enough to accommodate product design changes that are necessary to respond to market demand.</w:t>
      </w:r>
    </w:p>
    <w:p>
      <w:pPr>
        <w:spacing w:after="0" w:line="209" w:lineRule="exact"/>
        <w:rPr>
          <w:sz w:val="20"/>
          <w:szCs w:val="20"/>
          <w:color w:val="auto"/>
        </w:rPr>
      </w:pPr>
    </w:p>
    <w:p>
      <w:pPr>
        <w:ind w:right="200" w:firstLine="146"/>
        <w:spacing w:after="0" w:line="236" w:lineRule="auto"/>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also have flexible assembly lines that can handle a wide product mix and deliver products to meet customer demand. Additionally, we spend considerable effort to reduce manufacturing costs through Lean methods and process improvement, product and platform design, application of advanced technologies, enhanced environmental management systems, SKU consolidation, safety improvements, and improved supply-chain management. We also have agreements with other third party manufacturers to manufacture products on our behalf.</w:t>
      </w:r>
    </w:p>
    <w:p>
      <w:pPr>
        <w:spacing w:after="0" w:line="210" w:lineRule="exact"/>
        <w:rPr>
          <w:sz w:val="20"/>
          <w:szCs w:val="20"/>
          <w:color w:val="auto"/>
        </w:rPr>
      </w:pPr>
    </w:p>
    <w:p>
      <w:pPr>
        <w:ind w:right="280" w:firstLine="146"/>
        <w:spacing w:after="0" w:line="23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removal products are generally manufactured in the summer and fall months but may be extended into the winter months depending upon demand. Our products are tested in conditions and locations similar to those in which they are used. We use computer-aided design and manufacturing systems to shorten the time between initial concept and final production. DFM/A principles are used throughout the product development process to optimize product quality and cost.</w:t>
      </w:r>
    </w:p>
    <w:p>
      <w:pPr>
        <w:spacing w:after="0" w:line="211" w:lineRule="exact"/>
        <w:rPr>
          <w:sz w:val="20"/>
          <w:szCs w:val="20"/>
          <w:color w:val="auto"/>
        </w:rPr>
      </w:pPr>
    </w:p>
    <w:p>
      <w:pPr>
        <w:ind w:right="80" w:firstLine="146"/>
        <w:spacing w:after="0" w:line="275" w:lineRule="auto"/>
        <w:rPr>
          <w:sz w:val="20"/>
          <w:szCs w:val="20"/>
          <w:color w:val="auto"/>
        </w:rPr>
      </w:pPr>
      <w:r>
        <w:rPr>
          <w:rFonts w:ascii="Arial" w:cs="Arial" w:eastAsia="Arial" w:hAnsi="Arial"/>
          <w:sz w:val="16"/>
          <w:szCs w:val="16"/>
          <w:color w:val="auto"/>
        </w:rPr>
        <w:t>Our production levels and inventory management goals are based on estimates of retail demand for our products, taking into account production capacity, timing of shipments, and field inventory levels. In fiscal 2012, our production system utilized Kanban, supplier pull, and build-to-order methodologies in our manufacturing facilities as appropriate for the business units they support in order to better align the production of our products to meet customer demand. This has resulted in improved service levels for our participating suppliers, distributors, and dealers.</w:t>
      </w:r>
    </w:p>
    <w:p>
      <w:pPr>
        <w:spacing w:after="0" w:line="183" w:lineRule="exact"/>
        <w:rPr>
          <w:sz w:val="20"/>
          <w:szCs w:val="20"/>
          <w:color w:val="auto"/>
        </w:rPr>
      </w:pPr>
    </w:p>
    <w:p>
      <w:pPr>
        <w:ind w:right="240" w:firstLine="146"/>
        <w:spacing w:after="0" w:line="238" w:lineRule="auto"/>
        <w:rPr>
          <w:sz w:val="20"/>
          <w:szCs w:val="20"/>
          <w:color w:val="auto"/>
        </w:rPr>
      </w:pPr>
      <w:r>
        <w:rPr>
          <w:rFonts w:ascii="Arial" w:cs="Arial" w:eastAsia="Arial" w:hAnsi="Arial"/>
          <w:sz w:val="18"/>
          <w:szCs w:val="18"/>
          <w:color w:val="auto"/>
        </w:rPr>
        <w:t>We periodically shut down production at our manufacturing facilities in order to allow for maintenance, rearrangement, capital equipment installation, and as needed, to adjust for market demand. Capital expenditures for fiscal 2013 are planned to be approximately $60 million as we expect to continue to invest in new product tooling and replacement production equipment, as well as expansion of facilities.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fiscal 2012, we experienced higher average commodity costs compared to the average prices paid for commodities in fiscal 2011, which hampered our gross margin growth rate in fiscal 2012 as compared to fiscal 2011. We anticipate that some of the increased commodity prices we experienced during fiscal 2012 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ind w:right="20"/>
        <w:spacing w:after="0" w:line="238" w:lineRule="auto"/>
        <w:rPr>
          <w:sz w:val="20"/>
          <w:szCs w:val="20"/>
          <w:color w:val="auto"/>
        </w:rPr>
      </w:pPr>
      <w:r>
        <w:rPr>
          <w:rFonts w:ascii="Arial" w:cs="Arial" w:eastAsia="Arial" w:hAnsi="Arial"/>
          <w:sz w:val="18"/>
          <w:szCs w:val="18"/>
          <w:color w:val="auto"/>
        </w:rPr>
        <w:t>continue into fiscal 2013. Historically, we have mitigated, and we currently expect to continue to mitigate, commodity cost increases in part by engaging in proactive vendor negotiations, reviewing alternative sourcing options, substituting materials, engaging in internal cost reduction efforts, and increasing prices on some of our products, all as appropriate.</w:t>
      </w:r>
    </w:p>
    <w:p>
      <w:pPr>
        <w:spacing w:after="0" w:line="208" w:lineRule="exact"/>
        <w:rPr>
          <w:sz w:val="20"/>
          <w:szCs w:val="20"/>
          <w:color w:val="auto"/>
        </w:rPr>
      </w:pPr>
    </w:p>
    <w:p>
      <w:pPr>
        <w:ind w:right="60" w:firstLine="146"/>
        <w:spacing w:after="0" w:line="237" w:lineRule="auto"/>
        <w:rPr>
          <w:sz w:val="20"/>
          <w:szCs w:val="20"/>
          <w:color w:val="auto"/>
        </w:rPr>
      </w:pPr>
      <w:r>
        <w:rPr>
          <w:rFonts w:ascii="Arial" w:cs="Arial" w:eastAsia="Arial" w:hAnsi="Arial"/>
          <w:sz w:val="18"/>
          <w:szCs w:val="18"/>
          <w:color w:val="auto"/>
        </w:rPr>
        <w:t>Most of the components of our products are also affected by commodity cost pressures and are commercially available from a number of sources. In fiscal 2012, we experienced no significant work stoppages because of shortages of raw materials or commodities. The highest raw material and component costs are generally for steel, engines, hydraulic components, transmissions, plastic resin, and electric motors, all of which we purchase from several suppliers around the world.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Warranty</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Our products are warranted to ensure customer confidence in design, workmanship, and overall quality. Warranty coverage is generally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our prescribed standards. Warranty expense is accrued at the time of sale based on the type and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Service support outside of the warranty period is provided by authorized distributors and dealers at the customer's expense. We sell extended warranty coverage on select products for a prescribed period after the original warranty period expires.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rigorous product safety standards and continually work to improve the safety and reliability of our products. We monitor for accidents and possible claims and establish liability estimates based on internal evaluations of the merits of individual claims. We purchase excess insurance coverage for catastrophic product liability claims for incidents that exceed our self-insured retention levels.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own patents, trademarks, and trade secrets related to our products in the United States and certain countries outside the United States in which we conduct business. We expect to apply for future patents and trademarks, as appropriate, in connection with the development of innovative new products, services, and enhancements. Although we believe that, in the aggregate, our patents are valuable, and patent protection is beneficial to our business and competitive positioning, our patent protection will not necessarily deter or prevent competitors from attempting to develop similar products. We are not materially dependent on any one or more of our patents. However, certain Toro trademarks that contribute to our identity and the recognition of our products and services, including the Toro® name and logo, are an integral part of our business, and their loss could have a material adverse effect on our business and operating results.</w:t>
      </w:r>
    </w:p>
    <w:p>
      <w:pPr>
        <w:spacing w:after="0" w:line="209"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We regularly review certain patents issued by the United States Patent and Trademark Office ("USPTO") and international patent offices to prevent possible infringement of our patents by others. Additionally, we periodically review competitors' products to help avoid potential liability with respect to others' patents. We believe these activities help us minimize our risk of being a defendant in patent infringement litigation. We are currently involved in patent litigation cases where we are asserting our patents against competitors and defending against patent infringement assertions by others.</w:t>
      </w:r>
    </w:p>
    <w:p>
      <w:pPr>
        <w:spacing w:after="0" w:line="211"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Similarly, we periodically monitor various trademark registers and the market to prevent infringement of and damage to our trademarks by others. We are currently involved in trademark oppositions where we are asserting our trademarks against third parties who are attempting to establish rights in trademarks that are confusingly similar to ours. We believe these activities help minimize risk of harm to our trademarks, and help maintain distinct products and services that we believe are well regarded in the marketplace.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Sales of our residential products, which accounted for 31 percent of total consolidated net sales in fiscal 2012, are seasonal, with sales of lawn and garden products occurring primarily between February and May, depending upon seasonal weather conditions and demand for our products. Sales of snow removal products occur primarily between July and January, depending upon seasonal snow falls, product availability, and demand for our snow removal products. Opposite seasons in global markets in which we sell our products somewhat moderate this seasonality of our residential product sales. Seasonality of professional product sales also exists, but is tempered because the selling season in the Southern U.S. and in our markets in the Southern hemisphere continues for a longer portion of the year than in Northern regions of the world.</w:t>
      </w:r>
    </w:p>
    <w:p>
      <w:pPr>
        <w:spacing w:after="0" w:line="185" w:lineRule="exact"/>
        <w:rPr>
          <w:sz w:val="20"/>
          <w:szCs w:val="20"/>
          <w:color w:val="auto"/>
        </w:rPr>
      </w:pPr>
    </w:p>
    <w:p>
      <w:pPr>
        <w:ind w:right="400" w:firstLine="146"/>
        <w:spacing w:after="0" w:line="237"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Typically, accounts receivable balances increase between January and April because of higher sales volumes and extended payment terms made available to our customers. Accounts receivable balances typically decrease between May and December when payments are received. Our financing requirements are subject to variations due to seasonal changes in</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7" w:name="page8"/>
    <w:bookmarkEnd w:id="7"/>
    <w:p>
      <w:pPr>
        <w:ind w:right="180"/>
        <w:spacing w:after="0" w:line="239" w:lineRule="auto"/>
        <w:rPr>
          <w:sz w:val="20"/>
          <w:szCs w:val="20"/>
          <w:color w:val="auto"/>
        </w:rPr>
      </w:pPr>
      <w:r>
        <w:rPr>
          <w:rFonts w:ascii="Arial" w:cs="Arial" w:eastAsia="Arial" w:hAnsi="Arial"/>
          <w:sz w:val="18"/>
          <w:szCs w:val="18"/>
          <w:color w:val="auto"/>
        </w:rPr>
        <w:t>working capital levels, which typically increase in the first half of our fiscal year and decrease in the second half of our fiscal year. Seasonal cash requirements of our business are financed from a combination of cash balances, cash flows from operations, and our bank credit lines.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149860</wp:posOffset>
            </wp:positionV>
            <wp:extent cx="6972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72300" cy="8890"/>
                    </a:xfrm>
                    <a:prstGeom prst="rect">
                      <a:avLst/>
                    </a:prstGeom>
                    <a:noFill/>
                  </pic:spPr>
                </pic:pic>
              </a:graphicData>
            </a:graphic>
          </wp:anchor>
        </w:drawing>
      </w:r>
    </w:p>
    <w:p>
      <w:pPr>
        <w:spacing w:after="0" w:line="27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4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2012</w:t>
            </w:r>
          </w:p>
        </w:tc>
        <w:tc>
          <w:tcPr>
            <w:tcW w:w="320" w:type="dxa"/>
            <w:vAlign w:val="bottom"/>
          </w:tcPr>
          <w:p>
            <w:pPr>
              <w:spacing w:after="0"/>
              <w:rPr>
                <w:sz w:val="17"/>
                <w:szCs w:val="17"/>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Fiscal 2011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Net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6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96"/>
        </w:trPr>
        <w:tc>
          <w:tcPr>
            <w:tcW w:w="784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Sales</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Sales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22%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16%</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35</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53</w:t>
            </w:r>
          </w:p>
        </w:tc>
        <w:tc>
          <w:tcPr>
            <w:tcW w:w="680" w:type="dxa"/>
            <w:vAlign w:val="bottom"/>
          </w:tcPr>
          <w:p>
            <w:pPr>
              <w:ind w:left="260"/>
              <w:spacing w:after="0"/>
              <w:rPr>
                <w:sz w:val="20"/>
                <w:szCs w:val="20"/>
                <w:color w:val="auto"/>
              </w:rPr>
            </w:pPr>
            <w:r>
              <w:rPr>
                <w:rFonts w:ascii="Arial" w:cs="Arial" w:eastAsia="Arial" w:hAnsi="Arial"/>
                <w:sz w:val="14"/>
                <w:szCs w:val="14"/>
                <w:color w:val="auto"/>
              </w:rPr>
              <w:t>33</w:t>
            </w: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7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26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31</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17</w:t>
            </w: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0</w:t>
            </w: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Weather</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From time to time, weather conditions in particular geographic regions or markets may adversely or positively affect sales of some of our products and field inventory levels and result in a negative or positive impact on our future net sales. If the percentage of our net sales from outside the United States increases, our dependency on weather in any one part of the world decreases. Nonetheless, weather conditions could materially affect our future net sales.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fund our operations through a combination of cash and cash equivalents, cash flows from operations, short-term borrowings under our credit facilities, and long-term debt. Cash management is centralized and intercompany financing is used, wherever possible, to provide working capital to wholly owned subsidiaries as needed. In addition, our credit facilities are available for additional working capital needs, acquisitions, or other investment opportunities.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market the majority of our products through approximately 40 domestic and 120 international distributors, as well as a large number of outdoor power equipment dealers, hardware retailers, home centers, and mass retailers in more than 90 countries worldwide.</w:t>
      </w:r>
    </w:p>
    <w:p>
      <w:pPr>
        <w:spacing w:after="0" w:line="209" w:lineRule="exact"/>
        <w:rPr>
          <w:sz w:val="20"/>
          <w:szCs w:val="20"/>
          <w:color w:val="auto"/>
        </w:rPr>
      </w:pPr>
    </w:p>
    <w:p>
      <w:pPr>
        <w:ind w:right="60" w:firstLine="146"/>
        <w:spacing w:after="0" w:line="236" w:lineRule="auto"/>
        <w:rPr>
          <w:sz w:val="20"/>
          <w:szCs w:val="20"/>
          <w:color w:val="auto"/>
        </w:rPr>
      </w:pPr>
      <w:r>
        <w:rPr>
          <w:rFonts w:ascii="Arial" w:cs="Arial" w:eastAsia="Arial" w:hAnsi="Arial"/>
          <w:sz w:val="18"/>
          <w:szCs w:val="18"/>
          <w:color w:val="auto"/>
        </w:rPr>
        <w:t>Professional products are sold to distributors primarily for resale to golf courses, sports fields, industrial facilities, contractors, and government customers, and in some markets for resale to dealers. We also sell some professional segment products directly to government customers and rental companies, as well as to end-users in certain international markets. Select residential/commercial irrigation and lighting products are sold to professional irrigation and lighting distributors, and certain retail irrigation products are sold directly to home centers. Products for the rental and construction market are sold to directly to dealers and large rental companies. Toro and Exmark landscape contractor products are also sold directly to dealers in certain regions of the United States.</w:t>
      </w:r>
    </w:p>
    <w:p>
      <w:pPr>
        <w:spacing w:after="0" w:line="210" w:lineRule="exact"/>
        <w:rPr>
          <w:sz w:val="20"/>
          <w:szCs w:val="20"/>
          <w:color w:val="auto"/>
        </w:rPr>
      </w:pPr>
    </w:p>
    <w:p>
      <w:pPr>
        <w:ind w:firstLine="146"/>
        <w:spacing w:after="0" w:line="273" w:lineRule="auto"/>
        <w:rPr>
          <w:sz w:val="20"/>
          <w:szCs w:val="20"/>
          <w:color w:val="auto"/>
        </w:rPr>
      </w:pPr>
      <w:r>
        <w:rPr>
          <w:rFonts w:ascii="Arial" w:cs="Arial" w:eastAsia="Arial" w:hAnsi="Arial"/>
          <w:sz w:val="16"/>
          <w:szCs w:val="16"/>
          <w:color w:val="auto"/>
        </w:rPr>
        <w:t>Residential products, such as walk power mowers, riding products, and snow throwers, are generally sold directly to home centers, dealers, hardware retailers, and mass retailers. In certain markets, these same products are sold to distributors for resale to hardware retailers and dealers. Home solutions products are primarily sold directly to home centers, mass retailers, and hardware retailers. We also sell selected residential products over the Internet. Internationally, residential products are sold directly to dealers and mass merchandisers in Australia, Canada, and select countries in Europe. In most other countries, residential products are mainly sold to distributors for resale to dealers and mass retailers.</w:t>
      </w:r>
    </w:p>
    <w:p>
      <w:pPr>
        <w:spacing w:after="0" w:line="183" w:lineRule="exact"/>
        <w:rPr>
          <w:sz w:val="20"/>
          <w:szCs w:val="20"/>
          <w:color w:val="auto"/>
        </w:rPr>
      </w:pPr>
    </w:p>
    <w:p>
      <w:pPr>
        <w:ind w:right="300" w:firstLine="146"/>
        <w:spacing w:after="0" w:line="238" w:lineRule="auto"/>
        <w:rPr>
          <w:sz w:val="20"/>
          <w:szCs w:val="20"/>
          <w:color w:val="auto"/>
        </w:rPr>
      </w:pPr>
      <w:r>
        <w:rPr>
          <w:rFonts w:ascii="Arial" w:cs="Arial" w:eastAsia="Arial" w:hAnsi="Arial"/>
          <w:sz w:val="18"/>
          <w:szCs w:val="18"/>
          <w:color w:val="auto"/>
        </w:rPr>
        <w:t>During fiscal 2012, we owned two domestic distribution companies. Our primary purposes in owning domestic distributorships are to facilitate ownership transfers while improving operations and to test and deploy new strategies and business practices that could be replicated by our independent distributors.</w:t>
      </w:r>
    </w:p>
    <w:p>
      <w:pPr>
        <w:spacing w:after="0" w:line="208" w:lineRule="exact"/>
        <w:rPr>
          <w:sz w:val="20"/>
          <w:szCs w:val="20"/>
          <w:color w:val="auto"/>
        </w:rPr>
      </w:pPr>
    </w:p>
    <w:p>
      <w:pPr>
        <w:ind w:right="100" w:firstLine="146"/>
        <w:spacing w:after="0" w:line="237" w:lineRule="auto"/>
        <w:rPr>
          <w:sz w:val="20"/>
          <w:szCs w:val="20"/>
          <w:color w:val="auto"/>
        </w:rPr>
      </w:pPr>
      <w:r>
        <w:rPr>
          <w:rFonts w:ascii="Arial" w:cs="Arial" w:eastAsia="Arial" w:hAnsi="Arial"/>
          <w:sz w:val="18"/>
          <w:szCs w:val="18"/>
          <w:color w:val="auto"/>
        </w:rPr>
        <w:t>Our distribution systems are intended to assure quality of sales and market presence, as well as to provide effective after-purchase service and support. We believe our distribution network provides a competitive advantage in marketing and selling our products, in part, because our primary distribution network is focused on selling and marketing our products, and because of the long-term relationships they have established and experienced personnel they utilize to deliver high levels of customer satisfaction.</w:t>
      </w:r>
    </w:p>
    <w:p>
      <w:pPr>
        <w:spacing w:after="0" w:line="209" w:lineRule="exact"/>
        <w:rPr>
          <w:sz w:val="20"/>
          <w:szCs w:val="20"/>
          <w:color w:val="auto"/>
        </w:rPr>
      </w:pPr>
    </w:p>
    <w:p>
      <w:pPr>
        <w:ind w:right="420" w:firstLine="146"/>
        <w:spacing w:after="0" w:line="23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Irritrol®, Hayter®, Pope®, Unique Lighting Systems®, Lawn-Boy®, and Lawn Genie® products.</w:t>
      </w:r>
    </w:p>
    <w:p>
      <w:pPr>
        <w:spacing w:after="0" w:line="209" w:lineRule="exact"/>
        <w:rPr>
          <w:sz w:val="20"/>
          <w:szCs w:val="20"/>
          <w:color w:val="auto"/>
        </w:rPr>
      </w:pPr>
    </w:p>
    <w:p>
      <w:pPr>
        <w:ind w:right="160" w:firstLine="146"/>
        <w:spacing w:after="0" w:line="237" w:lineRule="auto"/>
        <w:rPr>
          <w:sz w:val="20"/>
          <w:szCs w:val="20"/>
          <w:color w:val="auto"/>
        </w:rPr>
      </w:pPr>
      <w:r>
        <w:rPr>
          <w:rFonts w:ascii="Arial" w:cs="Arial" w:eastAsia="Arial" w:hAnsi="Arial"/>
          <w:sz w:val="18"/>
          <w:szCs w:val="18"/>
          <w:color w:val="auto"/>
        </w:rPr>
        <w:t>We advertise our residential products during appropriate seasons throughout the year mainly on television, on the radio, in print, and via the Internet. Professional products are advertised mainly in print and through direct mail programs, as well as on the Internet. Most of our advertising emphasizes our brand names. Advertising is purchased by us as well as through cooperative programs with distributors, dealers, hardware retailers, home centers, and mass retailers.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Overall, we believe that in the long-term we are not dependent on any single customer; however, the residential segment of our business is dependent on The Home Depot as a customer, which accounted for approximately 11 percent of our total consolidated gross sales in both fiscal 2012 and 2011. While the loss of any substantial customer, including The Home Depot, could have a material adverse short-term impact on our business, we believe that our diverse distribution channels and customer base should reduce the long-term impact of any such loss.</w:t>
      </w:r>
    </w:p>
    <w:p>
      <w:pPr>
        <w:sectPr>
          <w:pgSz w:w="11900" w:h="16838" w:orient="portrait"/>
          <w:cols w:equalWidth="0" w:num="1">
            <w:col w:w="11380"/>
          </w:cols>
          <w:pgMar w:left="240" w:top="143" w:right="279" w:bottom="1037"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037"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Backlog of Orders</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backlog of orders is dependent upon when customers place orders, and is not necessarily an indicator of our expected results for our fiscal 2013 net sales. The approximate backlog of orders as of October 31, 2012 and 2011 was $123.9 million and $85.2 million, respectively, an increase of 45.4 percent. This increase was primarily from strong orders for our professional segment diesel engine products subject to Tier 4 emission requirements. As we prepare for the new emission requirements, we intend to implement price increases for our products subject to these regulations; therefore, many customers placed orders in advance of when price increases go into effect for products impacted by the new emission requirements, which resulted in the increase in backlog of orders as of October 31, 2012 compared to October 31, 2011. We expect the existing backlog of orders will be filled in early fiscal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product innovation, quality and reliability, pricing, product support and customer service, warranty, brand awareness, reputation, distribution, shelf space, and financing options. We believe we offer total solutions and full service packages with high quality products that have the latest technology and design innovations. In addition, by selling our products through a network of distributors, dealers, hardware retailers, home centers, and mass retailers, we offer comprehensive service support during and after the warranty period. We compete in many product lines with numerous manufacturers, some of which have larger operations and financial resources than us. We believe that we have a competitive advantage because we manufacture a broad range of product lines, we are committed to product innovation and customer service, we have a strong history in and focus on maintaining turf and landscapes, and our distribution channels position us well to compete in various markets.</w:t>
      </w:r>
    </w:p>
    <w:p>
      <w:pPr>
        <w:spacing w:after="0" w:line="208" w:lineRule="exact"/>
        <w:rPr>
          <w:sz w:val="20"/>
          <w:szCs w:val="20"/>
          <w:color w:val="auto"/>
        </w:rPr>
      </w:pPr>
    </w:p>
    <w:p>
      <w:pPr>
        <w:ind w:right="80" w:firstLine="146"/>
        <w:spacing w:after="0" w:line="237" w:lineRule="auto"/>
        <w:rPr>
          <w:sz w:val="20"/>
          <w:szCs w:val="20"/>
          <w:color w:val="auto"/>
        </w:rPr>
      </w:pPr>
      <w:r>
        <w:rPr>
          <w:rFonts w:ascii="Arial" w:cs="Arial" w:eastAsia="Arial" w:hAnsi="Arial"/>
          <w:sz w:val="18"/>
          <w:szCs w:val="18"/>
          <w:color w:val="auto"/>
        </w:rPr>
        <w:t>Internationally, residential segment products face more competition because many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provide pricing support, as needed, to foreign customers to remain competitive in international markets.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 Governmental Regulation</w:t>
      </w:r>
    </w:p>
    <w:p>
      <w:pPr>
        <w:spacing w:after="0" w:line="23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We are subject to numerous federal, international, states, and other governmental laws, rules, and regulations relating to, among others, climate change; emissions to air and discharges to water; product and associated packaging; restricted substances, including recently-promulgated "conflict minerals" disclosure rules;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For example:</w:t>
      </w:r>
    </w:p>
    <w:p>
      <w:pPr>
        <w:spacing w:after="0" w:line="183" w:lineRule="exact"/>
        <w:rPr>
          <w:sz w:val="20"/>
          <w:szCs w:val="20"/>
          <w:color w:val="auto"/>
        </w:rPr>
      </w:pPr>
    </w:p>
    <w:p>
      <w:pPr>
        <w:ind w:left="540" w:right="100" w:hanging="532"/>
        <w:spacing w:after="0" w:line="266"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United States EPA, the California Air Resources Board, and similar regulators in other U.S. states and foreign jurisdictions in which we sell our products have phased in, or are phasing in, emission regulations setting maximum emission standards for certain equipment. Specifically, the EPA has adopted increasingly stringent engine emission regulations, including Tier 4 emission requirements applicable to diesel engines in specified horsepower ranges that are used in some of our professional segment products. Beginning January 1, 2013, such requirements expand to additional horsepower categories and, accordingly, apply to more of our products.</w:t>
      </w:r>
    </w:p>
    <w:p>
      <w:pPr>
        <w:spacing w:after="0" w:line="6" w:lineRule="exact"/>
        <w:rPr>
          <w:rFonts w:ascii="Arial" w:cs="Arial" w:eastAsia="Arial" w:hAnsi="Arial"/>
          <w:sz w:val="16"/>
          <w:szCs w:val="16"/>
          <w:color w:val="auto"/>
        </w:rPr>
      </w:pPr>
    </w:p>
    <w:p>
      <w:pPr>
        <w:ind w:left="540" w:hanging="532"/>
        <w:spacing w:after="0" w:line="23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United States federal government, several U.S. states, and certain international jurisdictions in which we sell our products, including the European Union ("EU") and each of its member states, have implemented one or more of the following: (i) the Waste Electrical and Electronic Equipment ("WEEE") directive or similar product life-cycle management laws, rules, or regulations, which mandate the labeling, collection, and disposal of specified waste electrical and electronic equipment, including some of our products; (ii) the Restriction on the use of Hazardous Substances ("RoHS") directive or similar substance level laws, rules, or regulations, which restrict the use of several specified hazardous materials in the manufacture of specific types of electrical and electronic equipment, including some of our products; (iii) country of origin laws, rules, or regulations, which require certification of the geographic origin of our finished goods products and/or components used in our products through documentation and/or physical markings, as applicable; (iv) energy efficiency laws, rules, or regulations, which are intended to reduce the use and inefficiencies associated with energy and natural resource consumption and require specified efficiency ratings and capabilities for certain products, including some of our products; and (v) product life-cycle laws, rules, or regulations, which are intended to reduce waste and environmental and human health impact, and require manufacturers to collect, dispose, and recycle certain products, including some of our products, at the end of their useful life.</w:t>
      </w:r>
    </w:p>
    <w:p>
      <w:pPr>
        <w:spacing w:after="0" w:line="9" w:lineRule="exact"/>
        <w:rPr>
          <w:rFonts w:ascii="Arial" w:cs="Arial" w:eastAsia="Arial" w:hAnsi="Arial"/>
          <w:sz w:val="18"/>
          <w:szCs w:val="18"/>
          <w:color w:val="auto"/>
        </w:rPr>
      </w:pPr>
    </w:p>
    <w:p>
      <w:pPr>
        <w:ind w:left="540" w:right="220" w:hanging="532"/>
        <w:spacing w:after="0" w:line="23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products, when used by residential customers, may be subject to various federal, state, and international laws, rules, and regulations that are designed to protect consumers, including rules and regulations of the Consumer Product Safety Commission.</w:t>
      </w:r>
    </w:p>
    <w:p>
      <w:pPr>
        <w:spacing w:after="0" w:line="209" w:lineRule="exact"/>
        <w:rPr>
          <w:sz w:val="20"/>
          <w:szCs w:val="20"/>
          <w:color w:val="auto"/>
        </w:rPr>
      </w:pPr>
    </w:p>
    <w:p>
      <w:pPr>
        <w:ind w:right="400" w:firstLine="137"/>
        <w:spacing w:after="0" w:line="239" w:lineRule="auto"/>
        <w:rPr>
          <w:sz w:val="20"/>
          <w:szCs w:val="20"/>
          <w:color w:val="auto"/>
        </w:rPr>
      </w:pPr>
      <w:r>
        <w:rPr>
          <w:rFonts w:ascii="Arial" w:cs="Arial" w:eastAsia="Arial" w:hAnsi="Arial"/>
          <w:sz w:val="18"/>
          <w:szCs w:val="18"/>
          <w:color w:val="auto"/>
        </w:rPr>
        <w:t>Although we believe that we are in substantial compliance with currently applicable laws, rules, and regulations, we are unable to predict the ultimate impact of adopted or future laws, rules, and regulations on our business. Such laws, rules, or regulations may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9" w:name="page10"/>
    <w:bookmarkEnd w:id="9"/>
    <w:p>
      <w:pPr>
        <w:ind w:right="60"/>
        <w:spacing w:after="0" w:line="237" w:lineRule="auto"/>
        <w:rPr>
          <w:sz w:val="20"/>
          <w:szCs w:val="20"/>
          <w:color w:val="auto"/>
        </w:rPr>
      </w:pPr>
      <w:r>
        <w:rPr>
          <w:rFonts w:ascii="Arial" w:cs="Arial" w:eastAsia="Arial" w:hAnsi="Arial"/>
          <w:sz w:val="18"/>
          <w:szCs w:val="18"/>
          <w:color w:val="auto"/>
        </w:rPr>
        <w:t>cause us to incur significant expenses to achieve or maintain compliance, may require us to modify our products, may adversely affect the price of or demand for some of our products, and may ultimately affect the way we conduct our operations. Failure to comply with these current or future regulations could lead to fines and other penalties, including restrictions on the importation of our products into, or the sale of our products in, one or more jurisdictions until compliance is achieved.</w:t>
      </w:r>
    </w:p>
    <w:p>
      <w:pPr>
        <w:spacing w:after="0" w:line="209" w:lineRule="exact"/>
        <w:rPr>
          <w:sz w:val="20"/>
          <w:szCs w:val="20"/>
          <w:color w:val="auto"/>
        </w:rPr>
      </w:pPr>
    </w:p>
    <w:p>
      <w:pPr>
        <w:ind w:right="380" w:firstLine="146"/>
        <w:spacing w:after="0" w:line="23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we established Red Iron Acceptance, LLC ("Red Iron"), as a joint venture with TCF Inventory Finance,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("TCFIF"), a subsidiary of TCF National Bank. The purpose of Red Iron is to provide inventory financing, including floor plan and open account receivable financing, to distributors and dealers of our products in the U.S. and to select distributors of our products in Canada. Under a separate arrangement, TCF Commercial Finance Canada, Inc.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w:t>
      </w:r>
    </w:p>
    <w:p>
      <w:pPr>
        <w:spacing w:after="0" w:line="209" w:lineRule="exact"/>
        <w:rPr>
          <w:sz w:val="20"/>
          <w:szCs w:val="20"/>
          <w:color w:val="auto"/>
        </w:rPr>
      </w:pPr>
    </w:p>
    <w:p>
      <w:pPr>
        <w:ind w:right="100" w:firstLine="146"/>
        <w:spacing w:after="0" w:line="281" w:lineRule="auto"/>
        <w:rPr>
          <w:sz w:val="20"/>
          <w:szCs w:val="20"/>
          <w:color w:val="auto"/>
        </w:rPr>
      </w:pPr>
      <w:r>
        <w:rPr>
          <w:rFonts w:ascii="Arial" w:cs="Arial" w:eastAsia="Arial" w:hAnsi="Arial"/>
          <w:sz w:val="16"/>
          <w:szCs w:val="16"/>
          <w:color w:val="auto"/>
        </w:rPr>
        <w:t>We continue to provide financing in the form of open account terms directly to home centers and mass retailers; general line irrigation dealers; international distributors and dealers, other than the Canadian distributors and dealers to whom Red Iron provides financing arrangements; government customers; and rental companies. Some independent international dealers continue to finance their products with third party sources.</w:t>
      </w:r>
    </w:p>
    <w:p>
      <w:pPr>
        <w:spacing w:after="0" w:line="158"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The purpose of these agreements is to increase sales by giving buyers of our products alternative financing options when purchasing our products.</w:t>
      </w:r>
    </w:p>
    <w:p>
      <w:pPr>
        <w:spacing w:after="0" w:line="202" w:lineRule="exact"/>
        <w:rPr>
          <w:sz w:val="20"/>
          <w:szCs w:val="20"/>
          <w:color w:val="auto"/>
        </w:rPr>
      </w:pPr>
    </w:p>
    <w:p>
      <w:pPr>
        <w:jc w:val="both"/>
        <w:ind w:right="160" w:firstLine="146"/>
        <w:spacing w:after="0" w:line="238" w:lineRule="auto"/>
        <w:rPr>
          <w:sz w:val="20"/>
          <w:szCs w:val="20"/>
          <w:color w:val="auto"/>
        </w:rPr>
      </w:pPr>
      <w:r>
        <w:rPr>
          <w:rFonts w:ascii="Arial" w:cs="Arial" w:eastAsia="Arial" w:hAnsi="Arial"/>
          <w:sz w:val="18"/>
          <w:szCs w:val="18"/>
          <w:color w:val="auto"/>
        </w:rPr>
        <w:t>We also have agreements with third party financing companies to provide financing programs under both generic and private label programs in the U.S. and Canada. These programs, offered primarily to Toro and Exmark dealers, provide end-user customers revolving and installment lines of credit for Toro and Exmark products, parts, and services.</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Occasionally, we enter into long-term loan agreements with some distributors. These transactions are used for expansion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distributors' businesses, acquisitions, refinancing working capital agreements, or ownership transitions. As of October 31, 2012, we had an outstanding note receivable from one distribution company in the amount of $1.1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fiscal 2012, we employed an average of 5,066 employees. The total number of employees as of October 31, 2012 was 5,055. We consider our employee relations to be good. Three collective bargaining agreements, each expiring in October 2013, May 2014, and October 2014, cover approximately 18 percent of our total employees. We also retain temporary and seasonal workers, mainly at our distribution centers and manufacturing facilities, as well as part-time workers, independent contractors, and consultants.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We are a U.S. public reporting company under the Securities Exchange Act of 1934, as amended ("Exchange Act"), and file reports, proxy statements, 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211"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 xml:space="preserve">We make available, free of charge on our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"Financials" link), our Annual Reports on Form 10-K, Quarterly Reports on Form 10-Q, Current Reports on Form 8-K, Proxy Statements on Schedule 14A, Section 16 reports, amendments to those reports, and other documents filed or furnished pursuant to Section 13(a) or 15(d) of the Exchange Act as soon as reasonably practicable after we electronically file such material with, or furnish it to, the SEC. The information contained on our web site or connected to our web site is not incorporated by reference into this Annual Report on Form 10-K and should not be considered part of this report.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Annual Report on Form 10-K contains, or incorporates by reference,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"goal," "optimistic," "anticipate," "continue," "plan," "estimate,"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our company. The most significant factors known to us that could materially adversely affect our business, operations, industry, financial position, or future financial performance are described below in Part I, Item 1A, "Risk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215" w:lineRule="exact"/>
        <w:rPr>
          <w:sz w:val="20"/>
          <w:szCs w:val="20"/>
          <w:color w:val="auto"/>
        </w:rPr>
      </w:pPr>
    </w:p>
    <w:p>
      <w:pPr>
        <w:ind w:right="460" w:firstLine="146"/>
        <w:spacing w:after="0" w:line="238"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4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operating results, financial condition, or future financial performance.</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If economic conditions and outlook in the United States and in other countries in which we conduct business do not improve or if they worsen, our net sales and earnings could be adversely affected.</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Economic conditions and outlook in the U.S. and in other countries in which we conduct business can impact demand for our products and, ultimately, our net sales. These include but are not limited to recessionary conditions; slow or negative economic growth rates; the impact of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otherwise; prolonged high unemployment rates; higher commodity and components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has had an adverse effect on our net sales and earnings. If economic conditions and outlook in the U.S., Europe, and in the other countries in which we conduct business do not further improve, or if they worsen, our net sales and earnings could be adversely affected in the future.</w:t>
      </w:r>
    </w:p>
    <w:p>
      <w:pPr>
        <w:spacing w:after="0" w:line="19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Weather conditions may reduce demand for some of our products and adversely affect our net sales or otherwise adversely affect our operating results.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From time to time, weather conditions in a particular geographic region may adversely affect sales and field inventory levels of some of our products.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in key markets have had an adverse effect on sales of our snow thrower products. Similarly, adverse weather conditions in one season may adversely affect customer purchasing patterns and our net sales for some of our products in another season. For example, lower</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23" w:right="279" w:bottom="1440" w:gutter="0" w:footer="0" w:header="0"/>
        </w:sectPr>
      </w:pPr>
    </w:p>
    <w:bookmarkStart w:id="11" w:name="page12"/>
    <w:bookmarkEnd w:id="11"/>
    <w:p>
      <w:pPr>
        <w:spacing w:after="0" w:line="238" w:lineRule="auto"/>
        <w:rPr>
          <w:sz w:val="20"/>
          <w:szCs w:val="20"/>
          <w:color w:val="auto"/>
        </w:rPr>
      </w:pPr>
      <w:r>
        <w:rPr>
          <w:rFonts w:ascii="Arial" w:cs="Arial" w:eastAsia="Arial" w:hAnsi="Arial"/>
          <w:sz w:val="18"/>
          <w:szCs w:val="18"/>
          <w:color w:val="auto"/>
        </w:rPr>
        <w:t>snow fall accumulations may result in lower winter season revenues for landscape contractor professionals, causing such customers to forego or postpone spring purchases of our mowing products. To the extent that unfavorable weather conditions are exacerbated by global climate change or otherwise, our sales and other operating results may be affected to a greater degree than we have previously experienced.</w:t>
      </w:r>
    </w:p>
    <w:p>
      <w:pPr>
        <w:spacing w:after="0" w:line="1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Increases in the cost, or disruption in the availability, of raw materials and components that we purchase and/or increases in our other costs of doing business, such as transportation costs, may adversely affect our profit margins and businesses.</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purchase raw materials such as steel, aluminum, fuel, petroleum-based resins, linerboard, and other commodities, and components, such as engines, transmissions, transaxles, hydraulics, and electric motors, for use in our products. In addition, we are a purchaser of components and parts containing various commodities, including steel, aluminum, copper, lead, rubber, and others that are integrated into our end products. To the extent that commodity prices increase and we do not have firm pricing from our suppliers, or our suppliers are not able to honor such prices, increases in the cost of such raw materials and components and parts may adversely affect our profit margins if we are unable to pass along to our customers these cost increases in the form of price increases or otherwise reduce our cost of goods sold. Historically, we have engaged in proactive vendor negotiations, used alternate sourcing options, substituted materials, engaged in internal cost reduction efforts, and introduced moderate price increases on some of our products to offset a portion of increased raw material, component, and other costs. However, we may not be able to fully offset such increased costs in the future. Further, if our price increases are not accepted by our customers and the market, our net sales, profit margins, earnings, and market share could be adversely affected. Increases in our other costs of doing business may also adversely affect our profit margins and business. For example, an increase in fuel costs may result in an increase in our transportation costs, which also could adversely affect our operating results and business. Although most of the raw materials and components used in our products are generally commercially available from a number of sources and in adequate supply, certain components are sourced from single suppliers. Any disruption in the availability of such raw materials and components from our suppliers, our inability to timely or otherwise obtain substitutes for such items, or any deterioration in our relationships with or the financial viability of our suppliers could adversely affect our business.</w:t>
      </w:r>
    </w:p>
    <w:p>
      <w:pPr>
        <w:spacing w:after="0" w:line="38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i w:val="1"/>
          <w:iCs w:val="1"/>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the availability of credit to professional segment customers on acceptable terms to finance new product purchases; and the amount of government revenues, budget, and spending levels for grounds maintenance equipment.</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professional segment products are sold by distributors or dealers, or directly to government customers, rental companies, and professional users engaged in maintaining and creating landscapes, such as golf courses, sports fields, residential and commercial landscapes, and governmental and municipal properties. Accordingly, our professional segment net sales are impacted by golf course revenues and the amount of investment in golf course renovations and improvements; the level of new golf course development and golf course closures; the level of homeowners' who outsource their lawn care; continued acceptance of and demand for micro-irrigation solutions for agricultural markets; the level of residential and commercial construction; availability of cash or credit on acceptable terms to finance new product purchases; and the amount of government spending for new grounds maintenance equipment. Among other things, any one or a combination of the following factors could have an adverse effect on our professional segment net sales:</w:t>
      </w:r>
    </w:p>
    <w:p>
      <w:pPr>
        <w:spacing w:after="0" w:line="208" w:lineRule="exact"/>
        <w:rPr>
          <w:sz w:val="20"/>
          <w:szCs w:val="20"/>
          <w:color w:val="auto"/>
        </w:rPr>
      </w:pPr>
    </w:p>
    <w:p>
      <w:pPr>
        <w:ind w:left="540" w:right="160" w:hanging="532"/>
        <w:spacing w:after="0" w:line="266"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reduced levels of investment in golf course renovations and improvements and new golf course development; reduced number of golf rounds played at public and private golf courses resulting in reduced revenue for such golf courses; decreased membership at private golf courses resulting in reduced revenue and, in certain cases, financial difficulties for such golf courses; and increased number of golf course closures, any one of which or any combination of which could result in a decrease in spending and demand for our products;</w:t>
      </w:r>
    </w:p>
    <w:p>
      <w:pPr>
        <w:spacing w:after="0" w:line="8" w:lineRule="exact"/>
        <w:rPr>
          <w:rFonts w:ascii="Arial" w:cs="Arial" w:eastAsia="Arial" w:hAnsi="Arial"/>
          <w:sz w:val="16"/>
          <w:szCs w:val="16"/>
          <w:color w:val="auto"/>
        </w:rPr>
      </w:pPr>
    </w:p>
    <w:p>
      <w:pPr>
        <w:ind w:left="540" w:right="1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and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 or reduced levels of commercial and residential construction, resulting in a decrease in demand for our products;</w:t>
      </w: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acceptance of and demand for micro-irrigation solutions for agricultural markets;</w:t>
      </w:r>
    </w:p>
    <w:p>
      <w:pPr>
        <w:spacing w:after="0" w:line="9" w:lineRule="exact"/>
        <w:rPr>
          <w:rFonts w:ascii="Arial" w:cs="Arial" w:eastAsia="Arial" w:hAnsi="Arial"/>
          <w:sz w:val="18"/>
          <w:szCs w:val="18"/>
          <w:color w:val="auto"/>
        </w:rPr>
      </w:pPr>
    </w:p>
    <w:p>
      <w:pPr>
        <w:ind w:left="540" w:right="420" w:hanging="532"/>
        <w:spacing w:after="0" w:line="23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ind w:left="540" w:hanging="532"/>
        <w:spacing w:after="0" w:line="23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availability issues if we underestimate or overestimate demand, which could negatively impact our net sales and hinder our ability to meet customer demand.</w:t>
      </w:r>
    </w:p>
    <w:p>
      <w:pPr>
        <w:spacing w:after="0" w:line="209" w:lineRule="exact"/>
        <w:rPr>
          <w:sz w:val="20"/>
          <w:szCs w:val="20"/>
          <w:color w:val="auto"/>
        </w:rPr>
      </w:pPr>
    </w:p>
    <w:p>
      <w:pPr>
        <w:ind w:right="40" w:firstLine="137"/>
        <w:spacing w:after="0" w:line="239" w:lineRule="auto"/>
        <w:rPr>
          <w:sz w:val="20"/>
          <w:szCs w:val="20"/>
          <w:color w:val="auto"/>
        </w:rPr>
      </w:pPr>
      <w:r>
        <w:rPr>
          <w:rFonts w:ascii="Arial" w:cs="Arial" w:eastAsia="Arial" w:hAnsi="Arial"/>
          <w:sz w:val="18"/>
          <w:szCs w:val="18"/>
          <w:color w:val="auto"/>
        </w:rPr>
        <w:t>Additionally, lower sales of professional segment products that carry higher profit margins than our residential segment products could negatively impact our profit margins and net earnings.</w:t>
      </w:r>
    </w:p>
    <w:p>
      <w:pPr>
        <w:spacing w:after="0" w:line="189"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b w:val="1"/>
          <w:bCs w:val="1"/>
          <w:i w:val="1"/>
          <w:iCs w:val="1"/>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spacing w:after="0" w:line="20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elimination or reduction of shelf space assigned to our residential products by retailers could adversely affect our residential segment net sales. Our residential segment net sales are also dependent upon buying patterns of customers. For example, as consumers purchase products at home centers and mass retailers that offer broader and lower price points, this has resulted in increased demand and sales of our residential segment products purchased at retailers, such as The Home Depot, which accounted for approximately 11 to 13 percent of our total consolidated net sales in each of fiscal 2012, 2011, and 2010.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or new distribution channels could have a material adverse impact on our business and operating results. Changing buying patterns of customers also could result in reduced sales of one or more of our residential segment products, resulting in increased inventory levels. Our residential lawn and garden products are generally manufactured throughout the year and our residential snow removal products are generally manufactured in the summer and fall months but may be extended into the winter months depending upon demand. However, our production levels and inventory management goals for our residential segment products are based on estimates of retail demand for our products, taking into account production capacity, timing of shipments, and field inventory levels. If we overestimate or underestimate demand during a given season, we may not maintain the appropriate inventory levels, which could negatively impact our net sales or working capital, and hinder our ability to meet customer demand.</w:t>
      </w:r>
    </w:p>
    <w:p>
      <w:pPr>
        <w:spacing w:after="0" w:line="37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i w:val="1"/>
          <w:iCs w:val="1"/>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05"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currently manufacture our products in the United States, Mexico, Australia, the United Kingdom, Italy, and Romania for sale throughout the world. We maintain sales offices in the United States, Belgium, the United Kingdom, France, Australia, Singapore, Japan, China, Italy, Korea, and Germany. Our net sales outside the United States were 30.3 percent, 32.3 percent, and 31.8 percent of our total consolidated net sales for fiscal 2012, 2011, and 2010, respectively. International markets have, and will continue to be, a focus for us for revenue growth. We believe many opportunities exist in the international markets, and over time, we intend for international net sales to comprise a larger percentage of our total consolidated net sales. Several factors, including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Many of the countries in which we sell our products, or otherwise have an international presence are, to some degree, subject to political, economic, and/or social instability, including drug cartel-related violence, which may disrupt our production activities and maquiladora operations based in Juarez, Mexico. Our international operations expose us and our representatives, agents, and distributors to risks inherent in operating in foreign jurisdictions. These risks include:</w:t>
      </w:r>
    </w:p>
    <w:p>
      <w:pPr>
        <w:spacing w:after="0" w:line="20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ind w:left="540" w:right="56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hanging="532"/>
        <w:spacing w:after="0" w:line="23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or enhanced trade restrictions and restrictions on the activities of foreign agents, representatives, and distributors; and the imposition of increases in, costly and lengthy import and export licensing and other compliance requirements, customs duties and tariffs, import and export quotas and other trade restrictions, license obligations, and other non-tariff barriers to trade;</w:t>
      </w:r>
    </w:p>
    <w:p>
      <w:pPr>
        <w:spacing w:after="0" w:line="6" w:lineRule="exact"/>
        <w:rPr>
          <w:rFonts w:ascii="Arial" w:cs="Arial" w:eastAsia="Arial" w:hAnsi="Arial"/>
          <w:sz w:val="18"/>
          <w:szCs w:val="18"/>
          <w:color w:val="auto"/>
        </w:rPr>
      </w:pPr>
    </w:p>
    <w:p>
      <w:pPr>
        <w:ind w:left="540" w:right="320" w:hanging="532"/>
        <w:spacing w:after="0" w:line="23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continued business with the sanctioned country, company, person, or entity;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 w:name="page14"/>
    <w:bookmarkEnd w:id="13"/>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pricing pressures;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ind w:left="540" w:right="80" w:hanging="532"/>
        <w:spacing w:after="0" w:line="23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209" w:lineRule="exact"/>
        <w:rPr>
          <w:sz w:val="20"/>
          <w:szCs w:val="20"/>
          <w:color w:val="auto"/>
        </w:rPr>
      </w:pPr>
    </w:p>
    <w:p>
      <w:pPr>
        <w:ind w:right="180" w:firstLine="146"/>
        <w:spacing w:after="0" w:line="239" w:lineRule="auto"/>
        <w:rPr>
          <w:sz w:val="20"/>
          <w:szCs w:val="20"/>
          <w:color w:val="auto"/>
        </w:rPr>
      </w:pPr>
      <w:r>
        <w:rPr>
          <w:rFonts w:ascii="Arial" w:cs="Arial" w:eastAsia="Arial" w:hAnsi="Arial"/>
          <w:sz w:val="18"/>
          <w:szCs w:val="18"/>
          <w:color w:val="auto"/>
        </w:rPr>
        <w:t>Our international operations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209"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United States and Mexico, a stronger U.S. dollar and Mexican peso generally have a negative impact on our operating results, while a weaker dollar and peso generally have a positive effect. Our primary foreign currency exchange rate exposure is with the Euro, the Australian dollar, the Canadian dollar, the British pound, the Mexican peso, the Japanese yen, the Chinese Yuan, and the Romanian New Leu against the U.S. dollar, as well as the Romanian New Leu against the Euro. While we actively manage the exposure of our foreign currency market risk in the normal course of business by entering into various foreign exchange contracts, these instruments involve risks and may not effectively limit our underlying exposure from foreign currency exchange rate fluctuations or minimize our net earnings and cash volatility associated with foreign currency exchange rate changes. Further, a number of financial institutions similar to those that serve as counterparties to our foreign exchange contracts have been adversely affected by the unprecedented distress in the worldwide credit markets. The failure of one or more counterparties to our foreign currency exchange rate contracts to fulfill their obligations to us could adversely affect our operating results.</w:t>
      </w:r>
    </w:p>
    <w:p>
      <w:pPr>
        <w:spacing w:after="0" w:line="19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spacing w:after="0" w:line="20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business, properties, and products are subject to numerous federal, international, states, and other governmental laws, rules, and regulations relating to, among other things; climate change; emissions to air and discharges to water; product and associated packaging; restricted substances, including recently-promulgated "conflict minerals" disclosure rules that are discussed in more detail below; import and export compliance, including country of origin certification requirements; worker and product user health and safety; energy efficiency; product life-cycles; and the generation, use, handling, labeling, collection, management, storage, transportation, treatment, and disposal of hazardous substances, wastes, and other regulated materials. Although we believe that we are in substantial compliance with currently applicable laws, rules, and regulations, we are unable to predict the ultimate impact of adopted or future laws, rules, and regulations on our business, properties, or products. Any of these laws, rules, or regulations may cause us to incur significant expenses to achieve or maintain compliance, require us to modify our products, adversely affect the price of or demand for some of our products, and ultimately affect the way we conduct our operations. Failure to comply with any of these laws, rules, or regulations could lead to fines and other penalties, including restrictions on the importation of our products into, and the sale of our products in, one or more jurisdictions until compliance is achieved. In addition, our competitors may adopt strategies with respect to regulatory compliance that differ significantly from our strategies. This may have the effect of changing customer preferences and our markets in ways that we did not anticipate, which may adversely affect market demand for our products and, ultimately, our net sales and financial results.</w:t>
      </w:r>
    </w:p>
    <w:p>
      <w:pPr>
        <w:spacing w:after="0" w:line="215" w:lineRule="exact"/>
        <w:rPr>
          <w:sz w:val="20"/>
          <w:szCs w:val="20"/>
          <w:color w:val="auto"/>
        </w:rPr>
      </w:pPr>
    </w:p>
    <w:p>
      <w:pPr>
        <w:ind w:right="60" w:firstLine="143"/>
        <w:spacing w:after="0" w:line="236" w:lineRule="auto"/>
        <w:rPr>
          <w:sz w:val="20"/>
          <w:szCs w:val="20"/>
          <w:color w:val="auto"/>
        </w:rPr>
      </w:pPr>
      <w:r>
        <w:rPr>
          <w:rFonts w:ascii="Arial" w:cs="Arial" w:eastAsia="Arial" w:hAnsi="Arial"/>
          <w:sz w:val="18"/>
          <w:szCs w:val="18"/>
          <w:color w:val="auto"/>
        </w:rPr>
        <w:t>The EPA has adopted increasingly stringent engine emission regulations, including Tier 4 emission requirements applicable to diesel engines in specified horsepower ranges that are used in some of our products. Beginning January 1, 2013, such requirements expand to additional horsepower categories and, accordingly, apply to more of our products. Although we have developed plans to achieve substantial compliance with these Tier 4 requirements, these plans are subject to many variables including, among others, the ability of our suppliers to provide compliant engines 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 w:name="page15"/>
    <w:bookmarkEnd w:id="14"/>
    <w:p>
      <w:pPr>
        <w:ind w:right="140"/>
        <w:spacing w:after="0" w:line="235" w:lineRule="auto"/>
        <w:rPr>
          <w:sz w:val="20"/>
          <w:szCs w:val="20"/>
          <w:color w:val="auto"/>
        </w:rPr>
      </w:pPr>
      <w:r>
        <w:rPr>
          <w:rFonts w:ascii="Arial" w:cs="Arial" w:eastAsia="Arial" w:hAnsi="Arial"/>
          <w:sz w:val="18"/>
          <w:szCs w:val="18"/>
          <w:color w:val="auto"/>
        </w:rPr>
        <w:t>a timely basis and our 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Additionally, we have incurred and expect to continue to incur research, development, engineering, and other costs to design Tier 4 compliant products, which we currently expect will result in the implementation of price increases, some of which may be significant, on products subject to these regulations. The extent to which we are able to pass along to our customers these costs in the form of price increases may adversely affect market demand for our products and/or our profit margins, which may adversely affect our financial results. If our customers' buying patterns change to purchasing our products in advance of price increases resulting from the higher cost of compliance with such regulations, we may experience abnormal fluctuation in sales and our financial results of any one period may not be representative of expected financial results in subsequent periods.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change customer preferences and buying patterns in ways that we do not currently anticipate, we may experience lower market demand for our products that may, ultimately, adversely affect our net sales, profit margins, and overall financial results.</w:t>
      </w:r>
    </w:p>
    <w:p>
      <w:pPr>
        <w:spacing w:after="0" w:line="215" w:lineRule="exact"/>
        <w:rPr>
          <w:sz w:val="20"/>
          <w:szCs w:val="20"/>
          <w:color w:val="auto"/>
        </w:rPr>
      </w:pPr>
    </w:p>
    <w:p>
      <w:pPr>
        <w:ind w:firstLine="137"/>
        <w:spacing w:after="0" w:line="235" w:lineRule="auto"/>
        <w:rPr>
          <w:sz w:val="20"/>
          <w:szCs w:val="20"/>
          <w:color w:val="auto"/>
        </w:rPr>
      </w:pPr>
      <w:r>
        <w:rPr>
          <w:rFonts w:ascii="Arial" w:cs="Arial" w:eastAsia="Arial" w:hAnsi="Arial"/>
          <w:sz w:val="18"/>
          <w:szCs w:val="18"/>
          <w:color w:val="auto"/>
        </w:rPr>
        <w:t>As required under the Dodd-Frank Wall Street Reform and Consumer Protection Act, in August 2012 the SEC promulgated final rules regarding disclosure of the use of certain minerals, known as "conflict minerals," which are mined from the Democratic Republic of the Congo and adjoining countries, as well as procedures regarding a manufacturer's efforts to prevent the sourcing of such minerals and metals produced from those minerals. These conflict minerals are commonly referred to as "3TG" and include tin, tantalum, tungsten, and gold. The new rules will require us to engage in due diligence efforts for the 2013 calendar year, with initial disclosures required no later than May 31, 2014, and subsequent disclosures required no later than May 31 of each following year. We expect that we will incur additional costs and expenses, which may be significant, in order to comply with these rules, including for (i) due diligence to determine whether conflict minerals are necessary to the functionality or production of any of our products and, if so, verify the sources of such conflict minerals; and (ii) any changes that we may desire to make to our products, processes, or sources of supply as a result of such diligence and verification activities. Since our supply chain is complex, ultimately we may not be able to sufficiently verify the origins for any conflict minerals and metals used in our products through the due diligence procedures that we implement, which may adversely affect our reputation with our customers, shareholders, and other stakeholders. In such event, we may also face difficulties in satisfying customers who require that all of our products are certified as conflict mineral free. If we are not able to meet such requirements, customers may choose not to purchase our products, which could adversely affect our sales and the value of portions of our inventory. Further, there may be only a limited number of suppliers offering conflict free minerals and, as a result, we cannot be sure that we will be able to obtain metals, if necessary, from such suppliers in sufficient quantities or at competitive prices. Any one or a combination of these various factors could harm our business, reduce market demand for our products, and adversely affect our profit margins, net sales, and overall financial results.</w:t>
      </w:r>
    </w:p>
    <w:p>
      <w:pPr>
        <w:spacing w:after="0" w:line="214"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Because we own and lease real property, various environmental laws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209" w:lineRule="exact"/>
        <w:rPr>
          <w:sz w:val="20"/>
          <w:szCs w:val="20"/>
          <w:color w:val="auto"/>
        </w:rPr>
      </w:pPr>
    </w:p>
    <w:p>
      <w:pPr>
        <w:ind w:right="320" w:firstLine="146"/>
        <w:spacing w:after="0" w:line="237" w:lineRule="auto"/>
        <w:rPr>
          <w:sz w:val="20"/>
          <w:szCs w:val="20"/>
          <w:color w:val="auto"/>
        </w:rPr>
      </w:pPr>
      <w:r>
        <w:rPr>
          <w:rFonts w:ascii="Arial" w:cs="Arial" w:eastAsia="Arial" w:hAnsi="Arial"/>
          <w:sz w:val="18"/>
          <w:szCs w:val="18"/>
          <w:color w:val="auto"/>
        </w:rPr>
        <w:t>In addition, governmental restrictions placed on water usage, as well as water availability, may adversely affect demand for our irrigation products. Changes in laws and regulations, including changes in accounting standards, taxation changes, including tax rate changes, new tax laws, revised tax law interpretations, and reenactment or extension of the domestic research tax credit, also may adversely affect our operating results.</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If we are unable to continue to enhance existing products and develop and market new products that respond to customer needs and preferences and achieve market acceptance, we may experience a decrease in demand for our products, and our net sales, which have historically benefited from sales of new products, may be adversely affected.</w:t>
      </w:r>
    </w:p>
    <w:p>
      <w:pPr>
        <w:spacing w:after="0" w:line="20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One of our growth strategies is to develop innovative, customer-valued products to generate revenue growth. In the past, our sales from new products, which we define as those introduced in the current and previous two fiscal years,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ind w:right="40"/>
        <w:spacing w:after="0" w:line="235" w:lineRule="auto"/>
        <w:rPr>
          <w:sz w:val="20"/>
          <w:szCs w:val="20"/>
          <w:color w:val="auto"/>
        </w:rPr>
      </w:pPr>
      <w:r>
        <w:rPr>
          <w:rFonts w:ascii="Arial" w:cs="Arial" w:eastAsia="Arial" w:hAnsi="Arial"/>
          <w:sz w:val="18"/>
          <w:szCs w:val="18"/>
          <w:color w:val="auto"/>
        </w:rPr>
        <w:t>Product development requires significant financial, technological, and other resources. Although we have implemented Lean manufacturing and other productivity improvement initiatives to provide investment funding for product enhancements and new products, we cannot be certain that we will be able to continue to do so in the future.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95"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Others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w:t>
      </w:r>
    </w:p>
    <w:p>
      <w:pPr>
        <w:spacing w:after="0" w:line="215" w:lineRule="exact"/>
        <w:rPr>
          <w:sz w:val="20"/>
          <w:szCs w:val="20"/>
          <w:color w:val="auto"/>
        </w:rPr>
      </w:pPr>
    </w:p>
    <w:p>
      <w:pPr>
        <w:ind w:right="400" w:firstLine="146"/>
        <w:spacing w:after="0" w:line="281" w:lineRule="auto"/>
        <w:rPr>
          <w:sz w:val="20"/>
          <w:szCs w:val="20"/>
          <w:color w:val="auto"/>
        </w:rPr>
      </w:pPr>
      <w:r>
        <w:rPr>
          <w:rFonts w:ascii="Arial" w:cs="Arial" w:eastAsia="Arial" w:hAnsi="Arial"/>
          <w:sz w:val="16"/>
          <w:szCs w:val="16"/>
          <w:color w:val="auto"/>
        </w:rPr>
        <w:t>We also rely on trade secrets and proprietary know-how that we seek to protect, in part, by confidentiality agreements with our employees, suppliers,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5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manufacture our products at and distribute our products from several locations in the United States and internationally. Any disruption at any of these facilities or in our inability to cost-effectively expand existing, open and manage new, and/or move production between manufacturing facilities could adversely affect our business and operating results.</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manufacture most of our products at seven locations in the United States, two locations in Mexico, and one location in each of Australia, Italy, the United Kingdom, and Romania. We also have several locations that serve as distribution centers, warehouses, test labs, and corporate offices. In addition, we have agreements with other third-party manufacturers to manufacture products on our behalf. These facilities may be affected by natural or man-made disasters and other external events, including drug cartel-related violence that may disrupt our production activities and maquiladora operations based in Juarez, Mexico. In the event that one of our manufacturing facilities was affected by a disaster or other event, we could be forced to shift production to one of our other manufacturing facilities.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new collective bargaining agreements, including one that expires in October 2013, could impair our ability to meet the demands of our customers, and our customers may cancel orders or purchase products from our competitors, which could adversely affect our business and operating results.</w:t>
      </w:r>
    </w:p>
    <w:p>
      <w:pPr>
        <w:spacing w:after="0" w:line="215" w:lineRule="exact"/>
        <w:rPr>
          <w:sz w:val="20"/>
          <w:szCs w:val="20"/>
          <w:color w:val="auto"/>
        </w:rPr>
      </w:pPr>
    </w:p>
    <w:p>
      <w:pPr>
        <w:ind w:right="80" w:firstLine="146"/>
        <w:spacing w:after="0" w:line="238" w:lineRule="auto"/>
        <w:rPr>
          <w:sz w:val="20"/>
          <w:szCs w:val="20"/>
          <w:color w:val="auto"/>
        </w:rPr>
      </w:pPr>
      <w:r>
        <w:rPr>
          <w:rFonts w:ascii="Arial" w:cs="Arial" w:eastAsia="Arial" w:hAnsi="Arial"/>
          <w:sz w:val="18"/>
          <w:szCs w:val="18"/>
          <w:color w:val="auto"/>
        </w:rPr>
        <w:t>Our operating results may also be adversely affected if we are unable to cost-effectively open and manage new manufacturing and distribution facilities, and move production between such facilities as needed from time to time. In fiscal 2012, we began operations at our new micro-irrigation facility in Ploiesti, Romania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ind w:right="280"/>
        <w:spacing w:after="0" w:line="281" w:lineRule="auto"/>
        <w:rPr>
          <w:sz w:val="20"/>
          <w:szCs w:val="20"/>
          <w:color w:val="auto"/>
        </w:rPr>
      </w:pPr>
      <w:r>
        <w:rPr>
          <w:rFonts w:ascii="Arial" w:cs="Arial" w:eastAsia="Arial" w:hAnsi="Arial"/>
          <w:sz w:val="16"/>
          <w:szCs w:val="16"/>
          <w:color w:val="auto"/>
        </w:rPr>
        <w:t>order to support the anticipated growth of our micro-irrigation business and enable future capacity expansion. If the facility does not produce the anticipated manufacturing and operational efficiencies, or if the micro-irrigation products produced at this facility are not accepted into new geographic markets at expected levels, we may not recover the costs of the new facility and our operating results may be adversely affected.</w:t>
      </w:r>
    </w:p>
    <w:p>
      <w:pPr>
        <w:spacing w:after="0" w:line="158"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b w:val="1"/>
          <w:bCs w:val="1"/>
          <w:i w:val="1"/>
          <w:iCs w:val="1"/>
          <w:color w:val="auto"/>
        </w:rPr>
        <w:t>We intend to grow our business through acquisitions and alliances, stronger customer relations, and new joint ventures and partnerships, which could be risky and may harm our business.</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and alliances, stronger customer relations, and new joint ventures and partnerships that add value while considering our existing brands and product portfolio.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In addition, acquisitions, alliances, joint ventures, and partnerships may involve a number of risks, including:</w:t>
      </w:r>
    </w:p>
    <w:p>
      <w:pPr>
        <w:spacing w:after="0" w:line="21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540" w:right="42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and assimilating the operations and products of an acquired business or in realizing projected efficiencies, cost savings, and synergies;</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successfully integrate or develop a distribution channel for acquired product lines;</w:t>
      </w:r>
    </w:p>
    <w:p>
      <w:pPr>
        <w:ind w:left="540" w:right="2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ind w:left="540" w:right="60" w:hanging="532"/>
        <w:spacing w:after="0" w:line="23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to pursue other important elements of our business strategy;</w:t>
      </w:r>
    </w:p>
    <w:p>
      <w:pPr>
        <w:spacing w:after="0" w:line="2" w:lineRule="exact"/>
        <w:rPr>
          <w:rFonts w:ascii="Arial" w:cs="Arial" w:eastAsia="Arial" w:hAnsi="Arial"/>
          <w:sz w:val="18"/>
          <w:szCs w:val="18"/>
          <w:color w:val="auto"/>
        </w:rPr>
      </w:pPr>
    </w:p>
    <w:p>
      <w:pPr>
        <w:ind w:left="540" w:right="42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investments, undisclosed, contingent or other liabilities or problems, unanticipated costs associated with an acquisition, and an inability to recover or manage such liabilities and costs; and</w:t>
      </w:r>
    </w:p>
    <w:p>
      <w:pPr>
        <w:spacing w:after="0" w:line="6"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209" w:lineRule="exact"/>
        <w:rPr>
          <w:sz w:val="20"/>
          <w:szCs w:val="20"/>
          <w:color w:val="auto"/>
        </w:rPr>
      </w:pPr>
    </w:p>
    <w:p>
      <w:pPr>
        <w:ind w:firstLine="146"/>
        <w:spacing w:after="0" w:line="271" w:lineRule="auto"/>
        <w:rPr>
          <w:sz w:val="20"/>
          <w:szCs w:val="20"/>
          <w:color w:val="auto"/>
        </w:rPr>
      </w:pPr>
      <w:r>
        <w:rPr>
          <w:rFonts w:ascii="Arial" w:cs="Arial" w:eastAsia="Arial" w:hAnsi="Arial"/>
          <w:sz w:val="16"/>
          <w:szCs w:val="16"/>
          <w:color w:val="auto"/>
        </w:rPr>
        <w:t>Our ability to grow through acquisitions will depend, in part, on the availability of suitable candidates at acceptable prices, terms, and conditions, our ability to compete effectively for these acquisition candidates, and the availability of capital and personnel to complete such acquisitions and run the acquired business effectively. These risks could be heightened if we complete a large acquisition or multiple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 and any large acquisition could, among other things, impair our financial condition.</w:t>
      </w:r>
    </w:p>
    <w:p>
      <w:pPr>
        <w:spacing w:after="0" w:line="165"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b w:val="1"/>
          <w:bCs w:val="1"/>
          <w:i w:val="1"/>
          <w:iCs w:val="1"/>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efficient operation of our business is dependent on our management information systems. We rely on our management information systems to, among other things, effectively manage our accounting and financial functions, including maintaining our internal controls; to manage our manufacturing and supply chain processes; and to maintain our research and development data. The failure of our management information systems to perform properly could disrupt our business and product development, which may result in decreased sales, increased overhead costs, excess or obsolete inventory, and product shortages, causing our business and operating results to suffer. Although we take steps to secure our management information systems, including our computer systems, intranet and internet sites, email and other telecommunications and data networks, the security measures we have implemented may not be effective and our systems may be vulnerable to theft, loss, damage and interruption from a number of potential sources and events, including unauthorized access or security breaches, natural or man-made disasters, cyber attacks, computer viruses, power loss, or other disruptive events. Our reputation, brand, and financial condition could be adversely affected if, as a result of a significant cyber event or otherwise, our operations are disrupted or shutdown; our confidential, proprietary information is stolen or disclosed; we incur costs or are required to pay fines in connection with stolen customer, employee, or other confidential information; we must dedicate significant resources to system repairs or increase cyber security protection; or we otherwise incur significant litigation or other costs.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line="248" w:lineRule="auto"/>
        <w:rPr>
          <w:sz w:val="20"/>
          <w:szCs w:val="20"/>
          <w:color w:val="auto"/>
        </w:rPr>
      </w:pPr>
      <w:r>
        <w:rPr>
          <w:rFonts w:ascii="Arial" w:cs="Arial" w:eastAsia="Arial" w:hAnsi="Arial"/>
          <w:sz w:val="18"/>
          <w:szCs w:val="18"/>
          <w:b w:val="1"/>
          <w:bCs w:val="1"/>
          <w:i w:val="1"/>
          <w:iCs w:val="1"/>
          <w:color w:val="auto"/>
        </w:rPr>
        <w:t>We face intense competition in all of our product lines with numerous manufacturers, including some that have larger operations and financial resources than us. We may not be able to compete effectively against competitors' actions, which could harm our business and operating results.</w:t>
      </w:r>
    </w:p>
    <w:p>
      <w:pPr>
        <w:spacing w:after="0" w:line="20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products are sold in highly competitive markets throughout the world. Principal competitive factors in our markets include product innovation, quality and reliability, pricing, product support and customer service, warranty, brand awareness, reputation, distribution, product placement and shelf space, and financing options. We compete in all of our product lines with numerous manufacturers, some of which have substantially larger operations and financial resources than us. As a result, they may be able to adapt more quickly to new or emerging technologies and changes in customer preferences, or devote greater resources to the development, promotion, and sale of their products than we can. In addition, competition could increase if new companies 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design, manufacture, and market products in their respective countries. We experience this competition primarily in Europe. In addition, fluctuations in the value of the U.S. dollar may affect the price of our products in foreign markets, thereby impacting their competitiveness. We may not be able to compete effectively against competitors' actions, which may include the movement by competitors with manufacturing operations to low cost countries for significant cost and price reductions, and could harm our business and operating results.</w:t>
      </w:r>
    </w:p>
    <w:p>
      <w:pPr>
        <w:spacing w:after="0" w:line="37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are subject to product liability claims, product quality issues, and other litigation from time to time that could adversely affect our operating results or financial condition.</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manufacture, sale, and usage of our products expose us to significant risks associated with product liability claims. If a product liability claim or series of claims is brought against us for uninsured liabilities or in excess of our insurance coverage, and it is ultimately determined that we are liable, our business could suffer. While we believe that we appropriately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or adversely affect our brand image or reputation. Any losses that we may suffer from any liability claims, and the effect that any product liability litigation may have upon the reputation and marketability of our products,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rework costs, and higher warranty expense.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w:t>
      </w:r>
    </w:p>
    <w:p>
      <w:pPr>
        <w:spacing w:after="0" w:line="192"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we are unable to retain our key employees, and attract and retain other qualified personnel, we may not be able to meet strategic objectives and our business could suffer.</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7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fiscal 2009, we established a financing joint venture with TCFIF for the purpose of providing reliable, competitive financing to our distributors and dealers in the U.S. and to select distributors of our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p>
      <w:pPr>
        <w:jc w:val="both"/>
        <w:ind w:right="600"/>
        <w:spacing w:after="0" w:line="281" w:lineRule="auto"/>
        <w:rPr>
          <w:sz w:val="20"/>
          <w:szCs w:val="20"/>
          <w:color w:val="auto"/>
        </w:rPr>
      </w:pPr>
      <w:r>
        <w:rPr>
          <w:rFonts w:ascii="Arial" w:cs="Arial" w:eastAsia="Arial" w:hAnsi="Arial"/>
          <w:sz w:val="16"/>
          <w:szCs w:val="16"/>
          <w:color w:val="auto"/>
        </w:rPr>
        <w:t>products in Canada to support their businesses and increase our net sales, as well as to free up our working capital for our other strategic purposes. As a result, we are dependent upon the joint venture for our inventory financing programs, including floor plan and open account receivable financing. Additionally, we are dependent upon TCFCFC to provide inventory financing to dealers of our products in Canada.</w:t>
      </w:r>
    </w:p>
    <w:p>
      <w:pPr>
        <w:spacing w:after="0" w:line="178" w:lineRule="exact"/>
        <w:rPr>
          <w:sz w:val="20"/>
          <w:szCs w:val="20"/>
          <w:color w:val="auto"/>
        </w:rPr>
      </w:pPr>
    </w:p>
    <w:p>
      <w:pPr>
        <w:ind w:right="20" w:firstLine="143"/>
        <w:spacing w:after="0" w:line="236" w:lineRule="auto"/>
        <w:rPr>
          <w:sz w:val="20"/>
          <w:szCs w:val="20"/>
          <w:color w:val="auto"/>
        </w:rPr>
      </w:pPr>
      <w:r>
        <w:rPr>
          <w:rFonts w:ascii="Arial" w:cs="Arial" w:eastAsia="Arial" w:hAnsi="Arial"/>
          <w:sz w:val="18"/>
          <w:szCs w:val="18"/>
          <w:color w:val="auto"/>
        </w:rPr>
        <w:t>The availability of financing from our joint venture or otherwise will be affected by many factors, including, among others, the overall credit markets, the credit worthiness of our dealers and distributors, and regulations that may affect TCFIF, as the majority owner of the joint venture and a subsidiary of TCF National Bank, a national banking association. Any material change in the availability or terms of credit offered to our customers by the joint venture, any termination or disruption of our joint venture relationship or any delay in securing replacement credit sources could adversely affect our sales and operating results.</w:t>
      </w:r>
    </w:p>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earnings ratios. Our credit arrangements and/or indentures also contain provisions that restrict our ability, subject to specified exceptions, to, among other things:</w:t>
      </w:r>
    </w:p>
    <w:p>
      <w:pPr>
        <w:spacing w:after="0" w:line="20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 including acquisitions and transactions with affiliates;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dispose of assets;</w:t>
      </w: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contingent obligations;</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ind w:left="540" w:hanging="532"/>
        <w:spacing w:after="0" w:line="23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209" w:lineRule="exact"/>
        <w:rPr>
          <w:sz w:val="20"/>
          <w:szCs w:val="20"/>
          <w:color w:val="auto"/>
        </w:rPr>
      </w:pPr>
    </w:p>
    <w:p>
      <w:pPr>
        <w:ind w:right="80" w:firstLine="143"/>
        <w:spacing w:after="0" w:line="236"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211" w:lineRule="exact"/>
        <w:rPr>
          <w:sz w:val="20"/>
          <w:szCs w:val="20"/>
          <w:color w:val="auto"/>
        </w:rPr>
      </w:pPr>
    </w:p>
    <w:p>
      <w:pPr>
        <w:ind w:firstLine="137"/>
        <w:spacing w:after="0" w:line="238" w:lineRule="auto"/>
        <w:rPr>
          <w:sz w:val="20"/>
          <w:szCs w:val="20"/>
          <w:color w:val="auto"/>
        </w:rPr>
      </w:pPr>
      <w:r>
        <w:rPr>
          <w:rFonts w:ascii="Arial" w:cs="Arial" w:eastAsia="Arial" w:hAnsi="Arial"/>
          <w:sz w:val="18"/>
          <w:szCs w:val="18"/>
          <w:color w:val="auto"/>
        </w:rPr>
        <w:t>Although we have in place a $150 million revolving credit facility that does not expire until July 2015, market deterioration or other factors could jeopardize the counterparty obligations of one or more of the banks participating in our facility, which could have an adverse effect on our business if we are not able to replace such credit facility or find other sources of liquidity on acceptable terms.</w:t>
      </w:r>
    </w:p>
    <w:p>
      <w:pPr>
        <w:spacing w:after="0" w:line="18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If we are unable to comply with the terms of our credit arrangements and indentures, especially the financial covenants, our credit arrangements could be terminated and our senior notes and debentures could become due and payable.</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and 7.800% debentures could become due and payable if we were unable to obtain a covenant waiver or refinance our medium-term debt under our credit arrangements. If our credit rating falls below investment grade and/or our average debt to earnings before interest, tax, depreciation, and amortization ("EBITDA") ratio rises above 2.00, the interest rate we currently pay on outstanding debt under our credit arrangements would increase, which could adversely affect our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enactments could impact the competitive landscape within our markets and affect demand for our products.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Various legislative proposals, if enacted, could put us in a competitively advantaged or disadvantaged position and affect customer demand for our products relative to the product offerings of our competitors. For example, any fiscal-stimulus or other legislative enactment that inordinately impacts the lawn and garden, outdoor power equipment, or irrigation industries generally by promoting the purchase, such as through customer rebate or other incentive programs, of certain types of mowing or irrigation equipment or other products that we sell, could impact us positively or negatively, depending on whether we manufacture products that meet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 w:name="page20"/>
    <w:bookmarkEnd w:id="19"/>
    <w:p>
      <w:pPr>
        <w:spacing w:after="0" w:line="236" w:lineRule="auto"/>
        <w:rPr>
          <w:sz w:val="20"/>
          <w:szCs w:val="20"/>
          <w:color w:val="auto"/>
        </w:rPr>
      </w:pPr>
      <w:r>
        <w:rPr>
          <w:rFonts w:ascii="Arial" w:cs="Arial" w:eastAsia="Arial" w:hAnsi="Arial"/>
          <w:sz w:val="18"/>
          <w:szCs w:val="18"/>
          <w:color w:val="auto"/>
        </w:rPr>
        <w:t>the specified legislative criteria, including in areas such as fuel efficiency, alternative energy or water usage, or if, as a result of such legislation, customers perceive our product offerings to be relatively more or less attractive than our competitors' product offerings. We cannot currently predict whether any such legislation will be enacted, what any such legislation's specific terms and conditions would encompass, how any such legislation would impact the competitive landscape within our markets, or how, if at all, any such legislation might ultimately affect customer demand for our products or our operating results.</w:t>
      </w:r>
    </w:p>
    <w:p>
      <w:pPr>
        <w:spacing w:after="0" w:line="19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Our business is subject to a number of other miscellaneous risks that may adversely affect our operating results, financial condition, 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right="26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the revenue growth, operating earnings, and employee engagement goals of our new, multi-year employee initiative called "Destination 2014";</w:t>
      </w:r>
    </w:p>
    <w:p>
      <w:pPr>
        <w:spacing w:after="0" w:line="6" w:lineRule="exact"/>
        <w:rPr>
          <w:rFonts w:ascii="Arial" w:cs="Arial" w:eastAsia="Arial" w:hAnsi="Arial"/>
          <w:sz w:val="18"/>
          <w:szCs w:val="18"/>
          <w:color w:val="auto"/>
        </w:rPr>
      </w:pPr>
    </w:p>
    <w:p>
      <w:pPr>
        <w:ind w:left="540" w:right="560" w:hanging="532"/>
        <w:spacing w:after="0" w:line="234"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or man-made disasters or global pandemics, which may result in shortages of raw materials and components, higher fuel and commodity costs, delays in shipments to customers, and increase in insurance premiums;</w:t>
      </w:r>
    </w:p>
    <w:p>
      <w:pPr>
        <w:spacing w:after="0" w:line="1"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viability of distributors and dealers, changes in distributor ownership, changes in channel distribution of our products, relationships with our distribution channel partners, our success in partnering with new dealers, and our customers' ability to pay amounts owed to us;</w:t>
      </w: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retail sales or financial difficulties of our distributors or dealers, which could cause us to repurchase financed product; and</w:t>
      </w:r>
    </w:p>
    <w:p>
      <w:pPr>
        <w:spacing w:after="0" w:line="9" w:lineRule="exact"/>
        <w:rPr>
          <w:rFonts w:ascii="Arial" w:cs="Arial" w:eastAsia="Arial" w:hAnsi="Arial"/>
          <w:sz w:val="18"/>
          <w:szCs w:val="18"/>
          <w:color w:val="auto"/>
        </w:rPr>
      </w:pPr>
    </w:p>
    <w:p>
      <w:pPr>
        <w:ind w:left="540" w:right="52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ITEM 2.  PROPERTIES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October 31, 2012, we utilized manufacturing, distribution, warehouse, and office facilities totaling approximately 6 million square feet of space worldwide. We also had approximately 72 acres of excess land in Wisconsin adjacent to a distribution center, 36 acres of land in Minnesota utilized as a testing and storage facility, 15 acres of land in Minnesota held for future expansion, and 21 acres of land in California used as a testing site.</w:t>
      </w:r>
    </w:p>
    <w:p>
      <w:pPr>
        <w:spacing w:after="0" w:line="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Plant utilization varies during the year depending on the production cycle. We consider each of our current facilities to be in good operating condition. Management believes we have sufficient manufacturing capacity for fiscal 2013. Our significant facilities are listed below by location, ownership, and function as of October 31,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6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rPr>
              <w:t>Ownership</w:t>
            </w:r>
          </w:p>
        </w:tc>
        <w:tc>
          <w:tcPr>
            <w:tcW w:w="61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b w:val="1"/>
                <w:bCs w:val="1"/>
                <w:color w:val="auto"/>
              </w:rPr>
              <w:t>Products Manufactured / Use</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Bloomington,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Corporate headquarters, warehouse, and test lab</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Paso, TX</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Ankeny, 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Plymouth,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Juarez, Mexico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Tomah, WI</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Windom,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products and warehouse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Beatrice, NE</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Riverside,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test facility,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Lakeville,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Ploiesti, Romania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Shakopee, MN</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Braeside,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El Cajon, CA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and residential products, distribution center, test lab,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Brooklyn Center, MN</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St. Louis, MO</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Sanford, FL</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Fiano Romano,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Beverley, Australia</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products, 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Baraboo, WI</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Professional 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Capena, Italy</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Oevel, Belgium</w:t>
            </w:r>
          </w:p>
        </w:tc>
        <w:tc>
          <w:tcPr>
            <w:tcW w:w="2660" w:type="dxa"/>
            <w:vAlign w:val="bottom"/>
          </w:tcPr>
          <w:p>
            <w:pPr>
              <w:ind w:left="680"/>
              <w:spacing w:after="0"/>
              <w:rPr>
                <w:sz w:val="20"/>
                <w:szCs w:val="20"/>
                <w:color w:val="auto"/>
              </w:rPr>
            </w:pPr>
            <w:r>
              <w:rPr>
                <w:rFonts w:ascii="Arial" w:cs="Arial" w:eastAsia="Arial" w:hAnsi="Arial"/>
                <w:sz w:val="14"/>
                <w:szCs w:val="14"/>
                <w:color w:val="auto"/>
              </w:rPr>
              <w:t>Owned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center, service area, and office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Kent, WA</w:t>
            </w:r>
          </w:p>
        </w:tc>
        <w:tc>
          <w:tcPr>
            <w:tcW w:w="2660" w:type="dxa"/>
            <w:vAlign w:val="bottom"/>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Pr>
          <w:p>
            <w:pPr>
              <w:ind w:left="1000"/>
              <w:spacing w:after="0"/>
              <w:rPr>
                <w:sz w:val="20"/>
                <w:szCs w:val="20"/>
                <w:color w:val="auto"/>
              </w:rPr>
            </w:pPr>
            <w:r>
              <w:rPr>
                <w:rFonts w:ascii="Arial" w:cs="Arial" w:eastAsia="Arial" w:hAnsi="Arial"/>
                <w:sz w:val="14"/>
                <w:szCs w:val="14"/>
                <w:color w:val="auto"/>
              </w:rPr>
              <w:t>Distribution facility, service area, and office</w:t>
            </w:r>
          </w:p>
        </w:tc>
      </w:tr>
      <w:tr>
        <w:trPr>
          <w:trHeight w:val="178"/>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Abilene, TX</w:t>
            </w:r>
          </w:p>
        </w:tc>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Leased</w:t>
            </w:r>
          </w:p>
        </w:tc>
        <w:tc>
          <w:tcPr>
            <w:tcW w:w="61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Office, professional products, and service center</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215" w:lineRule="exact"/>
        <w:rPr>
          <w:sz w:val="20"/>
          <w:szCs w:val="20"/>
          <w:color w:val="auto"/>
        </w:rPr>
      </w:pPr>
    </w:p>
    <w:p>
      <w:pPr>
        <w:ind w:right="220" w:firstLine="146"/>
        <w:spacing w:after="0" w:line="238" w:lineRule="auto"/>
        <w:rPr>
          <w:sz w:val="20"/>
          <w:szCs w:val="20"/>
          <w:color w:val="auto"/>
        </w:rPr>
      </w:pPr>
      <w:r>
        <w:rPr>
          <w:rFonts w:ascii="Arial" w:cs="Arial" w:eastAsia="Arial" w:hAnsi="Arial"/>
          <w:sz w:val="18"/>
          <w:szCs w:val="18"/>
          <w:color w:val="auto"/>
        </w:rPr>
        <w:t>For a description of our material legal proceedings, see Note 13 of the Notes to Consolidated Financial Statements under the heading "Commitments and Contingent Liabilities – Litigation" included in Item 8, Financial Statements and Supplementary Data of this Annual Report on Form 10-K, which is incorporated into this Item 3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The list sets forth each such person's age and position with the company as of December 12, 2012, as well as other positions held by them for at least the last five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Borders>
              <w:top w:val="single" w:sz="8" w:color="auto"/>
            </w:tcBorders>
          </w:tcPr>
          <w:p>
            <w:pPr>
              <w:spacing w:after="0" w:line="197" w:lineRule="exact"/>
              <w:rPr>
                <w:sz w:val="20"/>
                <w:szCs w:val="20"/>
                <w:color w:val="auto"/>
              </w:rPr>
            </w:pPr>
            <w:r>
              <w:rPr>
                <w:rFonts w:ascii="Arial" w:cs="Arial" w:eastAsia="Arial" w:hAnsi="Arial"/>
                <w:sz w:val="18"/>
                <w:szCs w:val="18"/>
                <w:b w:val="1"/>
                <w:bCs w:val="1"/>
                <w:color w:val="auto"/>
              </w:rPr>
              <w:t>Name, Age,</w:t>
            </w:r>
          </w:p>
        </w:tc>
        <w:tc>
          <w:tcPr>
            <w:tcW w:w="10300" w:type="dxa"/>
            <w:vAlign w:val="bottom"/>
            <w:tcBorders>
              <w:top w:val="single" w:sz="8" w:color="auto"/>
            </w:tcBorders>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b w:val="1"/>
                <w:bCs w:val="1"/>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b w:val="1"/>
                <w:bCs w:val="1"/>
                <w:color w:val="auto"/>
              </w:rPr>
              <w:t>Position</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b w:val="1"/>
                <w:bCs w:val="1"/>
                <w:color w:val="auto"/>
              </w:rPr>
              <w:t>with the</w:t>
            </w:r>
          </w:p>
        </w:tc>
        <w:tc>
          <w:tcPr>
            <w:tcW w:w="10300" w:type="dxa"/>
            <w:vAlign w:val="bottom"/>
          </w:tcPr>
          <w:p>
            <w:pPr>
              <w:spacing w:after="0"/>
              <w:rPr>
                <w:sz w:val="17"/>
                <w:szCs w:val="17"/>
                <w:color w:val="auto"/>
              </w:rPr>
            </w:pPr>
          </w:p>
        </w:tc>
      </w:tr>
      <w:tr>
        <w:trPr>
          <w:trHeight w:val="242"/>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10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Business Experience During the Last Five or More Years</w:t>
            </w: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Michael J.</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Chairman of the Board since March 2006, Chief Executive Officer since March 2005 and President since October 2004.</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Hoffman</w:t>
            </w:r>
          </w:p>
        </w:tc>
        <w:tc>
          <w:tcPr>
            <w:tcW w:w="10300" w:type="dxa"/>
            <w:vAlign w:val="bottom"/>
          </w:tcPr>
          <w:p>
            <w:pPr>
              <w:spacing w:after="0"/>
              <w:rPr>
                <w:sz w:val="19"/>
                <w:szCs w:val="19"/>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57,</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Chairman of</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the Board,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Chief</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Executive</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Judy L.</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w w:val="97"/>
              </w:rPr>
              <w:t>Vice President, Operations and Quality Management since October 2011. From October 2009 to October 2011, she served as Vice</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Altmaier</w:t>
            </w:r>
          </w:p>
        </w:tc>
        <w:tc>
          <w:tcPr>
            <w:tcW w:w="10300" w:type="dxa"/>
            <w:vAlign w:val="bottom"/>
          </w:tcPr>
          <w:p>
            <w:pPr>
              <w:ind w:left="100"/>
              <w:spacing w:after="0"/>
              <w:rPr>
                <w:sz w:val="20"/>
                <w:szCs w:val="20"/>
                <w:color w:val="auto"/>
              </w:rPr>
            </w:pPr>
            <w:r>
              <w:rPr>
                <w:rFonts w:ascii="Arial" w:cs="Arial" w:eastAsia="Arial" w:hAnsi="Arial"/>
                <w:sz w:val="18"/>
                <w:szCs w:val="18"/>
                <w:color w:val="auto"/>
                <w:w w:val="99"/>
              </w:rPr>
              <w:t>President, Operations. From January 2009 to October 2009, she served as Vice President/General Manager of Operations, Auto</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51, 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w w:val="98"/>
              </w:rPr>
              <w:t>Group Americas for Eaton Corporation, a diversified industrial manufacturer. From July 2007 to January 2009, she served as Vice</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President/General Manager of Global Engine Valve Division in Turin, Italy for Eaton Corporation.</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Operations</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Quality</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William E.</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w w:val="99"/>
              </w:rPr>
              <w:t>Group Vice President, International and Commercial Businesses since March 2012. From August 2010 to March 2012, he served</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Brown, Jr.</w:t>
            </w:r>
          </w:p>
        </w:tc>
        <w:tc>
          <w:tcPr>
            <w:tcW w:w="10300" w:type="dxa"/>
            <w:vAlign w:val="bottom"/>
          </w:tcPr>
          <w:p>
            <w:pPr>
              <w:ind w:left="100"/>
              <w:spacing w:after="0"/>
              <w:rPr>
                <w:sz w:val="20"/>
                <w:szCs w:val="20"/>
                <w:color w:val="auto"/>
              </w:rPr>
            </w:pPr>
            <w:r>
              <w:rPr>
                <w:rFonts w:ascii="Arial" w:cs="Arial" w:eastAsia="Arial" w:hAnsi="Arial"/>
                <w:sz w:val="18"/>
                <w:szCs w:val="18"/>
                <w:color w:val="auto"/>
              </w:rPr>
              <w:t>as Vice President, International Business. From February 2009 to July 2010, he served as Vice President, Residential and</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51, Group</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Landscape Contractor Businesses. From November 2006 to February 2009, he served as Vice President, Consumer and</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Landscape Contractor Business – Toro.</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Commercial</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Philip A.</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Irrigation Business since September 2010, which includes responsibility for our Western-based distributor. From</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Burkart</w:t>
            </w:r>
          </w:p>
        </w:tc>
        <w:tc>
          <w:tcPr>
            <w:tcW w:w="10300" w:type="dxa"/>
            <w:vAlign w:val="bottom"/>
          </w:tcPr>
          <w:p>
            <w:pPr>
              <w:ind w:left="100"/>
              <w:spacing w:after="0"/>
              <w:rPr>
                <w:sz w:val="20"/>
                <w:szCs w:val="20"/>
                <w:color w:val="auto"/>
              </w:rPr>
            </w:pPr>
            <w:r>
              <w:rPr>
                <w:rFonts w:ascii="Arial" w:cs="Arial" w:eastAsia="Arial" w:hAnsi="Arial"/>
                <w:sz w:val="18"/>
                <w:szCs w:val="18"/>
                <w:color w:val="auto"/>
              </w:rPr>
              <w:t>November 2006 to September 2010, he served as Vice President, Irrigation Businesses.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50, Vice</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Irrigation</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Timothy P.</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Secretary and General Counsel since May 2007.</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Dordell</w:t>
            </w:r>
          </w:p>
        </w:tc>
        <w:tc>
          <w:tcPr>
            <w:tcW w:w="10300" w:type="dxa"/>
            <w:vAlign w:val="bottom"/>
          </w:tcPr>
          <w:p>
            <w:pPr>
              <w:spacing w:after="0"/>
              <w:rPr>
                <w:sz w:val="19"/>
                <w:szCs w:val="19"/>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50, Vice</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Secretary</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General</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Counsel</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Michael D.</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Global Micro-Irrigation Business since March 2012. From February 2009 to March 2012, he served as Vice</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Drazan</w:t>
            </w:r>
          </w:p>
        </w:tc>
        <w:tc>
          <w:tcPr>
            <w:tcW w:w="10300" w:type="dxa"/>
            <w:vAlign w:val="bottom"/>
          </w:tcPr>
          <w:p>
            <w:pPr>
              <w:ind w:left="100"/>
              <w:spacing w:after="0"/>
              <w:rPr>
                <w:sz w:val="20"/>
                <w:szCs w:val="20"/>
                <w:color w:val="auto"/>
              </w:rPr>
            </w:pPr>
            <w:r>
              <w:rPr>
                <w:rFonts w:ascii="Arial" w:cs="Arial" w:eastAsia="Arial" w:hAnsi="Arial"/>
                <w:sz w:val="18"/>
                <w:szCs w:val="18"/>
                <w:color w:val="auto"/>
                <w:w w:val="99"/>
              </w:rPr>
              <w:t>President, Contractor Business and Chief Information Officer, which included responsibility for our Exmark and Sitework Systems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54, 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Businesses and our Information Services function. In September 2010, he also assumed responsibility for our Micro-Irrigation</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Business and Corporate Accounts. From November 2007 to February 2009, he served as Chief Information Officer and Vice</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Global</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President, Corporate Services.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Micro-</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Irrigation</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Blake M.</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Corporate Controller since December 2008. From February 2006 to December 2008, he served as Managing</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Grams</w:t>
            </w:r>
          </w:p>
        </w:tc>
        <w:tc>
          <w:tcPr>
            <w:tcW w:w="10300" w:type="dxa"/>
            <w:vAlign w:val="bottom"/>
          </w:tcPr>
          <w:p>
            <w:pPr>
              <w:ind w:left="100"/>
              <w:spacing w:after="0"/>
              <w:rPr>
                <w:sz w:val="20"/>
                <w:szCs w:val="20"/>
                <w:color w:val="auto"/>
              </w:rPr>
            </w:pPr>
            <w:r>
              <w:rPr>
                <w:rFonts w:ascii="Arial" w:cs="Arial" w:eastAsia="Arial" w:hAnsi="Arial"/>
                <w:sz w:val="18"/>
                <w:szCs w:val="18"/>
                <w:color w:val="auto"/>
              </w:rPr>
              <w:t>Director, Corporate Controller.</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45, Vice</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Controller</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Michael J.</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w w:val="99"/>
              </w:rPr>
              <w:t>Group Vice President, Residential and Contractor Businesses since March 2012, which includes responsibility for our Residential</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Happe</w:t>
            </w:r>
          </w:p>
        </w:tc>
        <w:tc>
          <w:tcPr>
            <w:tcW w:w="10300" w:type="dxa"/>
            <w:vAlign w:val="bottom"/>
          </w:tcPr>
          <w:p>
            <w:pPr>
              <w:ind w:left="100"/>
              <w:spacing w:after="0"/>
              <w:rPr>
                <w:sz w:val="20"/>
                <w:szCs w:val="20"/>
                <w:color w:val="auto"/>
              </w:rPr>
            </w:pPr>
            <w:r>
              <w:rPr>
                <w:rFonts w:ascii="Arial" w:cs="Arial" w:eastAsia="Arial" w:hAnsi="Arial"/>
                <w:sz w:val="18"/>
                <w:szCs w:val="18"/>
                <w:color w:val="auto"/>
                <w:w w:val="97"/>
              </w:rPr>
              <w:t>and Landscape Contractor – Toro, Exmark, and Sitework Systems Businesses and our Midwestern-based distributor. From August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41, Group</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2010 to March 2012, he served as Vice President, Residential and Landscape Contractor Businesses. From December 2008 to</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July 2010, he served as Vice President, Commercial Business. From November 2007 to December 2008, he served as General</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Manager, Commercial Business.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Residential</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Contractor</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Businesses</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Thomas J.</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Treasurer since December 2008. From February 2006 to December 2008, he served as Treasurer.</w:t>
            </w:r>
          </w:p>
        </w:tc>
      </w:tr>
      <w:tr>
        <w:trPr>
          <w:trHeight w:val="233"/>
        </w:trPr>
        <w:tc>
          <w:tcPr>
            <w:tcW w:w="1120" w:type="dxa"/>
            <w:vAlign w:val="bottom"/>
          </w:tcPr>
          <w:p>
            <w:pPr>
              <w:spacing w:after="0"/>
              <w:rPr>
                <w:sz w:val="20"/>
                <w:szCs w:val="20"/>
                <w:color w:val="auto"/>
              </w:rPr>
            </w:pPr>
            <w:r>
              <w:rPr>
                <w:rFonts w:ascii="Arial" w:cs="Arial" w:eastAsia="Arial" w:hAnsi="Arial"/>
                <w:sz w:val="18"/>
                <w:szCs w:val="18"/>
                <w:b w:val="1"/>
                <w:bCs w:val="1"/>
                <w:color w:val="auto"/>
              </w:rPr>
              <w:t>Larson</w:t>
            </w:r>
          </w:p>
        </w:tc>
        <w:tc>
          <w:tcPr>
            <w:tcW w:w="10300" w:type="dxa"/>
            <w:vAlign w:val="bottom"/>
          </w:tcPr>
          <w:p>
            <w:pPr>
              <w:spacing w:after="0"/>
              <w:rPr>
                <w:sz w:val="20"/>
                <w:szCs w:val="20"/>
                <w:color w:val="auto"/>
              </w:rPr>
            </w:pP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55, Vice</w:t>
      </w:r>
    </w:p>
    <w:p>
      <w:pPr>
        <w:spacing w:after="0" w:line="234" w:lineRule="auto"/>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Richard M.</w:t>
            </w:r>
          </w:p>
        </w:tc>
        <w:tc>
          <w:tcPr>
            <w:tcW w:w="10300" w:type="dxa"/>
            <w:vAlign w:val="bottom"/>
            <w:tcBorders>
              <w:top w:val="single" w:sz="8" w:color="auto"/>
            </w:tcBorders>
          </w:tcPr>
          <w:p>
            <w:pPr>
              <w:ind w:left="100"/>
              <w:spacing w:after="0" w:line="193" w:lineRule="exact"/>
              <w:rPr>
                <w:sz w:val="20"/>
                <w:szCs w:val="20"/>
                <w:color w:val="auto"/>
              </w:rPr>
            </w:pPr>
            <w:r>
              <w:rPr>
                <w:rFonts w:ascii="Arial" w:cs="Arial" w:eastAsia="Arial" w:hAnsi="Arial"/>
                <w:sz w:val="18"/>
                <w:szCs w:val="18"/>
                <w:color w:val="auto"/>
                <w:w w:val="99"/>
              </w:rPr>
              <w:t>Vice President, Exmark since March 2012. From September 2010 to March 2012, he served as General Manager, Exmark. From</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Olson</w:t>
            </w:r>
          </w:p>
        </w:tc>
        <w:tc>
          <w:tcPr>
            <w:tcW w:w="10300" w:type="dxa"/>
            <w:vAlign w:val="bottom"/>
          </w:tcPr>
          <w:p>
            <w:pPr>
              <w:ind w:left="100"/>
              <w:spacing w:after="0"/>
              <w:rPr>
                <w:sz w:val="20"/>
                <w:szCs w:val="20"/>
                <w:color w:val="auto"/>
              </w:rPr>
            </w:pPr>
            <w:r>
              <w:rPr>
                <w:rFonts w:ascii="Arial" w:cs="Arial" w:eastAsia="Arial" w:hAnsi="Arial"/>
                <w:sz w:val="18"/>
                <w:szCs w:val="18"/>
                <w:color w:val="auto"/>
              </w:rPr>
              <w:t>April 2008 to September 2010, he served as Managing Director, Operations. From November 2006 to April 2008, he served as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48, 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Director, Operations.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Exmark</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Renee J.</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Finance and Chief Financial Officer since August 2011. In March 2012, she also assumed responsibility for our</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Peterson</w:t>
            </w:r>
          </w:p>
        </w:tc>
        <w:tc>
          <w:tcPr>
            <w:tcW w:w="10300" w:type="dxa"/>
            <w:vAlign w:val="bottom"/>
          </w:tcPr>
          <w:p>
            <w:pPr>
              <w:ind w:left="100"/>
              <w:spacing w:after="0"/>
              <w:rPr>
                <w:sz w:val="20"/>
                <w:szCs w:val="20"/>
                <w:color w:val="auto"/>
              </w:rPr>
            </w:pPr>
            <w:r>
              <w:rPr>
                <w:rFonts w:ascii="Arial" w:cs="Arial" w:eastAsia="Arial" w:hAnsi="Arial"/>
                <w:sz w:val="18"/>
                <w:szCs w:val="18"/>
                <w:color w:val="auto"/>
                <w:w w:val="98"/>
              </w:rPr>
              <w:t>Information Services function. From July 2009 to August 2011, she served as Vice President – Finance and Planning for the Truck</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51, Vice</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and Automotive Segments of Eaton Corporation, a diversified industrial manufacturer. From September 2008 to July 2009, she</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served as Vice President – Finance, Information Technology and Business Development for the Automotive Segment of Eaton</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Finance and</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w w:val="98"/>
              </w:rPr>
              <w:t>Corporation. From July 2005 to September 2008, she served as Vice President – Finance of Defense and Space Operations in the</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Chief</w:t>
            </w:r>
          </w:p>
        </w:tc>
        <w:tc>
          <w:tcPr>
            <w:tcW w:w="10300" w:type="dxa"/>
            <w:vAlign w:val="bottom"/>
          </w:tcPr>
          <w:p>
            <w:pPr>
              <w:ind w:left="100"/>
              <w:spacing w:after="0" w:line="202" w:lineRule="exact"/>
              <w:rPr>
                <w:sz w:val="20"/>
                <w:szCs w:val="20"/>
                <w:color w:val="auto"/>
              </w:rPr>
            </w:pPr>
            <w:r>
              <w:rPr>
                <w:rFonts w:ascii="Arial" w:cs="Arial" w:eastAsia="Arial" w:hAnsi="Arial"/>
                <w:sz w:val="18"/>
                <w:szCs w:val="18"/>
                <w:color w:val="auto"/>
              </w:rPr>
              <w:t>Aerospace Business at Honeywell International Inc.</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Financial</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Peter M.</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Human Resources and Business Development since November 2007.</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Ramstad</w:t>
            </w:r>
          </w:p>
        </w:tc>
        <w:tc>
          <w:tcPr>
            <w:tcW w:w="10300" w:type="dxa"/>
            <w:vAlign w:val="bottom"/>
          </w:tcPr>
          <w:p>
            <w:pPr>
              <w:spacing w:after="0"/>
              <w:rPr>
                <w:sz w:val="19"/>
                <w:szCs w:val="19"/>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55, Vice</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Human</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Resources</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and</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Business</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w:t>
            </w:r>
          </w:p>
        </w:tc>
        <w:tc>
          <w:tcPr>
            <w:tcW w:w="10300" w:type="dxa"/>
            <w:vAlign w:val="bottom"/>
            <w:tcBorders>
              <w:bottom w:val="single" w:sz="8" w:color="auto"/>
            </w:tcBorders>
          </w:tcPr>
          <w:p>
            <w:pPr>
              <w:spacing w:after="0"/>
              <w:rPr>
                <w:sz w:val="19"/>
                <w:szCs w:val="19"/>
                <w:color w:val="auto"/>
              </w:rPr>
            </w:pPr>
          </w:p>
        </w:tc>
      </w:tr>
      <w:tr>
        <w:trPr>
          <w:trHeight w:val="184"/>
        </w:trPr>
        <w:tc>
          <w:tcPr>
            <w:tcW w:w="1120" w:type="dxa"/>
            <w:vAlign w:val="bottom"/>
          </w:tcPr>
          <w:p>
            <w:pPr>
              <w:spacing w:after="0" w:line="184" w:lineRule="exact"/>
              <w:rPr>
                <w:sz w:val="20"/>
                <w:szCs w:val="20"/>
                <w:color w:val="auto"/>
              </w:rPr>
            </w:pPr>
            <w:r>
              <w:rPr>
                <w:rFonts w:ascii="Arial" w:cs="Arial" w:eastAsia="Arial" w:hAnsi="Arial"/>
                <w:sz w:val="18"/>
                <w:szCs w:val="18"/>
                <w:b w:val="1"/>
                <w:bCs w:val="1"/>
                <w:color w:val="auto"/>
              </w:rPr>
              <w:t>Darren L.</w:t>
            </w:r>
          </w:p>
        </w:tc>
        <w:tc>
          <w:tcPr>
            <w:tcW w:w="10300" w:type="dxa"/>
            <w:vAlign w:val="bottom"/>
          </w:tcPr>
          <w:p>
            <w:pPr>
              <w:ind w:left="100"/>
              <w:spacing w:after="0" w:line="184" w:lineRule="exact"/>
              <w:rPr>
                <w:sz w:val="20"/>
                <w:szCs w:val="20"/>
                <w:color w:val="auto"/>
              </w:rPr>
            </w:pPr>
            <w:r>
              <w:rPr>
                <w:rFonts w:ascii="Arial" w:cs="Arial" w:eastAsia="Arial" w:hAnsi="Arial"/>
                <w:sz w:val="18"/>
                <w:szCs w:val="18"/>
                <w:color w:val="auto"/>
              </w:rPr>
              <w:t>Vice President, Commercial Business since August 2010. From December 2008 to July 2010, he served as Vice President,</w:t>
            </w:r>
          </w:p>
        </w:tc>
      </w:tr>
      <w:tr>
        <w:trPr>
          <w:trHeight w:val="225"/>
        </w:trPr>
        <w:tc>
          <w:tcPr>
            <w:tcW w:w="1120" w:type="dxa"/>
            <w:vAlign w:val="bottom"/>
          </w:tcPr>
          <w:p>
            <w:pPr>
              <w:spacing w:after="0"/>
              <w:rPr>
                <w:sz w:val="20"/>
                <w:szCs w:val="20"/>
                <w:color w:val="auto"/>
              </w:rPr>
            </w:pPr>
            <w:r>
              <w:rPr>
                <w:rFonts w:ascii="Arial" w:cs="Arial" w:eastAsia="Arial" w:hAnsi="Arial"/>
                <w:sz w:val="18"/>
                <w:szCs w:val="18"/>
                <w:b w:val="1"/>
                <w:bCs w:val="1"/>
                <w:color w:val="auto"/>
              </w:rPr>
              <w:t>Redetzke</w:t>
            </w:r>
          </w:p>
        </w:tc>
        <w:tc>
          <w:tcPr>
            <w:tcW w:w="10300" w:type="dxa"/>
            <w:vAlign w:val="bottom"/>
          </w:tcPr>
          <w:p>
            <w:pPr>
              <w:ind w:left="100"/>
              <w:spacing w:after="0"/>
              <w:rPr>
                <w:sz w:val="20"/>
                <w:szCs w:val="20"/>
                <w:color w:val="auto"/>
              </w:rPr>
            </w:pPr>
            <w:r>
              <w:rPr>
                <w:rFonts w:ascii="Arial" w:cs="Arial" w:eastAsia="Arial" w:hAnsi="Arial"/>
                <w:sz w:val="18"/>
                <w:szCs w:val="18"/>
                <w:color w:val="auto"/>
              </w:rPr>
              <w:t>International Business. From November 2007 to December 2008, he served as General Manager, International Business.</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48, Vice</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President,</w:t>
            </w:r>
          </w:p>
        </w:tc>
        <w:tc>
          <w:tcPr>
            <w:tcW w:w="10300" w:type="dxa"/>
            <w:vAlign w:val="bottom"/>
          </w:tcPr>
          <w:p>
            <w:pPr>
              <w:spacing w:after="0"/>
              <w:rPr>
                <w:sz w:val="17"/>
                <w:szCs w:val="17"/>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Commercial</w:t>
            </w:r>
          </w:p>
        </w:tc>
        <w:tc>
          <w:tcPr>
            <w:tcW w:w="10300" w:type="dxa"/>
            <w:vAlign w:val="bottom"/>
          </w:tcPr>
          <w:p>
            <w:pPr>
              <w:spacing w:after="0"/>
              <w:rPr>
                <w:sz w:val="17"/>
                <w:szCs w:val="17"/>
                <w:color w:val="auto"/>
              </w:rPr>
            </w:pPr>
          </w:p>
        </w:tc>
      </w:tr>
      <w:tr>
        <w:trPr>
          <w:trHeight w:val="220"/>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Business</w:t>
            </w:r>
          </w:p>
        </w:tc>
        <w:tc>
          <w:tcPr>
            <w:tcW w:w="10300" w:type="dxa"/>
            <w:vAlign w:val="bottom"/>
            <w:tcBorders>
              <w:bottom w:val="single" w:sz="8" w:color="auto"/>
            </w:tcBorders>
          </w:tcPr>
          <w:p>
            <w:pPr>
              <w:spacing w:after="0"/>
              <w:rPr>
                <w:sz w:val="19"/>
                <w:szCs w:val="19"/>
                <w:color w:val="auto"/>
              </w:rPr>
            </w:pPr>
          </w:p>
        </w:tc>
      </w:tr>
      <w:tr>
        <w:trPr>
          <w:trHeight w:val="430"/>
        </w:trPr>
        <w:tc>
          <w:tcPr>
            <w:tcW w:w="1120" w:type="dxa"/>
            <w:vAlign w:val="bottom"/>
          </w:tcPr>
          <w:p>
            <w:pPr>
              <w:spacing w:after="0"/>
              <w:rPr>
                <w:sz w:val="24"/>
                <w:szCs w:val="24"/>
                <w:color w:val="auto"/>
              </w:rPr>
            </w:pPr>
          </w:p>
        </w:tc>
        <w:tc>
          <w:tcPr>
            <w:tcW w:w="10300" w:type="dxa"/>
            <w:vAlign w:val="bottom"/>
          </w:tcPr>
          <w:p>
            <w:pPr>
              <w:ind w:left="4500"/>
              <w:spacing w:after="0"/>
              <w:rPr>
                <w:sz w:val="20"/>
                <w:szCs w:val="20"/>
                <w:color w:val="auto"/>
              </w:rPr>
            </w:pPr>
            <w:r>
              <w:rPr>
                <w:rFonts w:ascii="Arial" w:cs="Arial" w:eastAsia="Arial" w:hAnsi="Arial"/>
                <w:sz w:val="18"/>
                <w:szCs w:val="18"/>
                <w:color w:val="auto"/>
              </w:rPr>
              <w:t>22</w:t>
            </w:r>
          </w:p>
        </w:tc>
      </w:tr>
      <w:tr>
        <w:trPr>
          <w:trHeight w:val="215"/>
        </w:trPr>
        <w:tc>
          <w:tcPr>
            <w:tcW w:w="1120" w:type="dxa"/>
            <w:vAlign w:val="bottom"/>
            <w:tcBorders>
              <w:bottom w:val="single" w:sz="8" w:color="808080"/>
            </w:tcBorders>
          </w:tcPr>
          <w:p>
            <w:pPr>
              <w:spacing w:after="0"/>
              <w:rPr>
                <w:sz w:val="18"/>
                <w:szCs w:val="18"/>
                <w:color w:val="auto"/>
              </w:rPr>
            </w:pPr>
          </w:p>
        </w:tc>
        <w:tc>
          <w:tcPr>
            <w:tcW w:w="10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8" w:right="239" w:bottom="1440" w:gutter="0" w:footer="0" w:header="0"/>
        </w:sectPr>
      </w:pPr>
    </w:p>
    <w:bookmarkStart w:id="23" w:name="page24"/>
    <w:bookmarkEnd w:id="23"/>
    <w:p>
      <w:pPr>
        <w:jc w:val="center"/>
        <w:ind w:right="60"/>
        <w:spacing w:after="0"/>
        <w:rPr>
          <w:sz w:val="20"/>
          <w:szCs w:val="20"/>
          <w:color w:val="auto"/>
        </w:rPr>
      </w:pPr>
      <w:r>
        <w:rPr>
          <w:rFonts w:ascii="Arial" w:cs="Arial" w:eastAsia="Arial" w:hAnsi="Arial"/>
          <w:sz w:val="24"/>
          <w:szCs w:val="24"/>
          <w:b w:val="1"/>
          <w:bCs w:val="1"/>
          <w:color w:val="auto"/>
        </w:rPr>
        <w:t>PART II</w:t>
      </w:r>
    </w:p>
    <w:p>
      <w:pPr>
        <w:spacing w:after="0" w:line="220" w:lineRule="exact"/>
        <w:rPr>
          <w:sz w:val="20"/>
          <w:szCs w:val="20"/>
          <w:color w:val="auto"/>
        </w:rPr>
      </w:pPr>
    </w:p>
    <w:p>
      <w:pPr>
        <w:ind w:right="8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common stock is listed for trading on the New York Stock Exchange and trades under the symbol "TTC." The high, low, and last sales prices for our common stock and cash dividends paid for each of the quarterly periods for fiscal 2012 and 2011 were as follows:</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3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October 31, 2012</w:t>
            </w:r>
          </w:p>
        </w:tc>
        <w:tc>
          <w:tcPr>
            <w:tcW w:w="3220" w:type="dxa"/>
            <w:vAlign w:val="bottom"/>
          </w:tcPr>
          <w:p>
            <w:pPr>
              <w:ind w:left="2840"/>
              <w:spacing w:after="0"/>
              <w:rPr>
                <w:sz w:val="20"/>
                <w:szCs w:val="20"/>
                <w:color w:val="auto"/>
              </w:rPr>
            </w:pPr>
            <w:r>
              <w:rPr>
                <w:rFonts w:ascii="Arial" w:cs="Arial" w:eastAsia="Arial" w:hAnsi="Arial"/>
                <w:sz w:val="14"/>
                <w:szCs w:val="14"/>
                <w:b w:val="1"/>
                <w:bCs w:val="1"/>
                <w:color w:val="auto"/>
              </w:rPr>
              <w:t>First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820" w:type="dxa"/>
            <w:vAlign w:val="bottom"/>
            <w:gridSpan w:val="4"/>
          </w:tcPr>
          <w:p>
            <w:pPr>
              <w:ind w:left="200"/>
              <w:spacing w:after="0"/>
              <w:rPr>
                <w:sz w:val="20"/>
                <w:szCs w:val="20"/>
                <w:color w:val="auto"/>
              </w:rPr>
            </w:pPr>
            <w:r>
              <w:rPr>
                <w:rFonts w:ascii="Arial" w:cs="Arial" w:eastAsia="Arial" w:hAnsi="Arial"/>
                <w:sz w:val="14"/>
                <w:szCs w:val="14"/>
                <w:b w:val="1"/>
                <w:bCs w:val="1"/>
                <w:color w:val="auto"/>
              </w:rPr>
              <w:t>Fourth</w:t>
            </w:r>
          </w:p>
        </w:tc>
      </w:tr>
      <w:tr>
        <w:trPr>
          <w:trHeight w:val="189"/>
        </w:trPr>
        <w:tc>
          <w:tcPr>
            <w:tcW w:w="60" w:type="dxa"/>
            <w:vAlign w:val="bottom"/>
            <w:tcBorders>
              <w:right w:val="single" w:sz="8" w:color="CCEEFF"/>
            </w:tcBorders>
          </w:tcPr>
          <w:p>
            <w:pPr>
              <w:spacing w:after="0"/>
              <w:rPr>
                <w:sz w:val="16"/>
                <w:szCs w:val="16"/>
                <w:color w:val="auto"/>
              </w:rPr>
            </w:pPr>
          </w:p>
        </w:tc>
        <w:tc>
          <w:tcPr>
            <w:tcW w:w="5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Market price per share of common stock</w:t>
            </w:r>
            <w:r>
              <w:rPr>
                <w:rFonts w:ascii="Arial" w:cs="Arial" w:eastAsia="Arial" w:hAnsi="Arial"/>
                <w:sz w:val="21"/>
                <w:szCs w:val="21"/>
                <w:b w:val="1"/>
                <w:bCs w:val="1"/>
                <w:color w:val="auto"/>
                <w:vertAlign w:val="superscript"/>
              </w:rPr>
              <w:t>1</w:t>
            </w:r>
          </w:p>
        </w:tc>
        <w:tc>
          <w:tcPr>
            <w:tcW w:w="3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62"/>
        </w:trPr>
        <w:tc>
          <w:tcPr>
            <w:tcW w:w="60" w:type="dxa"/>
            <w:vAlign w:val="bottom"/>
          </w:tcPr>
          <w:p>
            <w:pPr>
              <w:spacing w:after="0"/>
              <w:rPr>
                <w:sz w:val="14"/>
                <w:szCs w:val="14"/>
                <w:color w:val="auto"/>
              </w:rPr>
            </w:pPr>
          </w:p>
        </w:tc>
        <w:tc>
          <w:tcPr>
            <w:tcW w:w="5720" w:type="dxa"/>
            <w:vAlign w:val="bottom"/>
          </w:tcPr>
          <w:p>
            <w:pPr>
              <w:jc w:val="center"/>
              <w:ind w:right="4228"/>
              <w:spacing w:after="0"/>
              <w:rPr>
                <w:sz w:val="20"/>
                <w:szCs w:val="20"/>
                <w:color w:val="auto"/>
              </w:rPr>
            </w:pPr>
            <w:r>
              <w:rPr>
                <w:rFonts w:ascii="Arial" w:cs="Arial" w:eastAsia="Arial" w:hAnsi="Arial"/>
                <w:sz w:val="14"/>
                <w:szCs w:val="14"/>
                <w:b w:val="1"/>
                <w:bCs w:val="1"/>
                <w:color w:val="auto"/>
              </w:rPr>
              <w:t>High sales price</w:t>
            </w:r>
          </w:p>
        </w:tc>
        <w:tc>
          <w:tcPr>
            <w:tcW w:w="3220" w:type="dxa"/>
            <w:vAlign w:val="bottom"/>
          </w:tcPr>
          <w:p>
            <w:pPr>
              <w:jc w:val="right"/>
              <w:ind w:right="8"/>
              <w:spacing w:after="0"/>
              <w:rPr>
                <w:sz w:val="20"/>
                <w:szCs w:val="20"/>
                <w:color w:val="auto"/>
              </w:rPr>
            </w:pPr>
            <w:r>
              <w:rPr>
                <w:rFonts w:ascii="Arial" w:cs="Arial" w:eastAsia="Arial" w:hAnsi="Arial"/>
                <w:sz w:val="14"/>
                <w:szCs w:val="14"/>
                <w:b w:val="1"/>
                <w:bCs w:val="1"/>
                <w:color w:val="auto"/>
              </w:rPr>
              <w:t>$ 33.135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$ 36.525</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$ 40.338</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$ 42.360</w:t>
            </w:r>
          </w:p>
        </w:tc>
        <w:tc>
          <w:tcPr>
            <w:tcW w:w="60" w:type="dxa"/>
            <w:vAlign w:val="bottom"/>
          </w:tcPr>
          <w:p>
            <w:pPr>
              <w:spacing w:after="0"/>
              <w:rPr>
                <w:sz w:val="14"/>
                <w:szCs w:val="14"/>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5720" w:type="dxa"/>
            <w:vAlign w:val="bottom"/>
            <w:shd w:val="clear" w:color="auto" w:fill="CCEEFF"/>
          </w:tcPr>
          <w:p>
            <w:pPr>
              <w:jc w:val="center"/>
              <w:ind w:right="4248"/>
              <w:spacing w:after="0"/>
              <w:rPr>
                <w:sz w:val="20"/>
                <w:szCs w:val="20"/>
                <w:color w:val="auto"/>
              </w:rPr>
            </w:pPr>
            <w:r>
              <w:rPr>
                <w:rFonts w:ascii="Arial" w:cs="Arial" w:eastAsia="Arial" w:hAnsi="Arial"/>
                <w:sz w:val="14"/>
                <w:szCs w:val="14"/>
                <w:b w:val="1"/>
                <w:bCs w:val="1"/>
                <w:color w:val="auto"/>
              </w:rPr>
              <w:t>Low sales price</w:t>
            </w:r>
          </w:p>
        </w:tc>
        <w:tc>
          <w:tcPr>
            <w:tcW w:w="3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25.890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32.750</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35.640</w:t>
            </w:r>
          </w:p>
        </w:tc>
        <w:tc>
          <w:tcPr>
            <w:tcW w:w="60" w:type="dxa"/>
            <w:vAlign w:val="bottom"/>
            <w:shd w:val="clear" w:color="auto" w:fill="CCEEFF"/>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720" w:type="dxa"/>
            <w:vAlign w:val="bottom"/>
          </w:tcPr>
          <w:p>
            <w:pPr>
              <w:jc w:val="center"/>
              <w:ind w:right="4248"/>
              <w:spacing w:after="0"/>
              <w:rPr>
                <w:sz w:val="20"/>
                <w:szCs w:val="20"/>
                <w:color w:val="auto"/>
              </w:rPr>
            </w:pPr>
            <w:r>
              <w:rPr>
                <w:rFonts w:ascii="Arial" w:cs="Arial" w:eastAsia="Arial" w:hAnsi="Arial"/>
                <w:sz w:val="14"/>
                <w:szCs w:val="14"/>
                <w:b w:val="1"/>
                <w:bCs w:val="1"/>
                <w:color w:val="auto"/>
              </w:rPr>
              <w:t>Last sales price</w:t>
            </w:r>
          </w:p>
        </w:tc>
        <w:tc>
          <w:tcPr>
            <w:tcW w:w="3220" w:type="dxa"/>
            <w:vAlign w:val="bottom"/>
          </w:tcPr>
          <w:p>
            <w:pPr>
              <w:jc w:val="right"/>
              <w:ind w:right="8"/>
              <w:spacing w:after="0"/>
              <w:rPr>
                <w:sz w:val="20"/>
                <w:szCs w:val="20"/>
                <w:color w:val="auto"/>
              </w:rPr>
            </w:pPr>
            <w:r>
              <w:rPr>
                <w:rFonts w:ascii="Arial" w:cs="Arial" w:eastAsia="Arial" w:hAnsi="Arial"/>
                <w:sz w:val="14"/>
                <w:szCs w:val="14"/>
                <w:b w:val="1"/>
                <w:bCs w:val="1"/>
                <w:color w:val="auto"/>
              </w:rPr>
              <w:t>32.650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35.305</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37.910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42.220</w:t>
            </w:r>
          </w:p>
        </w:tc>
        <w:tc>
          <w:tcPr>
            <w:tcW w:w="60" w:type="dxa"/>
            <w:vAlign w:val="bottom"/>
          </w:tcPr>
          <w:p>
            <w:pPr>
              <w:spacing w:after="0"/>
              <w:rPr>
                <w:sz w:val="14"/>
                <w:szCs w:val="14"/>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572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1,2</w:t>
            </w:r>
          </w:p>
        </w:tc>
        <w:tc>
          <w:tcPr>
            <w:tcW w:w="3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0.11</w:t>
            </w:r>
          </w:p>
        </w:tc>
        <w:tc>
          <w:tcPr>
            <w:tcW w:w="60" w:type="dxa"/>
            <w:vAlign w:val="bottom"/>
            <w:shd w:val="clear" w:color="auto" w:fill="CCEEFF"/>
          </w:tcPr>
          <w:p>
            <w:pPr>
              <w:spacing w:after="0"/>
              <w:rPr>
                <w:sz w:val="16"/>
                <w:szCs w:val="16"/>
                <w:color w:val="auto"/>
              </w:rPr>
            </w:pPr>
          </w:p>
        </w:tc>
      </w:tr>
      <w:tr>
        <w:trPr>
          <w:trHeight w:val="27"/>
        </w:trPr>
        <w:tc>
          <w:tcPr>
            <w:tcW w:w="6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615"/>
        </w:trPr>
        <w:tc>
          <w:tcPr>
            <w:tcW w:w="60" w:type="dxa"/>
            <w:vAlign w:val="bottom"/>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6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Fiscal year ended</w:t>
            </w:r>
          </w:p>
        </w:tc>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60" w:type="dxa"/>
            <w:vAlign w:val="bottom"/>
          </w:tcPr>
          <w:p>
            <w:pPr>
              <w:spacing w:after="0"/>
              <w:rPr>
                <w:sz w:val="15"/>
                <w:szCs w:val="15"/>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October 31, 2011</w:t>
            </w:r>
          </w:p>
        </w:tc>
        <w:tc>
          <w:tcPr>
            <w:tcW w:w="3220" w:type="dxa"/>
            <w:vAlign w:val="bottom"/>
          </w:tcPr>
          <w:p>
            <w:pPr>
              <w:ind w:left="2840"/>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Second</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Third</w:t>
            </w:r>
          </w:p>
        </w:tc>
        <w:tc>
          <w:tcPr>
            <w:tcW w:w="820" w:type="dxa"/>
            <w:vAlign w:val="bottom"/>
            <w:gridSpan w:val="4"/>
          </w:tcPr>
          <w:p>
            <w:pPr>
              <w:ind w:left="180"/>
              <w:spacing w:after="0"/>
              <w:rPr>
                <w:sz w:val="20"/>
                <w:szCs w:val="20"/>
                <w:color w:val="auto"/>
              </w:rPr>
            </w:pPr>
            <w:r>
              <w:rPr>
                <w:rFonts w:ascii="Arial" w:cs="Arial" w:eastAsia="Arial" w:hAnsi="Arial"/>
                <w:sz w:val="14"/>
                <w:szCs w:val="14"/>
                <w:color w:val="auto"/>
              </w:rPr>
              <w:t>Fourth</w:t>
            </w:r>
          </w:p>
        </w:tc>
      </w:tr>
      <w:tr>
        <w:trPr>
          <w:trHeight w:val="189"/>
        </w:trPr>
        <w:tc>
          <w:tcPr>
            <w:tcW w:w="60" w:type="dxa"/>
            <w:vAlign w:val="bottom"/>
          </w:tcPr>
          <w:p>
            <w:pPr>
              <w:spacing w:after="0"/>
              <w:rPr>
                <w:sz w:val="16"/>
                <w:szCs w:val="16"/>
                <w:color w:val="auto"/>
              </w:rPr>
            </w:pPr>
          </w:p>
        </w:tc>
        <w:tc>
          <w:tcPr>
            <w:tcW w:w="5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4"/>
                <w:szCs w:val="14"/>
                <w:color w:val="auto"/>
              </w:rPr>
              <w:t>Market price per share of common stock</w:t>
            </w:r>
            <w:r>
              <w:rPr>
                <w:rFonts w:ascii="Arial" w:cs="Arial" w:eastAsia="Arial" w:hAnsi="Arial"/>
                <w:sz w:val="21"/>
                <w:szCs w:val="21"/>
                <w:color w:val="auto"/>
                <w:vertAlign w:val="superscript"/>
              </w:rPr>
              <w:t>1</w:t>
            </w:r>
          </w:p>
        </w:tc>
        <w:tc>
          <w:tcPr>
            <w:tcW w:w="3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60" w:type="dxa"/>
            <w:vAlign w:val="bottom"/>
          </w:tcPr>
          <w:p>
            <w:pPr>
              <w:spacing w:after="0"/>
              <w:rPr>
                <w:sz w:val="14"/>
                <w:szCs w:val="14"/>
                <w:color w:val="auto"/>
              </w:rPr>
            </w:pPr>
          </w:p>
        </w:tc>
        <w:tc>
          <w:tcPr>
            <w:tcW w:w="5720" w:type="dxa"/>
            <w:vAlign w:val="bottom"/>
          </w:tcPr>
          <w:p>
            <w:pPr>
              <w:jc w:val="center"/>
              <w:ind w:right="4188"/>
              <w:spacing w:after="0"/>
              <w:rPr>
                <w:sz w:val="20"/>
                <w:szCs w:val="20"/>
                <w:color w:val="auto"/>
              </w:rPr>
            </w:pPr>
            <w:r>
              <w:rPr>
                <w:rFonts w:ascii="Arial" w:cs="Arial" w:eastAsia="Arial" w:hAnsi="Arial"/>
                <w:sz w:val="14"/>
                <w:szCs w:val="14"/>
                <w:color w:val="auto"/>
              </w:rPr>
              <w:t>High sales price</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$ 32.395</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$ 33.975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$ 34.215</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$ 28.280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720" w:type="dxa"/>
            <w:vAlign w:val="bottom"/>
            <w:shd w:val="clear" w:color="auto" w:fill="CCEEFF"/>
          </w:tcPr>
          <w:p>
            <w:pPr>
              <w:jc w:val="center"/>
              <w:ind w:right="4208"/>
              <w:spacing w:after="0"/>
              <w:rPr>
                <w:sz w:val="20"/>
                <w:szCs w:val="20"/>
                <w:color w:val="auto"/>
              </w:rPr>
            </w:pPr>
            <w:r>
              <w:rPr>
                <w:rFonts w:ascii="Arial" w:cs="Arial" w:eastAsia="Arial" w:hAnsi="Arial"/>
                <w:sz w:val="14"/>
                <w:szCs w:val="14"/>
                <w:color w:val="auto"/>
              </w:rPr>
              <w:t>Low sales price</w:t>
            </w:r>
          </w:p>
        </w:tc>
        <w:tc>
          <w:tcPr>
            <w:tcW w:w="3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28.790</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22.525</w:t>
            </w:r>
          </w:p>
        </w:tc>
        <w:tc>
          <w:tcPr>
            <w:tcW w:w="1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720" w:type="dxa"/>
            <w:vAlign w:val="bottom"/>
          </w:tcPr>
          <w:p>
            <w:pPr>
              <w:jc w:val="center"/>
              <w:ind w:right="4208"/>
              <w:spacing w:after="0"/>
              <w:rPr>
                <w:sz w:val="20"/>
                <w:szCs w:val="20"/>
                <w:color w:val="auto"/>
              </w:rPr>
            </w:pPr>
            <w:r>
              <w:rPr>
                <w:rFonts w:ascii="Arial" w:cs="Arial" w:eastAsia="Arial" w:hAnsi="Arial"/>
                <w:sz w:val="14"/>
                <w:szCs w:val="14"/>
                <w:color w:val="auto"/>
              </w:rPr>
              <w:t>Last sales price</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30.355</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33.955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26.915</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27.020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0" w:type="dxa"/>
            <w:vAlign w:val="bottom"/>
          </w:tcPr>
          <w:p>
            <w:pPr>
              <w:spacing w:after="0"/>
              <w:rPr>
                <w:sz w:val="16"/>
                <w:szCs w:val="16"/>
                <w:color w:val="auto"/>
              </w:rPr>
            </w:pPr>
          </w:p>
        </w:tc>
        <w:tc>
          <w:tcPr>
            <w:tcW w:w="572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1,2</w:t>
            </w:r>
          </w:p>
        </w:tc>
        <w:tc>
          <w:tcPr>
            <w:tcW w:w="3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7"/>
        </w:trPr>
        <w:tc>
          <w:tcPr>
            <w:tcW w:w="6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920" w:type="dxa"/>
            <w:vAlign w:val="bottom"/>
            <w:vMerge w:val="restart"/>
          </w:tcPr>
          <w:p>
            <w:pPr>
              <w:ind w:left="240"/>
              <w:spacing w:after="0"/>
              <w:rPr>
                <w:sz w:val="20"/>
                <w:szCs w:val="20"/>
                <w:color w:val="auto"/>
              </w:rPr>
            </w:pPr>
            <w:r>
              <w:rPr>
                <w:rFonts w:ascii="Arial" w:cs="Arial" w:eastAsia="Arial" w:hAnsi="Arial"/>
                <w:sz w:val="14"/>
                <w:szCs w:val="14"/>
                <w:color w:val="auto"/>
              </w:rPr>
              <w:t>Market prices and per share data have been adjusted for all periods presented to reflect the impact of the company's two-for-one stock split effective June 29, 2012.</w:t>
            </w:r>
          </w:p>
        </w:tc>
        <w:tc>
          <w:tcPr>
            <w:tcW w:w="0" w:type="dxa"/>
            <w:vAlign w:val="bottom"/>
          </w:tcPr>
          <w:p>
            <w:pPr>
              <w:spacing w:after="0"/>
              <w:rPr>
                <w:sz w:val="1"/>
                <w:szCs w:val="1"/>
                <w:color w:val="auto"/>
              </w:rPr>
            </w:pPr>
          </w:p>
        </w:tc>
      </w:tr>
      <w:tr>
        <w:trPr>
          <w:trHeight w:val="6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0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0920" w:type="dxa"/>
            <w:vAlign w:val="bottom"/>
            <w:vMerge w:val="restart"/>
          </w:tcPr>
          <w:p>
            <w:pPr>
              <w:ind w:left="240"/>
              <w:spacing w:after="0"/>
              <w:rPr>
                <w:sz w:val="20"/>
                <w:szCs w:val="20"/>
                <w:color w:val="auto"/>
              </w:rPr>
            </w:pPr>
            <w:r>
              <w:rPr>
                <w:rFonts w:ascii="Arial" w:cs="Arial" w:eastAsia="Arial" w:hAnsi="Arial"/>
                <w:sz w:val="14"/>
                <w:szCs w:val="14"/>
                <w:color w:val="auto"/>
              </w:rPr>
              <w:t>Future cash dividends will depend upon our financial condition, capital requirements, results of operations, and other factors deemed relevant by our Board of Directors.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0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 100,000,000 shares authorized, $1.00 par value, 58,266,482 and 59,206,190 shares outstanding as of October 31, 2012 and</w:t>
      </w:r>
      <w:r>
        <w:rPr>
          <w:rFonts w:ascii="Arial" w:cs="Arial" w:eastAsia="Arial" w:hAnsi="Arial"/>
          <w:sz w:val="18"/>
          <w:szCs w:val="18"/>
          <w:b w:val="1"/>
          <w:bCs w:val="1"/>
          <w:color w:val="auto"/>
        </w:rPr>
        <w:t xml:space="preserve"> </w:t>
      </w:r>
      <w:r>
        <w:rPr>
          <w:rFonts w:ascii="Arial" w:cs="Arial" w:eastAsia="Arial" w:hAnsi="Arial"/>
          <w:sz w:val="18"/>
          <w:szCs w:val="18"/>
          <w:color w:val="auto"/>
        </w:rPr>
        <w:t>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1,000,000 voting shares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Shareholders </w:t>
      </w:r>
      <w:r>
        <w:rPr>
          <w:rFonts w:ascii="Arial" w:cs="Arial" w:eastAsia="Arial" w:hAnsi="Arial"/>
          <w:sz w:val="18"/>
          <w:szCs w:val="18"/>
          <w:color w:val="auto"/>
        </w:rPr>
        <w:t>– As of December 12, 2012, we had approximately 3,917 shareholders of record.</w:t>
      </w:r>
    </w:p>
    <w:p>
      <w:pPr>
        <w:spacing w:after="0" w:line="21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sets forth information with respect to shares of our common stock purchased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each of the three fiscal months in our fourth quarter ended October 31, 2012.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0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Maximum</w:t>
            </w:r>
          </w:p>
        </w:tc>
      </w:tr>
      <w:tr>
        <w:trPr>
          <w:trHeight w:val="162"/>
        </w:trPr>
        <w:tc>
          <w:tcPr>
            <w:tcW w:w="5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Shares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Number of</w:t>
            </w:r>
          </w:p>
        </w:tc>
      </w:tr>
      <w:tr>
        <w:trPr>
          <w:trHeight w:val="162"/>
        </w:trPr>
        <w:tc>
          <w:tcPr>
            <w:tcW w:w="5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Purchased</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Shares that</w:t>
            </w:r>
          </w:p>
        </w:tc>
      </w:tr>
      <w:tr>
        <w:trPr>
          <w:trHeight w:val="162"/>
        </w:trPr>
        <w:tc>
          <w:tcPr>
            <w:tcW w:w="5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Average</w:t>
            </w:r>
          </w:p>
        </w:tc>
        <w:tc>
          <w:tcPr>
            <w:tcW w:w="800" w:type="dxa"/>
            <w:vAlign w:val="bottom"/>
          </w:tcPr>
          <w:p>
            <w:pPr>
              <w:jc w:val="right"/>
              <w:spacing w:after="0"/>
              <w:rPr>
                <w:sz w:val="20"/>
                <w:szCs w:val="20"/>
                <w:color w:val="auto"/>
              </w:rPr>
            </w:pPr>
            <w:r>
              <w:rPr>
                <w:rFonts w:ascii="Arial" w:cs="Arial" w:eastAsia="Arial" w:hAnsi="Arial"/>
                <w:sz w:val="14"/>
                <w:szCs w:val="14"/>
                <w:color w:val="auto"/>
              </w:rPr>
              <w:t>as Part of</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May Yet be</w:t>
            </w:r>
          </w:p>
        </w:tc>
      </w:tr>
      <w:tr>
        <w:trPr>
          <w:trHeight w:val="162"/>
        </w:trPr>
        <w:tc>
          <w:tcPr>
            <w:tcW w:w="5500" w:type="dxa"/>
            <w:vAlign w:val="bottom"/>
          </w:tcPr>
          <w:p>
            <w:pPr>
              <w:spacing w:after="0"/>
              <w:rPr>
                <w:sz w:val="14"/>
                <w:szCs w:val="14"/>
                <w:color w:val="auto"/>
              </w:rPr>
            </w:pPr>
          </w:p>
        </w:tc>
        <w:tc>
          <w:tcPr>
            <w:tcW w:w="3360" w:type="dxa"/>
            <w:vAlign w:val="bottom"/>
          </w:tcPr>
          <w:p>
            <w:pPr>
              <w:jc w:val="right"/>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Price</w:t>
            </w:r>
          </w:p>
        </w:tc>
        <w:tc>
          <w:tcPr>
            <w:tcW w:w="800" w:type="dxa"/>
            <w:vAlign w:val="bottom"/>
          </w:tcPr>
          <w:p>
            <w:pPr>
              <w:jc w:val="right"/>
              <w:spacing w:after="0"/>
              <w:rPr>
                <w:sz w:val="20"/>
                <w:szCs w:val="20"/>
                <w:color w:val="auto"/>
              </w:rPr>
            </w:pPr>
            <w:r>
              <w:rPr>
                <w:rFonts w:ascii="Arial" w:cs="Arial" w:eastAsia="Arial" w:hAnsi="Arial"/>
                <w:sz w:val="14"/>
                <w:szCs w:val="14"/>
                <w:color w:val="auto"/>
              </w:rPr>
              <w:t>Publicly</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Purchased</w:t>
            </w:r>
          </w:p>
        </w:tc>
      </w:tr>
      <w:tr>
        <w:trPr>
          <w:trHeight w:val="162"/>
        </w:trPr>
        <w:tc>
          <w:tcPr>
            <w:tcW w:w="5500" w:type="dxa"/>
            <w:vAlign w:val="bottom"/>
          </w:tcPr>
          <w:p>
            <w:pPr>
              <w:spacing w:after="0"/>
              <w:rPr>
                <w:sz w:val="14"/>
                <w:szCs w:val="14"/>
                <w:color w:val="auto"/>
              </w:rPr>
            </w:pPr>
          </w:p>
        </w:tc>
        <w:tc>
          <w:tcPr>
            <w:tcW w:w="336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Paid</w:t>
            </w:r>
          </w:p>
        </w:tc>
        <w:tc>
          <w:tcPr>
            <w:tcW w:w="80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Under the</w:t>
            </w:r>
          </w:p>
        </w:tc>
      </w:tr>
      <w:tr>
        <w:trPr>
          <w:trHeight w:val="154"/>
        </w:trPr>
        <w:tc>
          <w:tcPr>
            <w:tcW w:w="5500" w:type="dxa"/>
            <w:vAlign w:val="bottom"/>
          </w:tcPr>
          <w:p>
            <w:pPr>
              <w:spacing w:after="0"/>
              <w:rPr>
                <w:sz w:val="13"/>
                <w:szCs w:val="13"/>
                <w:color w:val="auto"/>
              </w:rPr>
            </w:pPr>
          </w:p>
        </w:tc>
        <w:tc>
          <w:tcPr>
            <w:tcW w:w="3360" w:type="dxa"/>
            <w:vAlign w:val="bottom"/>
          </w:tcPr>
          <w:p>
            <w:pPr>
              <w:jc w:val="right"/>
              <w:spacing w:after="0" w:line="154"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600" w:type="dxa"/>
            <w:vAlign w:val="bottom"/>
          </w:tcPr>
          <w:p>
            <w:pPr>
              <w:jc w:val="right"/>
              <w:ind w:right="8"/>
              <w:spacing w:after="0" w:line="154" w:lineRule="exact"/>
              <w:rPr>
                <w:sz w:val="20"/>
                <w:szCs w:val="20"/>
                <w:color w:val="auto"/>
              </w:rPr>
            </w:pPr>
            <w:r>
              <w:rPr>
                <w:rFonts w:ascii="Arial" w:cs="Arial" w:eastAsia="Arial" w:hAnsi="Arial"/>
                <w:sz w:val="14"/>
                <w:szCs w:val="14"/>
                <w:color w:val="auto"/>
              </w:rPr>
              <w:t>Per</w:t>
            </w:r>
          </w:p>
        </w:tc>
        <w:tc>
          <w:tcPr>
            <w:tcW w:w="800" w:type="dxa"/>
            <w:vAlign w:val="bottom"/>
          </w:tcPr>
          <w:p>
            <w:pPr>
              <w:jc w:val="right"/>
              <w:spacing w:after="0" w:line="154" w:lineRule="exact"/>
              <w:rPr>
                <w:sz w:val="20"/>
                <w:szCs w:val="20"/>
                <w:color w:val="auto"/>
              </w:rPr>
            </w:pPr>
            <w:r>
              <w:rPr>
                <w:rFonts w:ascii="Arial" w:cs="Arial" w:eastAsia="Arial" w:hAnsi="Arial"/>
                <w:sz w:val="14"/>
                <w:szCs w:val="14"/>
                <w:color w:val="auto"/>
              </w:rPr>
              <w:t>Plans or</w:t>
            </w:r>
          </w:p>
        </w:tc>
        <w:tc>
          <w:tcPr>
            <w:tcW w:w="10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Plans or</w:t>
            </w:r>
          </w:p>
        </w:tc>
      </w:tr>
      <w:tr>
        <w:trPr>
          <w:trHeight w:val="219"/>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336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4"/>
                <w:szCs w:val="14"/>
                <w:color w:val="auto"/>
              </w:rPr>
              <w:t>Purchased</w:t>
            </w:r>
            <w:r>
              <w:rPr>
                <w:rFonts w:ascii="Arial" w:cs="Arial" w:eastAsia="Arial" w:hAnsi="Arial"/>
                <w:sz w:val="21"/>
                <w:szCs w:val="21"/>
                <w:color w:val="auto"/>
                <w:vertAlign w:val="superscript"/>
              </w:rPr>
              <w:t>1,2,3</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Share</w:t>
            </w:r>
          </w:p>
        </w:tc>
        <w:tc>
          <w:tcPr>
            <w:tcW w:w="80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c>
          <w:tcPr>
            <w:tcW w:w="920" w:type="dxa"/>
            <w:vAlign w:val="bottom"/>
            <w:tcBorders>
              <w:bottom w:val="single" w:sz="8" w:color="auto"/>
            </w:tcBorders>
          </w:tcPr>
          <w:p>
            <w:pPr>
              <w:jc w:val="right"/>
              <w:spacing w:after="0" w:line="219" w:lineRule="exact"/>
              <w:rPr>
                <w:sz w:val="20"/>
                <w:szCs w:val="20"/>
                <w:color w:val="auto"/>
              </w:rPr>
            </w:pPr>
            <w:r>
              <w:rPr>
                <w:rFonts w:ascii="Arial" w:cs="Arial" w:eastAsia="Arial" w:hAnsi="Arial"/>
                <w:sz w:val="14"/>
                <w:szCs w:val="14"/>
                <w:color w:val="auto"/>
              </w:rPr>
              <w:t>Programs</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r>
      <w:tr>
        <w:trPr>
          <w:trHeight w:val="156"/>
        </w:trPr>
        <w:tc>
          <w:tcPr>
            <w:tcW w:w="5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August 4, 2012 through August 31, 2012</w:t>
            </w:r>
          </w:p>
        </w:tc>
        <w:tc>
          <w:tcPr>
            <w:tcW w:w="33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53,964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37.07</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48,992</w:t>
            </w:r>
          </w:p>
        </w:tc>
        <w:tc>
          <w:tcPr>
            <w:tcW w:w="10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2,078,115</w:t>
            </w:r>
          </w:p>
        </w:tc>
      </w:tr>
      <w:tr>
        <w:trPr>
          <w:trHeight w:val="162"/>
        </w:trPr>
        <w:tc>
          <w:tcPr>
            <w:tcW w:w="5500" w:type="dxa"/>
            <w:vAlign w:val="bottom"/>
          </w:tcPr>
          <w:p>
            <w:pPr>
              <w:spacing w:after="0"/>
              <w:rPr>
                <w:sz w:val="20"/>
                <w:szCs w:val="20"/>
                <w:color w:val="auto"/>
              </w:rPr>
            </w:pPr>
            <w:r>
              <w:rPr>
                <w:rFonts w:ascii="Arial" w:cs="Arial" w:eastAsia="Arial" w:hAnsi="Arial"/>
                <w:sz w:val="14"/>
                <w:szCs w:val="14"/>
                <w:color w:val="auto"/>
              </w:rPr>
              <w:t>September 1, 2012 through September 28, 2012</w:t>
            </w:r>
          </w:p>
        </w:tc>
        <w:tc>
          <w:tcPr>
            <w:tcW w:w="3360" w:type="dxa"/>
            <w:vAlign w:val="bottom"/>
          </w:tcPr>
          <w:p>
            <w:pPr>
              <w:jc w:val="right"/>
              <w:spacing w:after="0"/>
              <w:rPr>
                <w:sz w:val="20"/>
                <w:szCs w:val="20"/>
                <w:color w:val="auto"/>
              </w:rPr>
            </w:pPr>
            <w:r>
              <w:rPr>
                <w:rFonts w:ascii="Arial" w:cs="Arial" w:eastAsia="Arial" w:hAnsi="Arial"/>
                <w:sz w:val="14"/>
                <w:szCs w:val="14"/>
                <w:color w:val="auto"/>
              </w:rPr>
              <w:t>166,323</w:t>
            </w:r>
          </w:p>
        </w:tc>
        <w:tc>
          <w:tcPr>
            <w:tcW w:w="1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39.25</w:t>
            </w:r>
          </w:p>
        </w:tc>
        <w:tc>
          <w:tcPr>
            <w:tcW w:w="800" w:type="dxa"/>
            <w:vAlign w:val="bottom"/>
          </w:tcPr>
          <w:p>
            <w:pPr>
              <w:jc w:val="right"/>
              <w:spacing w:after="0"/>
              <w:rPr>
                <w:sz w:val="20"/>
                <w:szCs w:val="20"/>
                <w:color w:val="auto"/>
              </w:rPr>
            </w:pPr>
            <w:r>
              <w:rPr>
                <w:rFonts w:ascii="Arial" w:cs="Arial" w:eastAsia="Arial" w:hAnsi="Arial"/>
                <w:sz w:val="14"/>
                <w:szCs w:val="14"/>
                <w:color w:val="auto"/>
              </w:rPr>
              <w:t>165,863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1,912,252</w:t>
            </w:r>
          </w:p>
        </w:tc>
      </w:tr>
      <w:tr>
        <w:trPr>
          <w:trHeight w:val="162"/>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September 29, 2012 through October 31, 2012</w:t>
            </w:r>
          </w:p>
        </w:tc>
        <w:tc>
          <w:tcPr>
            <w:tcW w:w="3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441,701</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1,474,677</w:t>
            </w:r>
          </w:p>
        </w:tc>
      </w:tr>
      <w:tr>
        <w:trPr>
          <w:trHeight w:val="27"/>
        </w:trPr>
        <w:tc>
          <w:tcPr>
            <w:tcW w:w="55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7"/>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661,988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39.39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652,430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3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On December 1, 2010, the Board of Directors authorized the repurchase of 6,000,000 shares of our common stock (as adjusted from the original amount of</w:t>
      </w: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1060" w:type="dxa"/>
            <w:vAlign w:val="bottom"/>
          </w:tcPr>
          <w:p>
            <w:pPr>
              <w:ind w:left="240"/>
              <w:spacing w:after="0"/>
              <w:rPr>
                <w:sz w:val="20"/>
                <w:szCs w:val="20"/>
                <w:color w:val="auto"/>
              </w:rPr>
            </w:pPr>
            <w:r>
              <w:rPr>
                <w:rFonts w:ascii="Arial" w:cs="Arial" w:eastAsia="Arial" w:hAnsi="Arial"/>
                <w:sz w:val="14"/>
                <w:szCs w:val="14"/>
                <w:color w:val="auto"/>
              </w:rPr>
              <w:t>3,000,000 shares in connection with our two-for-one stock split effective June 29, 2012) in open-market or in privately negotiated transactions. This program has no</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60" w:type="dxa"/>
            <w:vAlign w:val="bottom"/>
          </w:tcPr>
          <w:p>
            <w:pPr>
              <w:ind w:left="240"/>
              <w:spacing w:after="0"/>
              <w:rPr>
                <w:sz w:val="20"/>
                <w:szCs w:val="20"/>
                <w:color w:val="auto"/>
              </w:rPr>
            </w:pPr>
            <w:r>
              <w:rPr>
                <w:rFonts w:ascii="Arial" w:cs="Arial" w:eastAsia="Arial" w:hAnsi="Arial"/>
                <w:sz w:val="14"/>
                <w:szCs w:val="14"/>
                <w:color w:val="auto"/>
              </w:rPr>
              <w:t>expiration date but may be terminated by the Board at any time.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60" w:type="dxa"/>
            <w:vAlign w:val="bottom"/>
            <w:vMerge w:val="restart"/>
          </w:tcPr>
          <w:p>
            <w:pPr>
              <w:ind w:left="240"/>
              <w:spacing w:after="0"/>
              <w:rPr>
                <w:sz w:val="20"/>
                <w:szCs w:val="20"/>
                <w:color w:val="auto"/>
              </w:rPr>
            </w:pPr>
            <w:r>
              <w:rPr>
                <w:rFonts w:ascii="Arial" w:cs="Arial" w:eastAsia="Arial" w:hAnsi="Arial"/>
                <w:sz w:val="14"/>
                <w:szCs w:val="14"/>
                <w:color w:val="auto"/>
              </w:rPr>
              <w:t>Includes 8,666 shares of our common stock surrendered by employees to satisfy minimum tax withholding obligations upon vesting of restricted stock granted under our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60" w:type="dxa"/>
            <w:vAlign w:val="bottom"/>
          </w:tcPr>
          <w:p>
            <w:pPr>
              <w:ind w:left="240"/>
              <w:spacing w:after="0"/>
              <w:rPr>
                <w:sz w:val="20"/>
                <w:szCs w:val="20"/>
                <w:color w:val="auto"/>
              </w:rPr>
            </w:pPr>
            <w:r>
              <w:rPr>
                <w:rFonts w:ascii="Arial" w:cs="Arial" w:eastAsia="Arial" w:hAnsi="Arial"/>
                <w:sz w:val="14"/>
                <w:szCs w:val="14"/>
                <w:color w:val="auto"/>
              </w:rPr>
              <w:t>stock-based compensation plans. These 8,666 shares were not repurchased under our repurchase program, described in footnote 1 above.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60" w:type="dxa"/>
            <w:vAlign w:val="bottom"/>
            <w:vMerge w:val="restart"/>
          </w:tcPr>
          <w:p>
            <w:pPr>
              <w:ind w:left="240"/>
              <w:spacing w:after="0"/>
              <w:rPr>
                <w:sz w:val="20"/>
                <w:szCs w:val="20"/>
                <w:color w:val="auto"/>
              </w:rPr>
            </w:pPr>
            <w:r>
              <w:rPr>
                <w:rFonts w:ascii="Arial" w:cs="Arial" w:eastAsia="Arial" w:hAnsi="Arial"/>
                <w:sz w:val="14"/>
                <w:szCs w:val="14"/>
                <w:color w:val="auto"/>
              </w:rPr>
              <w:t>Includes 892 units (shares) of our common stock purchased in open-market transactions at an average price of $39.99 per share on behalf of a rabbi trust formed to pay</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11060" w:type="dxa"/>
            <w:vAlign w:val="bottom"/>
          </w:tcPr>
          <w:p>
            <w:pPr>
              <w:ind w:left="240"/>
              <w:spacing w:after="0"/>
              <w:rPr>
                <w:sz w:val="20"/>
                <w:szCs w:val="20"/>
                <w:color w:val="auto"/>
              </w:rPr>
            </w:pPr>
            <w:r>
              <w:rPr>
                <w:rFonts w:ascii="Arial" w:cs="Arial" w:eastAsia="Arial" w:hAnsi="Arial"/>
                <w:sz w:val="14"/>
                <w:szCs w:val="14"/>
                <w:color w:val="auto"/>
              </w:rPr>
              <w:t>benefit obligations to participants in deferred compensation plans. These 892 shares were not repurchased under our repurchase program, described in footnote 1 above.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On December 11, 2012, our Board of Directors authorized the repurchase of up to an additional 5,000,000 shares of our common stock in open-market or in privately negotiated transactions. This repurchase program has no expiration date but may be terminated by the Board at any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The Toro Company Common Stock Comparative Performance Graph</w:t>
      </w:r>
    </w:p>
    <w:p>
      <w:pPr>
        <w:spacing w:after="0" w:line="21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The information contained in The Toro Company Common Stock Comparative Performance Graph section shall not be deemed to be "soliciting material" or "filed" or incorporated by reference in future filings with the SEC, or subject to the liabilities of Section 18 of the Exchange Act, except to the extent that we specifically request that it be treated as soliciting material or incorporate it by reference into a document filed under the Securities Act or the Exchange Act.</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five-year period from October 31, 2007 through October 31, 2012.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The Toro Company, the S&amp;P 500 Index</w:t>
      </w:r>
    </w:p>
    <w:p>
      <w:pPr>
        <w:jc w:val="center"/>
        <w:ind w:right="-19"/>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132080</wp:posOffset>
            </wp:positionV>
            <wp:extent cx="5694045" cy="2649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404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*$100 invested on 10/31/07 in stock or index, including reinvestment of dividends.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Fiscal year ending October 31.</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6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ending October 31</w:t>
            </w:r>
          </w:p>
        </w:tc>
        <w:tc>
          <w:tcPr>
            <w:tcW w:w="14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2007</w:t>
            </w:r>
          </w:p>
        </w:tc>
        <w:tc>
          <w:tcPr>
            <w:tcW w:w="9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0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10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6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The Toro Company</w:t>
            </w:r>
          </w:p>
        </w:tc>
        <w:tc>
          <w:tcPr>
            <w:tcW w:w="140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$ 100.00</w:t>
            </w:r>
          </w:p>
        </w:tc>
        <w:tc>
          <w:tcPr>
            <w:tcW w:w="98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$ 61.28</w:t>
            </w:r>
          </w:p>
        </w:tc>
        <w:tc>
          <w:tcPr>
            <w:tcW w:w="98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$ 68.75</w:t>
            </w:r>
          </w:p>
        </w:tc>
        <w:tc>
          <w:tcPr>
            <w:tcW w:w="1040" w:type="dxa"/>
            <w:vAlign w:val="bottom"/>
            <w:tcBorders>
              <w:top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$ 106.94</w:t>
            </w:r>
          </w:p>
        </w:tc>
        <w:tc>
          <w:tcPr>
            <w:tcW w:w="104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$ 103.23</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$ 163.36</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100.00</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63.90</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70.17</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81.76</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88.37</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101.81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100.00</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47.30</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64.11</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87.36</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94.98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97.88</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industry peer group is based on the companies previously included in the Fortune 500 Industrial and Farm Equipment Index, which was discontinued after 2002 and includes: AGCO Corporation, The Alpine Group, Briggs &amp; Stratton Corporation, Caterpillar Inc., Crane Co., Cummins Inc., Deere &amp; Company, Dover Corporation, Flowserve Corporation, General Cable Corporation, Harsco Corporation, Illinois Tool Works Inc., International Game Technology, ITT Corporation, Kennametal Inc., Lennox International Inc., Milacron Inc., NACCO Industries, Inc., Pall Corporation, Parker-Hannifin Corporation, Pentair Ltd., Snap-On Inc., The Shaw Group Inc., Tecumseh Products Company, Teleflex Inc., Terex Corporation, The Timken Company, and Walter Energy Inc.</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4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table presents our selected financial data for each of the fiscal years in the five-year period ended October 31, 2012. The table should be read in conjunction with Item 7, "Management's Discussion and Analysis of Financial Condition and Results of Operations," and Item 8, "Financial Statements and Supplementary Data," of this Annual Report on Form 10-K.</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Fiscal years ended October 31</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2009</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RESULTS: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1,958,690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1,883,953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1,690,378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1,523,447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1,878,184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Net sales growth (decline) from prior year</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Gross profit as a percentage of net sales</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34.4%</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34.8%</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Selling, general, and administrative expense as a</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23.9%</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w:t>
            </w: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Operating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205,613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184,487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151,266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115,197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198,409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10.6%</w:t>
            </w: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Net earnings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129,541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117,658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93,237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62,837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119,651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r>
      <w:tr>
        <w:trPr>
          <w:trHeight w:val="189"/>
        </w:trPr>
        <w:tc>
          <w:tcPr>
            <w:tcW w:w="20" w:type="dxa"/>
            <w:vAlign w:val="bottom"/>
          </w:tcPr>
          <w:p>
            <w:pPr>
              <w:spacing w:after="0"/>
              <w:rPr>
                <w:sz w:val="16"/>
                <w:szCs w:val="16"/>
                <w:color w:val="auto"/>
              </w:rPr>
            </w:pPr>
          </w:p>
        </w:tc>
        <w:tc>
          <w:tcPr>
            <w:tcW w:w="380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0.88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2.14</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0.87</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6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Return on average stockholders' equity</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44.7%</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32.6%</w:t>
            </w: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935,199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870,663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885,622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872,682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932,260</w:t>
            </w:r>
          </w:p>
        </w:tc>
        <w:tc>
          <w:tcPr>
            <w:tcW w:w="160" w:type="dxa"/>
            <w:vAlign w:val="bottom"/>
          </w:tcPr>
          <w:p>
            <w:pPr>
              <w:spacing w:after="0"/>
              <w:rPr>
                <w:sz w:val="14"/>
                <w:szCs w:val="14"/>
                <w:color w:val="auto"/>
              </w:rPr>
            </w:pPr>
          </w:p>
        </w:tc>
      </w:tr>
      <w:tr>
        <w:trPr>
          <w:trHeight w:val="147"/>
        </w:trPr>
        <w:tc>
          <w:tcPr>
            <w:tcW w:w="20" w:type="dxa"/>
            <w:vAlign w:val="bottom"/>
          </w:tcPr>
          <w:p>
            <w:pPr>
              <w:spacing w:after="0"/>
              <w:rPr>
                <w:sz w:val="12"/>
                <w:szCs w:val="12"/>
                <w:color w:val="auto"/>
              </w:rPr>
            </w:pPr>
          </w:p>
        </w:tc>
        <w:tc>
          <w:tcPr>
            <w:tcW w:w="380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Average net working capital as a percentage of net</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5" w:lineRule="exact"/>
              <w:rPr>
                <w:sz w:val="20"/>
                <w:szCs w:val="20"/>
                <w:color w:val="auto"/>
              </w:rPr>
            </w:pPr>
            <w:r>
              <w:rPr>
                <w:rFonts w:ascii="Arial" w:cs="Arial" w:eastAsia="Arial" w:hAnsi="Arial"/>
                <w:sz w:val="14"/>
                <w:szCs w:val="14"/>
                <w:b w:val="1"/>
                <w:bCs w:val="1"/>
                <w:color w:val="auto"/>
              </w:rPr>
              <w:t>sales</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w:t>
            </w: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Long-term debt, including current portion</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225,340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227,156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225,548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228,811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230,791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312,402</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266,767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275,810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315,212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364,675</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Debt-to-capitalization ratio</w:t>
            </w:r>
          </w:p>
        </w:tc>
        <w:tc>
          <w:tcPr>
            <w:tcW w:w="32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41.9%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46.0%</w:t>
            </w:r>
          </w:p>
        </w:tc>
        <w:tc>
          <w:tcPr>
            <w:tcW w:w="2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39.0%</w:t>
            </w: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Cash provided by operating activities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185,798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113,877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193,507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251,470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215,722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Repurchases of Toro common stock</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93,395</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129,955</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135,777</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115,283</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110,355</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0.44</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0.40</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0.36</w:t>
            </w:r>
          </w:p>
        </w:tc>
        <w:tc>
          <w:tcPr>
            <w:tcW w:w="18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ind w:left="100"/>
              <w:spacing w:after="0"/>
              <w:rPr>
                <w:sz w:val="20"/>
                <w:szCs w:val="20"/>
                <w:color w:val="auto"/>
              </w:rPr>
            </w:pPr>
            <w:r>
              <w:rPr>
                <w:rFonts w:ascii="Arial" w:cs="Arial" w:eastAsia="Arial" w:hAnsi="Arial"/>
                <w:sz w:val="14"/>
                <w:szCs w:val="14"/>
                <w:b w:val="1"/>
                <w:bCs w:val="1"/>
                <w:color w:val="auto"/>
              </w:rPr>
              <w:t>Market price range –</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21"/>
                <w:szCs w:val="21"/>
                <w:b w:val="1"/>
                <w:bCs w:val="1"/>
                <w:color w:val="auto"/>
                <w:vertAlign w:val="superscript"/>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42.360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34.215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29.250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29.580</w:t>
            </w:r>
          </w:p>
        </w:tc>
        <w:tc>
          <w:tcPr>
            <w:tcW w:w="1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200"/>
              <w:spacing w:after="0" w:line="189" w:lineRule="exact"/>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25.890</w:t>
            </w:r>
          </w:p>
        </w:tc>
        <w:tc>
          <w:tcPr>
            <w:tcW w:w="18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22.525</w:t>
            </w: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18.235</w:t>
            </w:r>
          </w:p>
        </w:tc>
        <w:tc>
          <w:tcPr>
            <w:tcW w:w="180" w:type="dxa"/>
            <w:vAlign w:val="bottom"/>
          </w:tcPr>
          <w:p>
            <w:pPr>
              <w:spacing w:after="0"/>
              <w:rPr>
                <w:sz w:val="16"/>
                <w:szCs w:val="16"/>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10.130</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13.580</w:t>
            </w:r>
          </w:p>
        </w:tc>
        <w:tc>
          <w:tcPr>
            <w:tcW w:w="1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Average number of employees</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5,066</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4,947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4,724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4,612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9580" w:type="dxa"/>
            <w:vAlign w:val="bottom"/>
            <w:vMerge w:val="restart"/>
          </w:tcPr>
          <w:p>
            <w:pPr>
              <w:ind w:left="240"/>
              <w:spacing w:after="0"/>
              <w:rPr>
                <w:sz w:val="20"/>
                <w:szCs w:val="20"/>
                <w:color w:val="auto"/>
              </w:rPr>
            </w:pPr>
            <w:r>
              <w:rPr>
                <w:rFonts w:ascii="Arial" w:cs="Arial" w:eastAsia="Arial" w:hAnsi="Arial"/>
                <w:sz w:val="14"/>
                <w:szCs w:val="14"/>
                <w:color w:val="auto"/>
              </w:rPr>
              <w:t>Per share data and sales prices have been adjusted for all periods presented to reflect the impact of the company's two-for-one stock split effective</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9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9580" w:type="dxa"/>
            <w:vAlign w:val="bottom"/>
          </w:tcPr>
          <w:p>
            <w:pPr>
              <w:ind w:left="240"/>
              <w:spacing w:after="0"/>
              <w:rPr>
                <w:sz w:val="20"/>
                <w:szCs w:val="20"/>
                <w:color w:val="auto"/>
              </w:rPr>
            </w:pPr>
            <w:r>
              <w:rPr>
                <w:rFonts w:ascii="Arial" w:cs="Arial" w:eastAsia="Arial" w:hAnsi="Arial"/>
                <w:sz w:val="14"/>
                <w:szCs w:val="14"/>
                <w:color w:val="auto"/>
              </w:rPr>
              <w:t>June 29, 2012.</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9580" w:type="dxa"/>
            <w:vAlign w:val="bottom"/>
            <w:vMerge w:val="restart"/>
          </w:tcPr>
          <w:p>
            <w:pPr>
              <w:ind w:left="240"/>
              <w:spacing w:after="0"/>
              <w:rPr>
                <w:sz w:val="20"/>
                <w:szCs w:val="20"/>
                <w:color w:val="auto"/>
              </w:rPr>
            </w:pPr>
            <w:r>
              <w:rPr>
                <w:rFonts w:ascii="Arial" w:cs="Arial" w:eastAsia="Arial" w:hAnsi="Arial"/>
                <w:sz w:val="14"/>
                <w:szCs w:val="14"/>
                <w:color w:val="auto"/>
              </w:rPr>
              <w:t>Average net working capital is defined as monthly average accounts receivable plus inventory less trade payables.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9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760"/>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design, manufacture, and market professional turf maintenance equipment and services, turf irrigation systems, landscaping equipment and lighting,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have historically been, and we expect will continue to be, attributable to new and enhanced products. We define new products as those introduced in the current and previous two fiscal years.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Summary of Fiscal 2012 Results</w:t>
      </w:r>
    </w:p>
    <w:p>
      <w:pPr>
        <w:spacing w:after="0" w:line="234"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In fiscal 2012, we achieved record net sales and double digit net earnings growth. Our fiscal 2012 results included the following items of significance:</w:t>
      </w:r>
    </w:p>
    <w:p>
      <w:pPr>
        <w:spacing w:after="0" w:line="209" w:lineRule="exact"/>
        <w:rPr>
          <w:sz w:val="20"/>
          <w:szCs w:val="20"/>
          <w:color w:val="auto"/>
        </w:rPr>
      </w:pPr>
    </w:p>
    <w:p>
      <w:pPr>
        <w:ind w:left="540" w:right="2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for fiscal 2012 increased by 4.0 percent compared to fiscal 2011 to a record of $1,958.7 million. This increase was primarily attributable to increased demand for our products largely resulting from the successful introduction of new and enhanced products that were well received by customers, as well as incremental sales of $22.1 million from acquisitions. However, a continuing sluggish economy in Europe hampered our international net sales in fiscal 2012 compared to fiscal 2011.</w:t>
      </w:r>
    </w:p>
    <w:p>
      <w:pPr>
        <w:spacing w:after="0" w:line="6" w:lineRule="exact"/>
        <w:rPr>
          <w:rFonts w:ascii="Arial" w:cs="Arial" w:eastAsia="Arial" w:hAnsi="Arial"/>
          <w:sz w:val="18"/>
          <w:szCs w:val="18"/>
          <w:color w:val="auto"/>
        </w:rPr>
      </w:pPr>
    </w:p>
    <w:p>
      <w:pPr>
        <w:ind w:left="540" w:right="14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Professional segment net sales, which represented 68 percent of our total consolidated net sales in fiscal 2012, grew 7.3 percent in fiscal 2012 compared to fiscal 2011. Shipments increased due to higher demand for most of our domestic professional segment products largely resulting from the successful introduction of new and enhanced products, strong demand for domestic golf and landscape contractor equipment, continued growth in the micro-irrigation market, and incremental sales of $22.1 million from acquisitions.</w:t>
      </w:r>
    </w:p>
    <w:p>
      <w:pPr>
        <w:ind w:left="540" w:right="4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fiscal 2012, we completed three acquisitions within our professional segment to help us expand our presence in the rental and construction market and add to our golf product line-up. Specifically, we acquired a product line that includes vibratory plows, trenchers, and horizontal directional drills; a line of concrete and mortar mixers, material handlers, compaction equipment, and other concrete power tools; and a greens roller product line for the golf market.</w:t>
      </w:r>
    </w:p>
    <w:p>
      <w:pPr>
        <w:spacing w:after="0" w:line="3" w:lineRule="exact"/>
        <w:rPr>
          <w:rFonts w:ascii="Arial" w:cs="Arial" w:eastAsia="Arial" w:hAnsi="Arial"/>
          <w:sz w:val="18"/>
          <w:szCs w:val="18"/>
          <w:color w:val="auto"/>
        </w:rPr>
      </w:pPr>
    </w:p>
    <w:p>
      <w:pPr>
        <w:jc w:val="both"/>
        <w:ind w:left="540" w:right="22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residential segment net sales were down by 2.6 percent in fiscal 2012 compared to fiscal 2011 due primarily from lower shipments of snow thrower products and service parts due to reduced demand resulting from the lack of snowfall during the 2011-2012 winter season. However, sales of walk power mowers, zero-turn radius riding mowers, and trimmers were up due to positive customer response to newly introduced products and favorable weather conditions that drove strong demand.</w:t>
      </w:r>
    </w:p>
    <w:p>
      <w:pPr>
        <w:spacing w:after="0" w:line="6"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International net sales for fiscal 2012 were down 5.6 percent compared to fiscal 2011 due mainly to lower sales in Europe as a result of continuing economic weakness and uncertainty in that region. In fiscal 2012, we began operations at our new micro-irrigation manufacturing facility in Romania for our water conserving drip irrigation products for agricultural markets. International net sales comprised 30.3 percent of our total consolidated net sales in fiscal 2012 compared to 32.3 percent in fiscal 2011 and 31.8 percent in fiscal 2010.</w:t>
      </w:r>
    </w:p>
    <w:p>
      <w:pPr>
        <w:ind w:left="540" w:right="74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Fiscal 2012 net earnings of $129.5 million rose 10.1 percent compared to fiscal 2011, and diluted net earnings per share increased 15.7 percent in fiscal 2012 to $2.14 compared to $1.85 in fiscal 2011.</w:t>
      </w:r>
    </w:p>
    <w:p>
      <w:pPr>
        <w:spacing w:after="0" w:line="1" w:lineRule="exact"/>
        <w:rPr>
          <w:rFonts w:ascii="Arial" w:cs="Arial" w:eastAsia="Arial" w:hAnsi="Arial"/>
          <w:sz w:val="18"/>
          <w:szCs w:val="18"/>
          <w:color w:val="auto"/>
        </w:rPr>
      </w:pPr>
    </w:p>
    <w:p>
      <w:pPr>
        <w:ind w:left="540" w:right="26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was 34.4 percent in fiscal 2012, an increase of 60 basis points from 33.8 percent in fiscal 2011. Price increases on some products and manufacturing efficiencies from increased production and demand for our products contributed to the improvement in gross margin. However, higher average commodity prices and unfavorable product mix hindered our gross margin growth rate in fiscal 2012 as compared to fiscal 2011.</w:t>
      </w:r>
    </w:p>
    <w:p>
      <w:pPr>
        <w:spacing w:after="0" w:line="6" w:lineRule="exact"/>
        <w:rPr>
          <w:rFonts w:ascii="Arial" w:cs="Arial" w:eastAsia="Arial" w:hAnsi="Arial"/>
          <w:sz w:val="18"/>
          <w:szCs w:val="18"/>
          <w:color w:val="auto"/>
        </w:rPr>
      </w:pPr>
    </w:p>
    <w:p>
      <w:pPr>
        <w:ind w:left="540" w:right="12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selling, general, and administrative ("SG&amp;A") expense was up 3.4 percent in fiscal 2012 compared to fiscal 2011, SG&amp;A expense as a percentage of net sales in fiscal 2012 was down to 23.9 percent compared to 24.0 percent in fiscal 2011, reflecting further leveraging of our SG&amp;A costs over higher sales volumes.</w:t>
      </w:r>
    </w:p>
    <w:p>
      <w:pPr>
        <w:spacing w:after="0" w:line="2"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Receivables decreased slightly by 0.5 percent as of the end of fiscal 2012 compared to the end of fiscal 2011. However, our inventory levels were up by 12.6 percent as of the end of fiscal 2012 compared to fiscal 2011 as we prebuilt inventory for anticipated higher demand before Tier 4 emission requirements go into effect, which impact our products having diesel engines with greater than 25 but less than 75 horsepower manufactured after January 1, 2013, as well as $12.6 million of incremental inventory from acquisitions as of the end of fiscal 2012. Average net working capital (accounts receivable plus inventory less trade payables) as a percent of net sales was 15.2 percent as of the end of fiscal 2012 compared to 15.0 percent as of the end of fiscal 2011. This increase was due mainly to higher average inventory levels in fiscal 2012 compared to fiscal 2011 as we prebuilt inventory in anticipation of strong demand for our products, mainly for products impacted by new Tier 4 emissions requirements, as well as incremental inventory from acquisitions. Our domestic field inventory levels were slightly higher as of the end of fiscal 2012 compared to the end of fiscal 2011 due in part to anticipated increase in retail demand.</w:t>
      </w:r>
    </w:p>
    <w:p>
      <w:pPr>
        <w:spacing w:after="0" w:line="1" w:lineRule="exact"/>
        <w:rPr>
          <w:rFonts w:ascii="Arial" w:cs="Arial" w:eastAsia="Arial" w:hAnsi="Arial"/>
          <w:sz w:val="16"/>
          <w:szCs w:val="16"/>
          <w:color w:val="auto"/>
        </w:rPr>
      </w:pPr>
    </w:p>
    <w:p>
      <w:pPr>
        <w:ind w:left="540" w:right="4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24, 2012, our Board of Directors declared a two-for-one stock split of our common stock, effected in the form of a 100 percent stock dividend paid on June 29, 2012. This was our third stock split in the past ten fiscal years. Earnings and dividends declared per share and weighted average shares outstanding are presented in this report after the effect of the 100 percent stock dividend. The two-for-one stock split is also reflected in the share amounts in all periods presented in this report.</w:t>
      </w:r>
    </w:p>
    <w:p>
      <w:pPr>
        <w:spacing w:after="0" w:line="6" w:lineRule="exact"/>
        <w:rPr>
          <w:rFonts w:ascii="Arial" w:cs="Arial" w:eastAsia="Arial" w:hAnsi="Arial"/>
          <w:sz w:val="18"/>
          <w:szCs w:val="18"/>
          <w:color w:val="auto"/>
        </w:rPr>
      </w:pPr>
    </w:p>
    <w:p>
      <w:pPr>
        <w:ind w:left="540" w:right="70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in fiscal 2012. We increased our fiscal 2012 quarterly cash dividend by 10 percent to $0.11 per share compared to our quarterly cash dividend in fiscal 2011 of $0.10 per share.</w:t>
      </w:r>
    </w:p>
    <w:p>
      <w:pPr>
        <w:spacing w:after="0" w:line="1" w:lineRule="exact"/>
        <w:rPr>
          <w:rFonts w:ascii="Arial" w:cs="Arial" w:eastAsia="Arial" w:hAnsi="Arial"/>
          <w:sz w:val="18"/>
          <w:szCs w:val="18"/>
          <w:color w:val="auto"/>
        </w:rPr>
      </w:pPr>
    </w:p>
    <w:p>
      <w:pPr>
        <w:ind w:left="540" w:right="220" w:hanging="532"/>
        <w:spacing w:after="0" w:line="23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stock repurchase program returned $92.7 million in cash to our shareholders during fiscal 2012, which reduced our number of shares outstanding. This reduction resulted in a benefit to our diluted net earnings per share of approximately $0.10 per share in fiscal 2012 compared to fiscal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Destination 2014</w:t>
      </w:r>
    </w:p>
    <w:p>
      <w:pPr>
        <w:spacing w:after="0" w:line="23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four-year initiative, which began with our 2011 fiscal year, is intended to focus our efforts on driving our legacy of excellence through building caring relationships and engaging in innovation. Through our Destination 2014 initiative, we strive to achieve our goals by pursuing a progression of annual milestones. Each fiscal year we set forth associated organic revenue growth, operating earnings, and employee engagement goals, such as continuous improvement projects with cross-functional collaboration, and we also strive to continue to focus on the progress we made through our previous initiatives, such as working capital.</w:t>
      </w:r>
    </w:p>
    <w:p>
      <w:pPr>
        <w:spacing w:after="0" w:line="19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Organic Revenue Growth. </w:t>
      </w:r>
      <w:r>
        <w:rPr>
          <w:rFonts w:ascii="Arial" w:cs="Arial" w:eastAsia="Arial" w:hAnsi="Arial"/>
          <w:sz w:val="18"/>
          <w:szCs w:val="18"/>
          <w:color w:val="auto"/>
        </w:rPr>
        <w:t>We intend to pursue strategic growth of our existing businesses and product categories with an annual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goal. One of our goals of our Destination 2014 initiative is to achieve $100 million in organic revenue growth in each of fiscal 2011, 2012, 2013, and 2014. We define organic revenue growth as the increase in net sales, less net sales from acquisitions that occurred in the prior twelve-month period. While we exceeded our organic revenue growth goal of $100 million for fiscal 2011, we fell short of achieving that goal in fiscal 2012.</w:t>
      </w:r>
    </w:p>
    <w:p>
      <w:pPr>
        <w:spacing w:after="0" w:line="19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Growth. </w:t>
      </w:r>
      <w:r>
        <w:rPr>
          <w:rFonts w:ascii="Arial" w:cs="Arial" w:eastAsia="Arial" w:hAnsi="Arial"/>
          <w:sz w:val="18"/>
          <w:szCs w:val="18"/>
          <w:color w:val="auto"/>
        </w:rPr>
        <w:t>As part of our Destination 2014 growth goals, we have also set a bold earnings goal to raise operating earnings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percentage of net sales to 12 percent by the end of fiscal 2014. In fiscal 2012 and 2011, we made progress towards this goal by achieving operating earnings as a percentage of net sales of 10.5 percent and 9.8 percent,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Fiscal 2013</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focus for fiscal 2013 is on generating customer demand for our innovative products, in spite of continuing economic uncertainty, particularly in the United States and Europe. We have taken, and continue to take, proactive measures with investments intended to help us gain market share and achieve strong financial results. We believe the key drivers for our fiscal 2013 financial performance will include, among many others, the following main factors:</w:t>
      </w:r>
    </w:p>
    <w:p>
      <w:pPr>
        <w:spacing w:after="0" w:line="209" w:lineRule="exact"/>
        <w:rPr>
          <w:sz w:val="20"/>
          <w:szCs w:val="20"/>
          <w:color w:val="auto"/>
        </w:rPr>
      </w:pPr>
    </w:p>
    <w:p>
      <w:pPr>
        <w:ind w:left="540" w:right="100" w:hanging="532"/>
        <w:spacing w:after="0" w:line="267"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anticipate fiscal 2013 net sales in our professional segment to increase compared to fiscal 2012, led by anticipated continued growth in the worldwide micro-irrigation market for products that help our customers conserve the use of water as the need to become more efficient in water use is expected to drive demand for our products. We plan to continue to invest globally in new micro-irrigation products, manufacturing capacity, and infrastructure as we expect that products used for water conservation to be a long-term focus for us. We also anticipate higher sales of domestic golf and grounds equipment and landscape contractor equipment as we plan to introduce an array of innovative new products and expect customers to continue to replace aged inventory in fiscal 2013. As we continued to prepare for the phase-in of additional Tier 4 emission requirements affecting our products having diesel engines with greater than 25 but less than 75 horsepower manufactured after January 1, 2013 and sold in the U.S. and Canada, we prebuilt inventory in anticipation of higher demand before we implement expected price increases for our products subject to these regulations. Accordingly, we anticipate stronger demand prior to price increases going into effect for products subject to Tier 4 emission requirements, which is expected to result in higher sales volumes of our diesel engine products, mainly in the first quarter of fiscal 2013, than we have experienced in the past or expect to experience in the future. Additionally, we anticipate that our recent acquisitions in fiscal 2012 will expand our market presence in the rental and construction market and contribute incremental sales in fiscal 2013.</w:t>
      </w:r>
    </w:p>
    <w:p>
      <w:pPr>
        <w:spacing w:after="0" w:line="190" w:lineRule="exact"/>
        <w:rPr>
          <w:rFonts w:ascii="Arial" w:cs="Arial" w:eastAsia="Arial" w:hAnsi="Arial"/>
          <w:sz w:val="16"/>
          <w:szCs w:val="16"/>
          <w:color w:val="auto"/>
        </w:rPr>
      </w:pPr>
    </w:p>
    <w:p>
      <w:pPr>
        <w:ind w:left="540" w:right="8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our residential segment net sales to increase slightly in fiscal 2013 compared to fiscal 2012 as we anticipate the domestic economy to continue its slow rate of recovery. We anticipate higher demand for our innovative zero-turn radius riding mowers in fiscal 2013 as we believe customers will continue to migrate to zero-turn radius mowers from lawn and garden tractors. We also anticipate new products, such as our new two-stage snow thrower products and extension of our lithium-ion battery-powered home solutions products, to be well received by customers in fiscal 2013.</w:t>
      </w:r>
    </w:p>
    <w:p>
      <w:pPr>
        <w:spacing w:after="0" w:line="3"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markets will remain a focus for us to grow our revenues. However, as the European economic conditions remained weak in fiscal 2012, we anticipate uncertainty with the European economy to continue into fiscal 2013, which is expected to hamper our international net sales growth. We plan to continue investing in new products designed specifically for international markets and in infrastructure around the world, connecting us more closely to international customers and increasing our global presence. In fiscal 2012 we began operations at our new micro-irrigation manufacturing facility in Romania as we anticipate future worldwide market demand to increase for our water conserving drip irrigation products for agricultural markets, as previously discussed. A long-term goal is for international sales to comprise a larger percentage of our total consolidated net sales.</w:t>
      </w:r>
    </w:p>
    <w:p>
      <w:pPr>
        <w:spacing w:after="0" w:line="5" w:lineRule="exact"/>
        <w:rPr>
          <w:rFonts w:ascii="Arial" w:cs="Arial" w:eastAsia="Arial" w:hAnsi="Arial"/>
          <w:sz w:val="18"/>
          <w:szCs w:val="18"/>
          <w:color w:val="auto"/>
        </w:rPr>
      </w:pPr>
    </w:p>
    <w:p>
      <w:pPr>
        <w:ind w:left="540" w:right="20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fiscal 2013, we anticipate our gross margin rate to improve compared to fiscal 2012 as we continue to focus on productivity improvements intended to reduce production costs while realizing greater efficiencies in our processes. In addition, we expect to increase prices on some of our products.</w:t>
      </w:r>
    </w:p>
    <w:p>
      <w:pPr>
        <w:spacing w:after="0" w:line="5" w:lineRule="exact"/>
        <w:rPr>
          <w:rFonts w:ascii="Arial" w:cs="Arial" w:eastAsia="Arial" w:hAnsi="Arial"/>
          <w:sz w:val="18"/>
          <w:szCs w:val="18"/>
          <w:color w:val="auto"/>
        </w:rPr>
      </w:pPr>
    </w:p>
    <w:p>
      <w:pPr>
        <w:ind w:left="540" w:right="2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net earnings and diluted net earnings per share to be up in fiscal 2013 compared to fiscal 2012, driven mainly by our expectation of sales growth and an improvement in our gross margin rate, as well as an anticipated further reduction in our diluted shares outstanding due to repurchases of our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28" w:name="page29"/>
    <w:bookmarkEnd w:id="28"/>
    <w:p>
      <w:pPr>
        <w:ind w:left="540" w:right="120" w:hanging="532"/>
        <w:spacing w:after="0" w:line="268"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fiscal 2013, we plan to continue to place emphasis on asset utilization with a focus on minimizing the amount of working capital in the supply chain. As of the end of fiscal 2012, our inventory levels were higher compared to inventory levels as of the end of fiscal 2011 as we prebuilt inventory in anticipation of higher demand for our products that will be subject to Tier 4 emission requirements, which go into effect for products manufactured after January 1, 2013. Therefore, as we sell through this prebuilt inventory during fiscal 2013, our average inventory levels are expected to be higher in fiscal 2013 compared to our average inventory levels in 2012; but we expect that inventory levels as of the end of fiscal 2013 will be lower compared to inventory levels as of the end of fiscal 2012. We anticipate our average net working capital as a percentage of net sales in fiscal 2013 to be slightly lower as compared to fiscal 2012. Consistent with our focus on asset management, we believe our domestic field inventory levels are currently appropriate and we anticipate field inventory levels to be approximately equivalent as of the end of fiscal 2013 compared to the field inventory levels as of the end of fiscal 2012.</w:t>
      </w:r>
    </w:p>
    <w:p>
      <w:pPr>
        <w:spacing w:after="0" w:line="190" w:lineRule="exact"/>
        <w:rPr>
          <w:sz w:val="20"/>
          <w:szCs w:val="20"/>
          <w:color w:val="auto"/>
        </w:rPr>
      </w:pPr>
    </w:p>
    <w:p>
      <w:pPr>
        <w:jc w:val="both"/>
        <w:ind w:firstLine="146"/>
        <w:spacing w:after="0" w:line="238" w:lineRule="auto"/>
        <w:rPr>
          <w:sz w:val="20"/>
          <w:szCs w:val="20"/>
          <w:color w:val="auto"/>
        </w:rPr>
      </w:pPr>
      <w:r>
        <w:rPr>
          <w:rFonts w:ascii="Arial" w:cs="Arial" w:eastAsia="Arial" w:hAnsi="Arial"/>
          <w:sz w:val="18"/>
          <w:szCs w:val="18"/>
          <w:color w:val="auto"/>
        </w:rPr>
        <w:t>We will continue to keep a cautionary eye on the global economic environment, particularly in the United States and Europe, retail demand, field inventory levels, commodity prices, weather conditions, competitive actions, expenses, and other factors identified in Part I, Item 1A, "Risk Factors" of this report, which could cause our actual results to differ from our anticipated outlook.</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Fiscal 2012 net earnings were $129.5 million compared to $117.7 million in fiscal 2011, an increase of 10.1 percent. Fiscal 2012 diluted net earnings per share were $2.14, an increase of 15.7 percent from $1.85 per share in fiscal 2011. The primary factors contributing to the net earnings improvement were higher net sales, an increase in gross profit, leveraging of fixed SG&amp;A costs over higher sales volumes, and a pre-tax charge of $4.7 million last fiscal year associated with a rework for a non-safety quality issue for our walk power mowers that was not duplicated this fiscal year. However, our tax rate in fiscal 2012 was higher compared to our tax rate in fiscal 2011 due to the expiration of the domestic research tax credit on December 31, 2011. Our net earnings per diluted share were also benefited by approximately $0.10 per share in fiscal 2012 compared to fiscal 2011 as a result of reduced shares outstanding from repurchases of our common stock.</w:t>
      </w:r>
    </w:p>
    <w:p>
      <w:pPr>
        <w:spacing w:after="0" w:line="209"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Fiscal 2011 net earnings were $117.7 million compared to $93.2 million in fiscal 2010, an increase of 26.2 percent. Fiscal 2011 diluted net earnings per share were $1.85, an increase of 32.1 percent from $1.40 per share in fiscal 2010. The primary factors contributing to the net earnings improvement were sales growth in all of our businesses, leveraging of fixed SG&amp;A costs over higher sales volumes, and a lower effective tax rate, somewhat offset by higher commodity and freight expense that negatively impacted our gross margin rate, as well as a pre-tax charge of $4.7 million during fiscal 2011 due to costs associated with a rework for a non-safety quality issue that affected a large number of our residential segment walk power mowers. In addition, our net earnings per diluted share were benefited by approximately $0.09 per share in fiscal 2011 compared to fiscal 2010 as a result of reduced shares outstanding from repurchases of our common stock.</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years ended October 31</w:t>
            </w:r>
          </w:p>
        </w:tc>
        <w:tc>
          <w:tcPr>
            <w:tcW w:w="42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4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4260" w:type="dxa"/>
            <w:vAlign w:val="bottom"/>
          </w:tcPr>
          <w:p>
            <w:pPr>
              <w:jc w:val="right"/>
              <w:ind w:right="48"/>
              <w:spacing w:after="0"/>
              <w:rPr>
                <w:sz w:val="20"/>
                <w:szCs w:val="20"/>
                <w:color w:val="auto"/>
              </w:rPr>
            </w:pPr>
            <w:r>
              <w:rPr>
                <w:rFonts w:ascii="Arial" w:cs="Arial" w:eastAsia="Arial" w:hAnsi="Arial"/>
                <w:sz w:val="14"/>
                <w:szCs w:val="14"/>
                <w:b w:val="1"/>
                <w:bCs w:val="1"/>
                <w:color w:val="auto"/>
              </w:rPr>
              <w:t>(65.6)</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4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34.4</w:t>
            </w:r>
          </w:p>
        </w:tc>
        <w:tc>
          <w:tcPr>
            <w:tcW w:w="5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33.8</w:t>
            </w:r>
          </w:p>
        </w:tc>
        <w:tc>
          <w:tcPr>
            <w:tcW w:w="5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SG&amp;A expense</w:t>
            </w:r>
          </w:p>
        </w:tc>
        <w:tc>
          <w:tcPr>
            <w:tcW w:w="4260" w:type="dxa"/>
            <w:vAlign w:val="bottom"/>
          </w:tcPr>
          <w:p>
            <w:pPr>
              <w:jc w:val="right"/>
              <w:ind w:right="48"/>
              <w:spacing w:after="0"/>
              <w:rPr>
                <w:sz w:val="20"/>
                <w:szCs w:val="20"/>
                <w:color w:val="auto"/>
              </w:rPr>
            </w:pPr>
            <w:r>
              <w:rPr>
                <w:rFonts w:ascii="Arial" w:cs="Arial" w:eastAsia="Arial" w:hAnsi="Arial"/>
                <w:sz w:val="14"/>
                <w:szCs w:val="14"/>
                <w:b w:val="1"/>
                <w:bCs w:val="1"/>
                <w:color w:val="auto"/>
              </w:rPr>
              <w:t>(23.9)</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earnings</w:t>
            </w:r>
          </w:p>
        </w:tc>
        <w:tc>
          <w:tcPr>
            <w:tcW w:w="4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10.5</w:t>
            </w:r>
          </w:p>
        </w:tc>
        <w:tc>
          <w:tcPr>
            <w:tcW w:w="58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9.8</w:t>
            </w: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4260" w:type="dxa"/>
            <w:vAlign w:val="bottom"/>
          </w:tcPr>
          <w:p>
            <w:pPr>
              <w:jc w:val="right"/>
              <w:ind w:right="48"/>
              <w:spacing w:after="0"/>
              <w:rPr>
                <w:sz w:val="20"/>
                <w:szCs w:val="20"/>
                <w:color w:val="auto"/>
              </w:rPr>
            </w:pPr>
            <w:r>
              <w:rPr>
                <w:rFonts w:ascii="Arial" w:cs="Arial" w:eastAsia="Arial" w:hAnsi="Arial"/>
                <w:sz w:val="14"/>
                <w:szCs w:val="14"/>
                <w:b w:val="1"/>
                <w:bCs w:val="1"/>
                <w:color w:val="auto"/>
              </w:rPr>
              <w:t>(0.9)</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net</w:t>
            </w:r>
          </w:p>
        </w:tc>
        <w:tc>
          <w:tcPr>
            <w:tcW w:w="4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Provision for income taxes</w:t>
            </w:r>
          </w:p>
        </w:tc>
        <w:tc>
          <w:tcPr>
            <w:tcW w:w="42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earnings</w:t>
            </w:r>
          </w:p>
        </w:tc>
        <w:tc>
          <w:tcPr>
            <w:tcW w:w="4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6.6%</w:t>
            </w: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6.2%</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With Fiscal 2011</w:t>
      </w:r>
    </w:p>
    <w:p>
      <w:pPr>
        <w:spacing w:after="0" w:line="21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2012 were $1,958.7 million compared to $1,884.0 million in fiscal 2011, an increase of 4.0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attributable to the following factors:</w:t>
      </w:r>
    </w:p>
    <w:p>
      <w:pPr>
        <w:spacing w:after="0" w:line="203" w:lineRule="exact"/>
        <w:rPr>
          <w:sz w:val="20"/>
          <w:szCs w:val="20"/>
          <w:color w:val="auto"/>
        </w:rPr>
      </w:pPr>
    </w:p>
    <w:p>
      <w:pPr>
        <w:ind w:left="540" w:right="20" w:hanging="532"/>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shipments of professional segment products largely resulting from the successful introduction of new and enhanced products that were well received by customers and resulted in increased sales, strong demand for domestic golf and landscape contractor equipment as customers replaced their aged inventory, continued acceptance and demand for our drip irrigation solutions for agricultural markets, and incremental sales of $22.1 million from acquisitions. Additionally, a weaker average U.S. dollar compared to other currencies in which we transact business accounted for approximately $2 million of our overall net sales increase.</w:t>
      </w:r>
    </w:p>
    <w:p>
      <w:pPr>
        <w:spacing w:after="0" w:line="3" w:lineRule="exact"/>
        <w:rPr>
          <w:rFonts w:ascii="Arial" w:cs="Arial" w:eastAsia="Arial" w:hAnsi="Arial"/>
          <w:sz w:val="18"/>
          <w:szCs w:val="18"/>
          <w:color w:val="auto"/>
        </w:rPr>
      </w:pPr>
    </w:p>
    <w:p>
      <w:pPr>
        <w:ind w:left="540" w:right="80" w:hanging="532"/>
        <w:spacing w:after="0" w:line="23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shipments and demand of walk power mowers, zero-turn radius riding mowers, and trimmers in our residential segment due to positive customer response to newly introduced products and favorable weather conditions that drove strong demand. Additionally, sales of Pope products in Australia were up due to more favorable weather conditions in fiscal 2012 compared to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sales increases were:</w:t>
      </w:r>
    </w:p>
    <w:p>
      <w:pPr>
        <w:spacing w:after="0" w:line="212" w:lineRule="exact"/>
        <w:rPr>
          <w:sz w:val="20"/>
          <w:szCs w:val="20"/>
          <w:color w:val="auto"/>
        </w:rPr>
      </w:pPr>
    </w:p>
    <w:p>
      <w:pPr>
        <w:ind w:left="540" w:right="20" w:hanging="532"/>
        <w:spacing w:after="0" w:line="23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overall residential segment net sales primarily from lower shipments of snow thrower products and service parts due to reduced demand resulting from the lack of snowfall during the 2011-2012 winter season.</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29" w:name="page30"/>
    <w:bookmarkEnd w:id="29"/>
    <w:p>
      <w:pPr>
        <w:ind w:left="540" w:right="300" w:hanging="532"/>
        <w:spacing w:after="0" w:line="23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international net sales in both our professional and residential segments due mainly to lower sales in Europe as a result of economic weakness and uncertainty in that region.</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represents gross profit (net sales less cost of sales) as a percentage of net sales. See Note 1 of the Notes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 the section entitled "Cost of Sales," for a description of expenses included in cost of sales. Gross margin increased by 60 basis points to 34.4 percent in fiscal 2012 from 33.8 percent in fiscal 2011. This improvement was mainly the result of the following factors:</w:t>
      </w:r>
    </w:p>
    <w:p>
      <w:pPr>
        <w:spacing w:after="0" w:line="214"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increases on some of our products.</w:t>
      </w:r>
    </w:p>
    <w:p>
      <w:pPr>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manufacturing costs from higher plant utilization, mainly related to increased production and demand for our products.</w:t>
      </w:r>
    </w:p>
    <w:p>
      <w:pPr>
        <w:ind w:left="540" w:right="220" w:hanging="532"/>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Rework costs in fiscal 2011 for a non-safety quality issue that affected a large number of our residential segment walk power mowers that was not duplicated in fiscal 2012.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2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average prices paid for commodities in fiscal 2012 compared to fiscal 2011.</w:t>
      </w: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product mix and lower gross margins on product sales from acquisitions in fiscal 2012 compared to fiscal 2011.</w:t>
      </w:r>
    </w:p>
    <w:p>
      <w:pPr>
        <w:spacing w:after="0" w:line="19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$15.3 million, or 3.4 percent, in fiscal 2012 compared to fiscal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1 of the Notes to Consolidated Financial Statements, in the section entitled "Selling, General, and Administrative Expense," for a description of expenses included in SG&amp;A expense. SG&amp;A expense rate represents SG&amp;A expense as a percentage of net sales. SG&amp;A expense rate in fiscal 2012 decreased by 10 basis points to 23.9 percent compared to 24.0 percent in fiscal 2011 due to fixed SG&amp;A costs spread over higher sales volumes. However, the increase in SG&amp;A expense of $15.3 million was driven mainly by the following factors:</w:t>
      </w:r>
    </w:p>
    <w:p>
      <w:pPr>
        <w:spacing w:after="0" w:line="210"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Incremental costs from acquisitions of $7.2 million.</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self-insured health care expenses mainly from unfavorable claims experience.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in SG&amp;A expense were:</w:t>
      </w:r>
    </w:p>
    <w:p>
      <w:pPr>
        <w:spacing w:after="0" w:line="212" w:lineRule="exact"/>
        <w:rPr>
          <w:sz w:val="20"/>
          <w:szCs w:val="20"/>
          <w:color w:val="auto"/>
        </w:rPr>
      </w:pPr>
    </w:p>
    <w:p>
      <w:pPr>
        <w:ind w:left="540" w:right="80" w:hanging="532"/>
        <w:spacing w:after="0" w:line="23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marketing expenses of $6.3 million due mainly to incentive programs last year that were not duplicated to the same degree this fiscal year.</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incentive compensation expense of $4.2 million attributable to lower than planned financial results.</w:t>
      </w:r>
    </w:p>
    <w:p>
      <w:pPr>
        <w:spacing w:after="0" w:line="19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2012 slightly decreased by 0.4 percent compared to fiscal 2011 as a result of lower average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consists mainly of our proportionate share of income or losses from equity investments (affiliates),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rate gains and losses, litigation settlements and recoveries, interest income, and retail financing revenue. Other income for fiscal 2012 was $7.6 million compared to $7.3 million in fiscal 2011, an increase of $0.3 million, or 3.4 percent. This increase in other income, net was due mainly to an increase in income from our equity investment in Red Iron, somewhat offset by lower interest income in fiscal 2012 compared to fiscal 2011.</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2012 was 34.0 percent compared to 32.7 percent in fiscal 2011. The increase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was primarily the result of the expiration of the domestic research tax credit on December 31, 2011.</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anticipate our tax rate for fiscal 2013 to be slightly lower than our fiscal 2012 tax rate.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With Fiscal 2010</w:t>
      </w:r>
    </w:p>
    <w:p>
      <w:pPr>
        <w:spacing w:after="0" w:line="21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in fiscal 2011 were $1,884.0 million compared to $1,690.4 million in fiscal 2010, an increase of 11.5 percent.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improvement was primarily driven by:</w:t>
      </w:r>
    </w:p>
    <w:p>
      <w:pPr>
        <w:spacing w:after="0" w:line="203" w:lineRule="exact"/>
        <w:rPr>
          <w:sz w:val="20"/>
          <w:szCs w:val="20"/>
          <w:color w:val="auto"/>
        </w:rPr>
      </w:pPr>
    </w:p>
    <w:p>
      <w:pPr>
        <w:ind w:left="540" w:right="140" w:hanging="532"/>
        <w:spacing w:after="0" w:line="23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shipments of worldwide professional segment products largely resulting from the successful introduction of new products that were well received by customers and resulted in increased sales, strong worldwide demand for golf equipment and irrigation systems, additional manufacturing capacity that increased production and enabled higher sales of our water conserving products for agricultural markets to meet increased worldwide demand, particularly in Eastern Europe, and incremental sales of $19 million from acquisitions.</w:t>
      </w:r>
    </w:p>
    <w:p>
      <w:pPr>
        <w:spacing w:after="0" w:line="3" w:lineRule="exact"/>
        <w:rPr>
          <w:rFonts w:ascii="Arial" w:cs="Arial" w:eastAsia="Arial" w:hAnsi="Arial"/>
          <w:sz w:val="18"/>
          <w:szCs w:val="18"/>
          <w:color w:val="auto"/>
        </w:rPr>
      </w:pPr>
    </w:p>
    <w:p>
      <w:pPr>
        <w:ind w:left="540" w:right="200" w:hanging="532"/>
        <w:spacing w:after="0" w:line="23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residential segment net sales attributable to strong demand for snow thrower products as our channel partners purchased product to fill depleted field inventory levels for the 2011-2012 snow season following strong sales from heavy snow falls during the 2010-2011 snow season, as well as additional product placement. In addition, riding product sales increased primarily from positive customer acceptance for our new line of zero-turn radius riding mowers. However, sales of walk power mowers and electric blowers were down due mainly to unfavorable weather conditions.</w:t>
      </w:r>
    </w:p>
    <w:p>
      <w:pPr>
        <w:spacing w:after="0" w:line="3" w:lineRule="exact"/>
        <w:rPr>
          <w:rFonts w:ascii="Arial" w:cs="Arial" w:eastAsia="Arial" w:hAnsi="Arial"/>
          <w:sz w:val="18"/>
          <w:szCs w:val="18"/>
          <w:color w:val="auto"/>
        </w:rPr>
      </w:pPr>
    </w:p>
    <w:p>
      <w:pPr>
        <w:ind w:left="540" w:right="460" w:hanging="532"/>
        <w:spacing w:after="0" w:line="23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international net sales in for both our professional and residential segments due to increased demand primarily from improved market conditions in our key international regions and the successful introduction of new products that were well received by customers. Additionally, a weaker average U.S. dollar compared to other currencies in which we transact business accounted for approximately $21 million of our net sales increase.</w:t>
      </w:r>
    </w:p>
    <w:p>
      <w:pPr>
        <w:spacing w:after="0" w:line="18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decreased by 30 basis points to 33.8 percent in fiscal 2011 from 34.1 percent in fiscal 2010. This decline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the result of the following factors:</w:t>
      </w:r>
    </w:p>
    <w:p>
      <w:pPr>
        <w:spacing w:after="0" w:line="198"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average prices paid for commodities in fiscal 2011 compared to fiscal 2010.</w:t>
      </w: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freight expense due to higher fuel prices.</w:t>
      </w:r>
    </w:p>
    <w:p>
      <w:pPr>
        <w:sectPr>
          <w:pgSz w:w="11900" w:h="16838" w:orient="portrait"/>
          <w:cols w:equalWidth="0" w:num="1">
            <w:col w:w="11420"/>
          </w:cols>
          <w:pgMar w:left="240" w:top="143" w:right="239" w:bottom="848"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848" w:gutter="0" w:footer="0" w:header="0"/>
          <w:type w:val="continuous"/>
        </w:sectPr>
      </w:pPr>
    </w:p>
    <w:bookmarkStart w:id="30" w:name="page31"/>
    <w:bookmarkEnd w:id="30"/>
    <w:p>
      <w:pPr>
        <w:ind w:right="1580" w:firstLine="8"/>
        <w:spacing w:after="0" w:line="48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Rework costs for a non-safety quality issue that affected a large number of our residential segment walk power mowers. Somewhat offsetting those negative factors were:</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manufacturing costs from higher plant utilization, mainly related to increased demand for our products.</w:t>
      </w: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product mix from increased sales of products that carry higher average gross margins.</w:t>
      </w:r>
    </w:p>
    <w:p>
      <w:pPr>
        <w:spacing w:after="0" w:line="19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SG&amp;A expense increased $27.0 million, or 6.4 percent, from fiscal 2010. SG&amp;A expense rate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2011 decreased 110 basis points to 24.0 percent compared to 25.1 percent in fiscal 2010 due to fixed SG&amp;A costs spread over higher sales volumes and lower product liability expense of nearly $5 million due to favorable claims experience in fiscal 2011. However, marketing expenses increased by $19 million in fiscal 2011 compared to fiscal 2010 due to higher sales volumes and incentive programs designed to promote sales growth.</w:t>
      </w:r>
    </w:p>
    <w:p>
      <w:pPr>
        <w:spacing w:after="0" w:line="19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fiscal 2011 slightly decreased by 0.8 percent compared to fiscal 2010 as a result of lower average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fiscal 2011 was $7.3 million compared to $7.1 million in fiscal 2010, an increase of $0.2 million, or</w:t>
      </w:r>
    </w:p>
    <w:p>
      <w:pPr>
        <w:spacing w:after="0" w:line="1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2.7 percent. This increase in other income, net was due mainly to an increase in income from affiliates, somewhat offset by higher foreign currency exchange rate losses in fiscal 2011 compared to fiscal 2010.</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effective tax rate for fiscal 2011 was 32.7 percent compared to 34.0 percent in fiscal 2010. The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tax rate was primarily the result of the retroactive reenactment of the domestic research tax credit in fiscal 2011.</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BY BUSINESS SEGMENT</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more fully described in Note 12 of the Notes to Consolidated Financial Statements, we operate in three reportable business segments: Professional, Residential, and Distribution. Our Distribution segment, which consists of our company-owned domestic distributorships, has been combined with our corporate activities and is shown as "Other." Operating earnings for our Professional and Residential segments are defined as earnings from operations plus other income, net. Operating loss for the Other segment includes earnings (loss) from our wholly owned domestic distribution companies, corporate activities, other income, and interest expense.</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4"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Professional segment net sales represented 68 percent of consolidated net sales for fiscal 2012, 66 percent for fiscal 2011, and 64 percent for fiscal 2010. The following table shows the professional segment net sales, operating earnings, and operating earnings as a percent of net sales.</w:t>
      </w:r>
    </w:p>
    <w:p>
      <w:pPr>
        <w:spacing w:after="0" w:line="167"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3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Fiscal years ended October 31</w:t>
            </w:r>
          </w:p>
        </w:tc>
        <w:tc>
          <w:tcPr>
            <w:tcW w:w="3280" w:type="dxa"/>
            <w:vAlign w:val="bottom"/>
          </w:tcPr>
          <w:p>
            <w:pPr>
              <w:spacing w:after="0"/>
              <w:rPr>
                <w:sz w:val="17"/>
                <w:szCs w:val="17"/>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8"/>
              </w:rPr>
              <w:t>1,329.5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1,239.1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1,085.5</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12.4%</w:t>
            </w: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16.0%</w:t>
            </w: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professional segment in fiscal 2012 were up by 7.3 percent compared to fiscal 2011 primarily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factors:</w:t>
      </w:r>
    </w:p>
    <w:p>
      <w:pPr>
        <w:spacing w:after="0" w:line="18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 introduction of new and enhanced products that were well received by customers and resulted in increased sales and demand.</w:t>
      </w:r>
    </w:p>
    <w:p>
      <w:pPr>
        <w:spacing w:after="0" w:line="32" w:lineRule="exact"/>
        <w:rPr>
          <w:rFonts w:ascii="Arial" w:cs="Arial" w:eastAsia="Arial" w:hAnsi="Arial"/>
          <w:sz w:val="16"/>
          <w:szCs w:val="16"/>
          <w:color w:val="auto"/>
        </w:rPr>
      </w:pPr>
    </w:p>
    <w:p>
      <w:pPr>
        <w:ind w:left="540" w:right="220" w:hanging="532"/>
        <w:spacing w:after="0" w:line="23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shipments and demand for domestic golf and landscape contractor equipment as customers replaced their aged inventory. Additionally, golf rounds played were up in fiscal 2012 compared to fiscal 2011 resulting in increased revenue for golf courses and related investments in equipment, which contributed to higher sales of our golf equipment products.</w:t>
      </w:r>
    </w:p>
    <w:p>
      <w:pPr>
        <w:spacing w:after="0" w:line="2" w:lineRule="exact"/>
        <w:rPr>
          <w:rFonts w:ascii="Arial" w:cs="Arial" w:eastAsia="Arial" w:hAnsi="Arial"/>
          <w:sz w:val="18"/>
          <w:szCs w:val="18"/>
          <w:color w:val="auto"/>
        </w:rPr>
      </w:pPr>
    </w:p>
    <w:p>
      <w:pPr>
        <w:ind w:left="540" w:right="160" w:hanging="532"/>
        <w:spacing w:after="0" w:line="23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net sales of micro-irrigation products due to continued acceptance and demand for our drip irrigation solutions for agricultural markets, additional manufacturing capacity that increased production and enabled higher sales of our micro-irrigation products, and dealer expansion that assisted us to better meet the growing market demand for agricultural irrigation.</w:t>
      </w:r>
    </w:p>
    <w:p>
      <w:pPr>
        <w:spacing w:after="0" w:line="2"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Incremental sales of $22.1 million from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sales increases were lower sales in Europe as a result of economic weakness and uncertainty in that region.</w:t>
      </w:r>
    </w:p>
    <w:p>
      <w:pPr>
        <w:spacing w:after="0" w:line="212" w:lineRule="exact"/>
        <w:rPr>
          <w:sz w:val="20"/>
          <w:szCs w:val="20"/>
          <w:color w:val="auto"/>
        </w:rPr>
      </w:pPr>
    </w:p>
    <w:p>
      <w:pPr>
        <w:ind w:right="20" w:firstLine="146"/>
        <w:spacing w:after="0" w:line="235" w:lineRule="auto"/>
        <w:rPr>
          <w:sz w:val="20"/>
          <w:szCs w:val="20"/>
          <w:color w:val="auto"/>
        </w:rPr>
      </w:pPr>
      <w:r>
        <w:rPr>
          <w:rFonts w:ascii="Arial" w:cs="Arial" w:eastAsia="Arial" w:hAnsi="Arial"/>
          <w:sz w:val="18"/>
          <w:szCs w:val="18"/>
          <w:color w:val="auto"/>
        </w:rPr>
        <w:t>Worldwide net sales for the professional segment in fiscal 2011 were up by 14.2 percent compared to fiscal 2010 primarily from higher shipments for most domestic and international products as a result of improved market conditions in our professional segment during fiscal 2011 compared to fiscal 2010. In addition, professional segment sales increased due to the successful introduction of new products that were well received by customers, as well as higher shipments and demand of worldwide golf maintenance equipment and irrigation systems due to new golf development projects in key international markets, particularly in Asia, and domestic renovation projects. Net sales of micro-irrigation products were also up due to increased market demand, particularly in Eastern Europe, and additional manufacturing capacity that increased production and enabled higher sales of our water conserving products for agricultural markets. Sales of Sitework Systems products were strong as a result of the rebound in the rental market and the successful introduction of new products. Additionally, incremental sales of $12 million from acquisitions and a weaker average U.S. dollar compared to most other currencies in which we transact</w:t>
      </w:r>
    </w:p>
    <w:p>
      <w:pPr>
        <w:sectPr>
          <w:pgSz w:w="11900" w:h="16838" w:orient="portrait"/>
          <w:cols w:equalWidth="0" w:num="1">
            <w:col w:w="11420"/>
          </w:cols>
          <w:pgMar w:left="240" w:top="143"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business contributed to our professional segment net sales growth for fiscal 2011 compared to fiscal 2010.</w:t>
      </w:r>
    </w:p>
    <w:p>
      <w:pPr>
        <w:spacing w:after="0" w:line="19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Operating Earnings. </w:t>
      </w:r>
      <w:r>
        <w:rPr>
          <w:rFonts w:ascii="Arial" w:cs="Arial" w:eastAsia="Arial" w:hAnsi="Arial"/>
          <w:sz w:val="16"/>
          <w:szCs w:val="16"/>
          <w:color w:val="auto"/>
        </w:rPr>
        <w:t>Operating earnings for the professional segment in fiscal 2012 increased 13.2 percent compared to fiscal 2011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higher sales volumes. Expressed as a percentage of net sales, professional segment operating margins increased 100 basis points to 17.5 percent in fiscal 2012 compared to 16.5 percent in fiscal 2011. The following factors impacted professional segment operating earnings:</w:t>
      </w:r>
    </w:p>
    <w:p>
      <w:pPr>
        <w:spacing w:after="0" w:line="168" w:lineRule="exact"/>
        <w:rPr>
          <w:sz w:val="20"/>
          <w:szCs w:val="20"/>
          <w:color w:val="auto"/>
        </w:rPr>
      </w:pPr>
    </w:p>
    <w:p>
      <w:pPr>
        <w:jc w:val="both"/>
        <w:ind w:left="540" w:right="160" w:hanging="532"/>
        <w:spacing w:after="0" w:line="23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gross margin in fiscal 2012 compared to fiscal 2011 as a result of price increases on some products and manufacturing efficiencies from higher plant utilization, mainly related to increased production and demand for our products. Those gross margin improvements were somewhat offset by higher average commodity prices and lower gross margins on product sales from acquisitions.</w:t>
      </w:r>
    </w:p>
    <w:p>
      <w:pPr>
        <w:spacing w:after="0" w:line="5" w:lineRule="exact"/>
        <w:rPr>
          <w:rFonts w:ascii="Arial" w:cs="Arial" w:eastAsia="Arial" w:hAnsi="Arial"/>
          <w:sz w:val="18"/>
          <w:szCs w:val="18"/>
          <w:color w:val="auto"/>
        </w:rPr>
      </w:pPr>
    </w:p>
    <w:p>
      <w:pPr>
        <w:ind w:left="540" w:right="620" w:hanging="532"/>
        <w:spacing w:after="0" w:line="23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SG&amp;A expense rate in fiscal 2012 compared to fiscal 2011 due mainly to leveraging fixed SG&amp;A costs over higher sales volumes and a decline in marketing expenses, somewhat offset by higher warranty expense.</w:t>
      </w:r>
    </w:p>
    <w:p>
      <w:pPr>
        <w:spacing w:after="0" w:line="209" w:lineRule="exact"/>
        <w:rPr>
          <w:sz w:val="20"/>
          <w:szCs w:val="20"/>
          <w:color w:val="auto"/>
        </w:rPr>
      </w:pPr>
    </w:p>
    <w:p>
      <w:pPr>
        <w:ind w:right="40" w:firstLine="146"/>
        <w:spacing w:after="0" w:line="273" w:lineRule="auto"/>
        <w:rPr>
          <w:sz w:val="20"/>
          <w:szCs w:val="20"/>
          <w:color w:val="auto"/>
        </w:rPr>
      </w:pPr>
      <w:r>
        <w:rPr>
          <w:rFonts w:ascii="Arial" w:cs="Arial" w:eastAsia="Arial" w:hAnsi="Arial"/>
          <w:sz w:val="16"/>
          <w:szCs w:val="16"/>
          <w:color w:val="auto"/>
        </w:rPr>
        <w:t>Operating earnings for the professional segment in fiscal 2011 increased 18.0 percent compared to fiscal 2010 due primarily to higher sales volumes. Expressed as a percentage of net sales, professional segment operating margins increased 50 basis points to 16.5 percent in fiscal 2011 compared to 16.0 percent in fiscal 2010. The operating profit improvement was due to a decline in SG&amp;A expense rate primarily from leveraging fixed SG&amp;A costs over higher sales volumes and a decline in product liability expense. However, lower gross margin as a result of higher average commodity prices and increased freight expense driven by higher fuel prices hampered our professional segment operating profit improvement.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Residential segment net sales represented 31 percent of consolidated net sales for fiscal 2012, 33 percent for fiscal 2011, and 35 percent for fiscal 2010. The following table shows the residential segment net sales, operating earnings, and operating earnings as a percent of net sales.</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36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Fiscal years ended October 31</w:t>
            </w:r>
          </w:p>
        </w:tc>
        <w:tc>
          <w:tcPr>
            <w:tcW w:w="3600" w:type="dxa"/>
            <w:vAlign w:val="bottom"/>
          </w:tcPr>
          <w:p>
            <w:pPr>
              <w:spacing w:after="0"/>
              <w:rPr>
                <w:sz w:val="17"/>
                <w:szCs w:val="17"/>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607.4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623.9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3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10.7%</w:t>
            </w: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3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57.9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58.0</w:t>
            </w:r>
          </w:p>
        </w:tc>
      </w:tr>
      <w:tr>
        <w:trPr>
          <w:trHeight w:val="189"/>
        </w:trPr>
        <w:tc>
          <w:tcPr>
            <w:tcW w:w="20" w:type="dxa"/>
            <w:vAlign w:val="bottom"/>
          </w:tcPr>
          <w:p>
            <w:pPr>
              <w:spacing w:after="0"/>
              <w:rPr>
                <w:sz w:val="16"/>
                <w:szCs w:val="16"/>
                <w:color w:val="auto"/>
              </w:rPr>
            </w:pPr>
          </w:p>
        </w:tc>
        <w:tc>
          <w:tcPr>
            <w:tcW w:w="554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36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9.8%</w:t>
            </w: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Worldwide net sales for the residential segment in fiscal 2012 were down by 2.6 percent compared to fiscal 2011 primarily as a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w:t>
      </w:r>
    </w:p>
    <w:p>
      <w:pPr>
        <w:spacing w:after="0" w:line="189" w:lineRule="exact"/>
        <w:rPr>
          <w:sz w:val="20"/>
          <w:szCs w:val="20"/>
          <w:color w:val="auto"/>
        </w:rPr>
      </w:pPr>
    </w:p>
    <w:p>
      <w:pPr>
        <w:ind w:left="540" w:right="460" w:hanging="532"/>
        <w:spacing w:after="0" w:line="23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shipments and demand for our snow thrower products and service parts due to the lack of snowfall during the 2011-2012 winter season.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the decrease in residential segment net sales included the following factors:</w:t>
      </w:r>
    </w:p>
    <w:p>
      <w:pPr>
        <w:spacing w:after="0" w:line="212" w:lineRule="exact"/>
        <w:rPr>
          <w:sz w:val="20"/>
          <w:szCs w:val="20"/>
          <w:color w:val="auto"/>
        </w:rPr>
      </w:pPr>
    </w:p>
    <w:p>
      <w:pPr>
        <w:ind w:left="540" w:right="180" w:hanging="532"/>
        <w:spacing w:after="0" w:line="23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shipments and demand of walk power mowers, zero-turn radius riding mowers, and trimmers due to positive customer response to newly introduced products and favorable weather conditions that drove strong demand.</w:t>
      </w:r>
    </w:p>
    <w:p>
      <w:pPr>
        <w:spacing w:after="0" w:line="6"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of Pope products in Australia due to more favorable weather conditions in fiscal 2012 compared to fiscal 2011.</w:t>
      </w:r>
    </w:p>
    <w:p>
      <w:pPr>
        <w:spacing w:after="0" w:line="212" w:lineRule="exact"/>
        <w:rPr>
          <w:sz w:val="20"/>
          <w:szCs w:val="20"/>
          <w:color w:val="auto"/>
        </w:rPr>
      </w:pPr>
    </w:p>
    <w:p>
      <w:pPr>
        <w:ind w:right="160" w:firstLine="146"/>
        <w:spacing w:after="0" w:line="236" w:lineRule="auto"/>
        <w:rPr>
          <w:sz w:val="20"/>
          <w:szCs w:val="20"/>
          <w:color w:val="auto"/>
        </w:rPr>
      </w:pPr>
      <w:r>
        <w:rPr>
          <w:rFonts w:ascii="Arial" w:cs="Arial" w:eastAsia="Arial" w:hAnsi="Arial"/>
          <w:sz w:val="18"/>
          <w:szCs w:val="18"/>
          <w:color w:val="auto"/>
        </w:rPr>
        <w:t>Worldwide net sales for the residential segment in fiscal 2011 were up by 5.8 percent compared to fiscal 2010 primarily as a result of strong demand for our snow thrower products as our channel partners purchased product to fill depleted field inventory levels for the 2011-2012 snow season following strong sales from heavy snow falls during the 2010-2011 snow season, as well as additional product placement. Additionally, an increase in shipments of zero-turn radius riding mowers attributable to strong demand, resulting primarily from customer acceptance of new products, as well as a weaker average U.S. dollar compared to most other currencies in which we transact business, benefited our residential segment net sales in fiscal 2011 compared to fiscal 2010. Somewhat offsetting those increases was a decline in sales of walk power mowers and electric blowers due mainly to unfavorable weather conditions.</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Operating Earnings. </w:t>
      </w:r>
      <w:r>
        <w:rPr>
          <w:rFonts w:ascii="Arial" w:cs="Arial" w:eastAsia="Arial" w:hAnsi="Arial"/>
          <w:sz w:val="18"/>
          <w:szCs w:val="18"/>
          <w:color w:val="auto"/>
        </w:rPr>
        <w:t>Operating earnings for the residential segment in fiscal 2012 increased 6.4 percent compared to fiscal 2011. Expressed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percentage of net sales, residential segment operating margins increased 80 basis points to 9.5 percent in fiscal 2012 compared to 8.7 percent in fiscal 2011. The following factors impacted residential segment operating earnings:</w:t>
      </w:r>
    </w:p>
    <w:p>
      <w:pPr>
        <w:spacing w:after="0" w:line="202" w:lineRule="exact"/>
        <w:rPr>
          <w:sz w:val="20"/>
          <w:szCs w:val="20"/>
          <w:color w:val="auto"/>
        </w:rPr>
      </w:pPr>
    </w:p>
    <w:p>
      <w:pPr>
        <w:jc w:val="both"/>
        <w:ind w:left="540" w:right="100" w:hanging="532"/>
        <w:spacing w:after="0" w:line="264"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Higher gross margins from costs incurred in fiscal 2011 associated with a rework for a non-safety quality issue that affected a large number of our walk power mowers that was not duplicated in fiscal 2012, somewhat offset by unfavorable product mix and higher commodity costs.</w:t>
      </w:r>
    </w:p>
    <w:p>
      <w:pPr>
        <w:ind w:left="540" w:right="120" w:hanging="532"/>
        <w:spacing w:after="0" w:line="23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SG&amp;A expense due to a decrease in marketing and warranty expense related to costs incurred in fiscal 2011 for incentive programs and special warranty modifications, respectively, that were not duplicated in fiscal 2012.</w:t>
      </w:r>
    </w:p>
    <w:p>
      <w:pPr>
        <w:spacing w:after="0" w:line="209" w:lineRule="exact"/>
        <w:rPr>
          <w:sz w:val="20"/>
          <w:szCs w:val="20"/>
          <w:color w:val="auto"/>
        </w:rPr>
      </w:pPr>
    </w:p>
    <w:p>
      <w:pPr>
        <w:jc w:val="both"/>
        <w:ind w:right="140" w:firstLine="146"/>
        <w:spacing w:after="0" w:line="273" w:lineRule="auto"/>
        <w:rPr>
          <w:sz w:val="20"/>
          <w:szCs w:val="20"/>
          <w:color w:val="auto"/>
        </w:rPr>
      </w:pPr>
      <w:r>
        <w:rPr>
          <w:rFonts w:ascii="Arial" w:cs="Arial" w:eastAsia="Arial" w:hAnsi="Arial"/>
          <w:sz w:val="16"/>
          <w:szCs w:val="16"/>
          <w:color w:val="auto"/>
        </w:rPr>
        <w:t>Operating earnings for the residential segment in fiscal 2011 decreased 6.1 percent compared to fiscal 2010. Expressed as a percentage of net sales, residential segment operating margins declined 110 basis points to 8.7 percent in fiscal 2011 compared to 9.8 percent in fiscal 2010 due to lower gross margins primarily as a result of costs associated with a rework for a non-safety quality issue that affected a large number of our walk power mowers, higher average commodity prices, and increased freight expense. Those increases were somewhat offset by lower manufacturing costs from higher plant utilization, mainly related to increased demand for our products. Additionally, an increase in SG&amp;A</w:t>
      </w:r>
    </w:p>
    <w:p>
      <w:pPr>
        <w:sectPr>
          <w:pgSz w:w="11900" w:h="16838" w:orient="portrait"/>
          <w:cols w:equalWidth="0" w:num="1">
            <w:col w:w="11420"/>
          </w:cols>
          <w:pgMar w:left="240" w:top="143" w:right="2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2" w:name="page33"/>
    <w:bookmarkEnd w:id="32"/>
    <w:p>
      <w:pPr>
        <w:ind w:right="220"/>
        <w:spacing w:after="0" w:line="238" w:lineRule="auto"/>
        <w:rPr>
          <w:sz w:val="20"/>
          <w:szCs w:val="20"/>
          <w:color w:val="auto"/>
        </w:rPr>
      </w:pPr>
      <w:r>
        <w:rPr>
          <w:rFonts w:ascii="Arial" w:cs="Arial" w:eastAsia="Arial" w:hAnsi="Arial"/>
          <w:sz w:val="18"/>
          <w:szCs w:val="18"/>
          <w:color w:val="auto"/>
        </w:rPr>
        <w:t>expense mainly from an increase in warranty expense due to special warranty modifications, as well as higher spending for marketing, warehousing, and engineering, somewhat offset by a decline in product liability expense contributed to our residential segment operating margin decrease in fiscal 2011 compared to fiscal 2010.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37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96"/>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years ended October 31</w:t>
            </w:r>
          </w:p>
        </w:tc>
        <w:tc>
          <w:tcPr>
            <w:tcW w:w="42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7"/>
                <w:szCs w:val="17"/>
                <w:color w:val="auto"/>
              </w:rPr>
            </w:pPr>
          </w:p>
        </w:tc>
      </w:tr>
      <w:tr>
        <w:trPr>
          <w:trHeight w:val="162"/>
        </w:trPr>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w:t>
            </w:r>
          </w:p>
        </w:tc>
      </w:tr>
      <w:tr>
        <w:trPr>
          <w:trHeight w:val="162"/>
        </w:trPr>
        <w:tc>
          <w:tcPr>
            <w:tcW w:w="5700" w:type="dxa"/>
            <w:vAlign w:val="bottom"/>
          </w:tcPr>
          <w:p>
            <w:pPr>
              <w:ind w:left="120"/>
              <w:spacing w:after="0"/>
              <w:rPr>
                <w:sz w:val="20"/>
                <w:szCs w:val="20"/>
                <w:color w:val="auto"/>
              </w:rPr>
            </w:pPr>
            <w:r>
              <w:rPr>
                <w:rFonts w:ascii="Arial" w:cs="Arial" w:eastAsia="Arial" w:hAnsi="Arial"/>
                <w:sz w:val="14"/>
                <w:szCs w:val="14"/>
                <w:b w:val="1"/>
                <w:bCs w:val="1"/>
                <w:color w:val="auto"/>
              </w:rPr>
              <w:t>% change from prior year</w:t>
            </w:r>
          </w:p>
        </w:tc>
        <w:tc>
          <w:tcPr>
            <w:tcW w:w="37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(38.5)%</w:t>
            </w:r>
          </w:p>
        </w:tc>
      </w:tr>
      <w:tr>
        <w:trPr>
          <w:trHeight w:val="162"/>
        </w:trPr>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(84.6)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w:t>
            </w:r>
          </w:p>
        </w:tc>
      </w:tr>
      <w:tr>
        <w:trPr>
          <w:trHeight w:val="27"/>
        </w:trPr>
        <w:tc>
          <w:tcPr>
            <w:tcW w:w="5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19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other segment includes sales from our wholly owned domestic distribution companies less sales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and residential segments to those distribution companies. The other segment net sales in fiscal 2012 increased 3.6 percent compared to fiscal 2011 due to increased sales at our U.S. Midwestern-based distribution company.</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other segment net sales in fiscal 2011 increased 37.7 percent compared to fiscal 2010 due to incremental sales from the addition of a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Western-based distribution company that was acquired on October 29, 2010.</w:t>
      </w:r>
    </w:p>
    <w:p>
      <w:pPr>
        <w:spacing w:after="0" w:line="19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 xml:space="preserve">Operating Loss. </w:t>
      </w:r>
      <w:r>
        <w:rPr>
          <w:rFonts w:ascii="Arial" w:cs="Arial" w:eastAsia="Arial" w:hAnsi="Arial"/>
          <w:sz w:val="18"/>
          <w:szCs w:val="18"/>
          <w:color w:val="auto"/>
        </w:rPr>
        <w:t>Operating loss for the other segment in fiscal 2012 increased by 10.8 percent compared to fiscal 2011. This loss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attributable to an increase in our self-insured health care costs and higher bad debt expense, somewhat offset by an increase in income from our equity investment in Red Iron and lower incentive compensation expense.</w:t>
      </w:r>
    </w:p>
    <w:p>
      <w:pPr>
        <w:spacing w:after="0" w:line="202" w:lineRule="exact"/>
        <w:rPr>
          <w:sz w:val="20"/>
          <w:szCs w:val="20"/>
          <w:color w:val="auto"/>
        </w:rPr>
      </w:pPr>
    </w:p>
    <w:p>
      <w:pPr>
        <w:ind w:right="400" w:firstLine="146"/>
        <w:spacing w:after="0" w:line="238" w:lineRule="auto"/>
        <w:rPr>
          <w:sz w:val="20"/>
          <w:szCs w:val="20"/>
          <w:color w:val="auto"/>
        </w:rPr>
      </w:pPr>
      <w:r>
        <w:rPr>
          <w:rFonts w:ascii="Arial" w:cs="Arial" w:eastAsia="Arial" w:hAnsi="Arial"/>
          <w:sz w:val="18"/>
          <w:szCs w:val="18"/>
          <w:color w:val="auto"/>
        </w:rPr>
        <w:t>Operating loss for the other segment in fiscal 2011 decreased by 6.5 percent compared to fiscal 2010. This loss decrease was primarily attributable to improved profitability of our wholly owned domestic distribution companies and an increase in income from affiliates. Somewhat offsetting those factors were higher foreign currency exchange rate losses in fiscal 2011 as compared to fiscal 2010.</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fiscal 2012, we placed, and we intend to continue to place, emphasis on asset utilization with a focus on minimizing the amount of working capital in the supply chain, adjusting production plans, and maintaining or improving order replenishment and service levels to end users. As we continue to prepare for the phase-in of additional Tier 4 emission requirements, we prebuilt inventory in anticipation of higher demand before Tier 4 emission requirements go into effect. This resulted in higher inventory levels and an increase in working capital in fiscal 2012 compared to fiscal 2011. We expect that we will implement price increases, some of which may be significant, for our products subject to these regulations. Therefore, we anticipate that some customers may purchase products impacted by these requirements prior to the emission requirement changes and price increases going into effect for products manufactured after January 1, 2013.</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90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Average cash and cash equivalents</w:t>
            </w:r>
          </w:p>
        </w:tc>
        <w:tc>
          <w:tcPr>
            <w:tcW w:w="3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$ 104.3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$ 114.6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185.2</w:t>
            </w:r>
          </w:p>
        </w:tc>
        <w:tc>
          <w:tcPr>
            <w:tcW w:w="540" w:type="dxa"/>
            <w:vAlign w:val="bottom"/>
          </w:tcPr>
          <w:p>
            <w:pPr>
              <w:jc w:val="right"/>
              <w:spacing w:after="0"/>
              <w:rPr>
                <w:sz w:val="20"/>
                <w:szCs w:val="20"/>
                <w:color w:val="auto"/>
              </w:rPr>
            </w:pPr>
            <w:r>
              <w:rPr>
                <w:rFonts w:ascii="Arial" w:cs="Arial" w:eastAsia="Arial" w:hAnsi="Arial"/>
                <w:sz w:val="14"/>
                <w:szCs w:val="14"/>
                <w:color w:val="auto"/>
              </w:rPr>
              <w:t>188.7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260.8</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3900" w:type="dxa"/>
            <w:vAlign w:val="bottom"/>
          </w:tcPr>
          <w:p>
            <w:pPr>
              <w:jc w:val="right"/>
              <w:ind w:right="8"/>
              <w:spacing w:after="0"/>
              <w:rPr>
                <w:sz w:val="20"/>
                <w:szCs w:val="20"/>
                <w:color w:val="auto"/>
              </w:rPr>
            </w:pPr>
            <w:r>
              <w:rPr>
                <w:rFonts w:ascii="Arial" w:cs="Arial" w:eastAsia="Arial" w:hAnsi="Arial"/>
                <w:sz w:val="14"/>
                <w:szCs w:val="14"/>
                <w:b w:val="1"/>
                <w:bCs w:val="1"/>
                <w:color w:val="auto"/>
              </w:rPr>
              <w:t>149.0</w:t>
            </w:r>
          </w:p>
        </w:tc>
        <w:tc>
          <w:tcPr>
            <w:tcW w:w="540" w:type="dxa"/>
            <w:vAlign w:val="bottom"/>
          </w:tcPr>
          <w:p>
            <w:pPr>
              <w:jc w:val="right"/>
              <w:spacing w:after="0"/>
              <w:rPr>
                <w:sz w:val="20"/>
                <w:szCs w:val="20"/>
                <w:color w:val="auto"/>
              </w:rPr>
            </w:pPr>
            <w:r>
              <w:rPr>
                <w:rFonts w:ascii="Arial" w:cs="Arial" w:eastAsia="Arial" w:hAnsi="Arial"/>
                <w:sz w:val="14"/>
                <w:szCs w:val="14"/>
                <w:color w:val="auto"/>
              </w:rPr>
              <w:t>149.0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3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inventory turnover (times)</w:t>
            </w:r>
          </w:p>
        </w:tc>
        <w:tc>
          <w:tcPr>
            <w:tcW w:w="3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40" w:firstLine="137"/>
        <w:spacing w:after="0" w:line="269" w:lineRule="auto"/>
        <w:rPr>
          <w:sz w:val="20"/>
          <w:szCs w:val="20"/>
          <w:color w:val="auto"/>
        </w:rPr>
      </w:pPr>
      <w:r>
        <w:rPr>
          <w:rFonts w:ascii="Arial" w:cs="Arial" w:eastAsia="Arial" w:hAnsi="Arial"/>
          <w:sz w:val="16"/>
          <w:szCs w:val="16"/>
          <w:color w:val="auto"/>
        </w:rPr>
        <w:t>Average net receivables decreased slightly by 1.9 percent in fiscal 2012 compared to fiscal 2011 and our average days outstanding for receivables improved to 35 days in fiscal 2012 compared to 37 days in fiscal 2011 primarily as a result of lower international sales in fiscal 2012 compared to fiscal 2011 that generally have longer payment terms. Average net inventories increased by 7.5 percent in fiscal 2012 compared to fiscal 2011 as we prebuilt inventory for anticipated higher demand before Tier 4 emission requirements go into effect, as previously discussed, which also resulted in our average inventory turnover ratio to decrease by 4.1 percent in fiscal 2012 compared to fiscal 2011. Additionally, incremental inventory from acquisitions resulted in higher average inventory and inventory levels of $12.6 million as of the end of fiscal 2012 compared to fiscal 2011. As a result of higher average inventory levels, our average net working capital (accounts receivable plus inventory less trade payables) as a percentage of net sales was 15.2 percent as of the end of fiscal 2012 compared to 15.0 percent as of the end of fiscal 2011.</w:t>
      </w:r>
    </w:p>
    <w:p>
      <w:pPr>
        <w:spacing w:after="0" w:line="187" w:lineRule="exact"/>
        <w:rPr>
          <w:sz w:val="20"/>
          <w:szCs w:val="20"/>
          <w:color w:val="auto"/>
        </w:rPr>
      </w:pPr>
    </w:p>
    <w:p>
      <w:pPr>
        <w:ind w:right="260" w:firstLine="146"/>
        <w:spacing w:after="0" w:line="236" w:lineRule="auto"/>
        <w:rPr>
          <w:sz w:val="20"/>
          <w:szCs w:val="20"/>
          <w:color w:val="auto"/>
        </w:rPr>
      </w:pPr>
      <w:r>
        <w:rPr>
          <w:rFonts w:ascii="Arial" w:cs="Arial" w:eastAsia="Arial" w:hAnsi="Arial"/>
          <w:sz w:val="18"/>
          <w:szCs w:val="18"/>
          <w:color w:val="auto"/>
        </w:rPr>
        <w:t>In fiscal 2013, we intend to continue our efforts on efficient asset management, with an increased focus on minimizing the amount of working capital in the supply chain and maintaining or improving order replenishment and service levels to end users. Notwithstanding these efforts, we expect average receivables to increase in fiscal 2013 compared to fiscal 2012 as we anticipate higher sales volumes in fiscal 2013 compared to fiscal 2012. We anticipate average inventory turnover to improve; however, we expect average inventory levels to be higher in fiscal 2013 compared to fiscal 2012 due in part to prebuilt inventory carried as of the end of fiscal 2012 in anticipation of higher demand for our products subject to Tier 4 emission requirements, as previously discussed. We also anticipate average accounts payable to increase in fiscal 2013 compared to fiscal 2012 driven by our continued focus on our supply chain initiatives.</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Capital Expenditures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Assets</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Fiscal 2012 capital expenditures of $43.2 million were 24.7 percent lower compared to fiscal 2011. This decrease was primarily attributable to capital expenditures in fiscal 2011 for our new manufacturing facility in Romania. Capital expenditures for fiscal 2013 are planned to be approximately $60 million as we expect to continue to invest in new product tooling and replacement production equipment, as well as expansion of facilities.</w:t>
      </w:r>
    </w:p>
    <w:p>
      <w:pPr>
        <w:spacing w:after="0" w:line="209"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Long-term assets as of October 31, 2012 were $323.1 million compared to $337.8 million as of October 31, 2011, a decrease of 4.4 percent. This decrease was due primarily to a decline in capital expenditures in fiscal 2012 compared to fiscal 2011, as discussed previously.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6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39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3960" w:type="dxa"/>
            <w:vAlign w:val="bottom"/>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3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$ 225.3</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$ 227.2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3960" w:type="dxa"/>
            <w:vAlign w:val="bottom"/>
          </w:tcPr>
          <w:p>
            <w:pPr>
              <w:jc w:val="right"/>
              <w:ind w:right="68"/>
              <w:spacing w:after="0"/>
              <w:rPr>
                <w:sz w:val="20"/>
                <w:szCs w:val="20"/>
                <w:color w:val="auto"/>
              </w:rPr>
            </w:pPr>
            <w:r>
              <w:rPr>
                <w:rFonts w:ascii="Arial" w:cs="Arial" w:eastAsia="Arial" w:hAnsi="Arial"/>
                <w:sz w:val="14"/>
                <w:szCs w:val="14"/>
                <w:b w:val="1"/>
                <w:bCs w:val="1"/>
                <w:color w:val="auto"/>
              </w:rPr>
              <w:t>312.4</w:t>
            </w:r>
          </w:p>
        </w:tc>
        <w:tc>
          <w:tcPr>
            <w:tcW w:w="480" w:type="dxa"/>
            <w:vAlign w:val="bottom"/>
          </w:tcPr>
          <w:p>
            <w:pPr>
              <w:jc w:val="right"/>
              <w:spacing w:after="0"/>
              <w:rPr>
                <w:sz w:val="20"/>
                <w:szCs w:val="20"/>
                <w:color w:val="auto"/>
              </w:rPr>
            </w:pPr>
            <w:r>
              <w:rPr>
                <w:rFonts w:ascii="Arial" w:cs="Arial" w:eastAsia="Arial" w:hAnsi="Arial"/>
                <w:sz w:val="14"/>
                <w:szCs w:val="14"/>
                <w:color w:val="auto"/>
              </w:rPr>
              <w:t>266.8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Debt-to-capitalization ratio</w:t>
            </w:r>
          </w:p>
        </w:tc>
        <w:tc>
          <w:tcPr>
            <w:tcW w:w="3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60" w:firstLine="146"/>
        <w:spacing w:after="0" w:line="239" w:lineRule="auto"/>
        <w:rPr>
          <w:sz w:val="20"/>
          <w:szCs w:val="20"/>
          <w:color w:val="auto"/>
        </w:rPr>
      </w:pPr>
      <w:r>
        <w:rPr>
          <w:rFonts w:ascii="Arial" w:cs="Arial" w:eastAsia="Arial" w:hAnsi="Arial"/>
          <w:sz w:val="18"/>
          <w:szCs w:val="18"/>
          <w:color w:val="auto"/>
        </w:rPr>
        <w:t>Our debt-to-capitalization ratio decreased in fiscal 2012 compared to fiscal 2011 due to an increase in stockholders' equity from higher net earnings and lower repurchases of shares of our common stock in fiscal 2012 as compared to fiscal 2011.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 As of October 31, 2012, cash and short-term investments held by our foreign subsidiaries that are not available to fund domestic operations unless repatriated were $13.0 million. We currently do not intend to repatriate this cash held by our foreign subsidiaries; however, if circumstances changed and these funds were needed for our U.S. operations, we would be required to accrue and pay U.S. taxes to repatriate these funds.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Each quarter in fiscal 2012, our Board of Directors declared a cash dividend of $0.11 per share, which was a 10 percent increase over our cash dividend of $0.10 per share paid each quarter in fiscal 2011. As announced on December 11, 2012, our Board of Directors recently increased our fiscal 2013 first quarter quarterly cash dividend by 27.3 percent to $0.14 per share from the quarterly cash dividend paid in the first quarter of fiscal 2012.</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May 24, 2012, we announced that our Board of Directors declared a two-for-one stock split of our common stock, effected in the form of a 100 percent stock dividend. The stock split was distributed or paid on June 29, 2012, to shareholders of record as of June 15, 2012. As a result of this action, approximately 29.4 million shares were issued to shareholders of record as of June 15, 2012. The par value of the common stock remains at $1.00 per share and; accordingly, approximately $29,390 was transferred from retained earnings to common stock. Earnings and dividends declared per share and weighted average shares outstanding are presented in this report after the effect of the 100 percent stock dividend. The two-for-one stock split is reflected in the share amounts in all periods presented in this report.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during the past three fiscal years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36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Cash Provided by (Used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8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83"/>
        </w:trPr>
        <w:tc>
          <w:tcPr>
            <w:tcW w:w="63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2011</w:t>
            </w:r>
          </w:p>
        </w:tc>
        <w:tc>
          <w:tcPr>
            <w:tcW w:w="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3200" w:type="dxa"/>
            <w:vAlign w:val="bottom"/>
            <w:tcBorders>
              <w:top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185.8</w:t>
            </w: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113.9</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193.5</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(69.3)</w:t>
            </w: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(142.3)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6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 (used)</w:t>
            </w:r>
          </w:p>
        </w:tc>
        <w:tc>
          <w:tcPr>
            <w:tcW w:w="320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45.0</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(96.5)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
        </w:trPr>
        <w:tc>
          <w:tcPr>
            <w:tcW w:w="6380" w:type="dxa"/>
            <w:vAlign w:val="bottom"/>
            <w:gridSpan w:val="2"/>
          </w:tcPr>
          <w:p>
            <w:pPr>
              <w:spacing w:after="0"/>
              <w:rPr>
                <w:sz w:val="2"/>
                <w:szCs w:val="2"/>
                <w:color w:val="auto"/>
              </w:rPr>
            </w:pPr>
          </w:p>
        </w:tc>
        <w:tc>
          <w:tcPr>
            <w:tcW w:w="32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 fiscal year end</w:t>
            </w:r>
          </w:p>
        </w:tc>
        <w:tc>
          <w:tcPr>
            <w:tcW w:w="3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125.9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Our primary source of funds is cash generated from operations. In fiscal 2012,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increased $71.9 million, or 63.2 percent, from fiscal 2011. This increase was due mainly to an increase in accounts payable and accrued liabilities as of the end of fiscal 2012 compared to the end of fiscal 2011, as well has higher net earnings.</w:t>
      </w:r>
    </w:p>
    <w:p>
      <w:pPr>
        <w:sectPr>
          <w:pgSz w:w="11900" w:h="16838" w:orient="portrait"/>
          <w:cols w:equalWidth="0" w:num="1">
            <w:col w:w="11420"/>
          </w:cols>
          <w:pgMar w:left="240" w:top="323" w:right="239" w:bottom="267"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267" w:gutter="0" w:footer="0" w:header="0"/>
          <w:type w:val="continuous"/>
        </w:sectPr>
      </w:pPr>
    </w:p>
    <w:bookmarkStart w:id="34" w:name="page35"/>
    <w:bookmarkEnd w:id="34"/>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Capital expenditures and acquisitions are our primary uses of capital resources. These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enable sales growth for expanding markets and in new markets, help us to meet product demand, and increase our manufacturing efficiencies and capacity. Cash used in investing activities was down 31.7 percent in fiscal 2012 compared to fiscal 2011 due mainly to lower levels of purchases of property, plant, and equipment and cash used for acquisitions.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Cash used in financing activities decreased by 33.6 percent in fiscal 2012 compared to fiscal 2011.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was primarily attributable to lower amounts of cash utilized to repurchase our common stock in fiscal 2012 compared to fiscal 2011, plus an increase in proceeds from exercises of stock options and tax benefits from stock-based awards.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Lines and Other Capital Resources</w:t>
      </w:r>
    </w:p>
    <w:p>
      <w:pPr>
        <w:spacing w:after="0" w:line="2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businesses are seasonal, with accounts receivable balances historically increasing between January and April, 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four-year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$13.5 million. These facilities bear interest at various rates depending on the rates in their respective countries of operation. As of October 31, 2012, we had no outstanding short-term debt under these lines of credit. As of October 31, 2012, we had $12.8 million of outstanding letters of credit and $150.7 million of unutilized availability under our credit agreements. Additionally, as of October 31, 2012, we had $225.3 million outstanding in long-term debt that includes $100 million in aggregate principal amount of 7.8% debentures due June 15, 2027, $125 million in aggregate principal amount of 6.625% senior notes due May 1, 2037, and $1.9 million of other long-term notes issued in connection with acquisitions that will be paid during fiscal 2013.</w:t>
      </w:r>
    </w:p>
    <w:p>
      <w:pPr>
        <w:spacing w:after="0" w:line="399" w:lineRule="exact"/>
        <w:rPr>
          <w:sz w:val="20"/>
          <w:szCs w:val="20"/>
          <w:color w:val="auto"/>
        </w:rPr>
      </w:pPr>
    </w:p>
    <w:p>
      <w:pPr>
        <w:ind w:right="80" w:firstLine="146"/>
        <w:spacing w:after="0" w:line="235" w:lineRule="auto"/>
        <w:rPr>
          <w:sz w:val="20"/>
          <w:szCs w:val="20"/>
          <w:color w:val="auto"/>
        </w:rPr>
      </w:pPr>
      <w:r>
        <w:rPr>
          <w:rFonts w:ascii="Arial" w:cs="Arial" w:eastAsia="Arial" w:hAnsi="Arial"/>
          <w:sz w:val="18"/>
          <w:szCs w:val="18"/>
          <w:color w:val="auto"/>
        </w:rPr>
        <w:t>Our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EBITDA ratio from the previous quarter compliance certificate is less than or equal to 2.75; however, we are limited to $50 million per fiscal year if our debt to EBITDA ratio from the previous quarter compliance certificate is greater than 2.75. As of October 31, 2012, we are not limited to payments of cash dividends and stock repurchases as our debt to EBITDA ratio was below 2.75. We were in compliance with all covenants related to our credit agreement for our revolving credit facility as of October 31, 2012, and we expect to be in compliance with all covenants during fiscal 2013.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raised to BBB from BBB- by Standard and Poor's Ratings Group on April 30, 2012, and unchanged during fiscal 2012 by Moody's Investors Service at Baa3.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34" w:lineRule="exact"/>
        <w:rPr>
          <w:sz w:val="20"/>
          <w:szCs w:val="20"/>
          <w:color w:val="auto"/>
        </w:rPr>
      </w:pPr>
    </w:p>
    <w:p>
      <w:pPr>
        <w:ind w:right="580"/>
        <w:spacing w:after="0" w:line="238" w:lineRule="auto"/>
        <w:rPr>
          <w:sz w:val="20"/>
          <w:szCs w:val="20"/>
          <w:color w:val="auto"/>
        </w:rPr>
      </w:pPr>
      <w:r>
        <w:rPr>
          <w:rFonts w:ascii="Arial" w:cs="Arial" w:eastAsia="Arial" w:hAnsi="Arial"/>
          <w:sz w:val="18"/>
          <w:szCs w:val="18"/>
          <w:color w:val="auto"/>
        </w:rPr>
        <w:t>During fiscal 2012, we continued repurchasing shares of our common stock in the open market, thereby reducing our shares outstanding. In addition, our repurchase programs provided shares for use in connection with our equity compensation programs. As of October 31, 2012, 1,474,677 shares remained available for repurchase under our Board authorization.</w:t>
      </w:r>
    </w:p>
    <w:p>
      <w:pPr>
        <w:spacing w:after="0" w:line="208" w:lineRule="exact"/>
        <w:rPr>
          <w:sz w:val="20"/>
          <w:szCs w:val="20"/>
          <w:color w:val="auto"/>
        </w:rPr>
      </w:pPr>
    </w:p>
    <w:p>
      <w:pPr>
        <w:ind w:right="280" w:firstLine="146"/>
        <w:spacing w:after="0" w:line="239" w:lineRule="auto"/>
        <w:rPr>
          <w:sz w:val="20"/>
          <w:szCs w:val="20"/>
          <w:color w:val="auto"/>
        </w:rPr>
      </w:pPr>
      <w:r>
        <w:rPr>
          <w:rFonts w:ascii="Arial" w:cs="Arial" w:eastAsia="Arial" w:hAnsi="Arial"/>
          <w:sz w:val="18"/>
          <w:szCs w:val="18"/>
          <w:color w:val="auto"/>
        </w:rPr>
        <w:t>On December 11, 2012, our Board of Directors authorized the repurchase of up to an additional 5 million shares of our common stock in open market or privately negotiated transactions. This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5" w:name="page36"/>
    <w:bookmarkEnd w:id="35"/>
    <w:p>
      <w:pPr>
        <w:ind w:right="100"/>
        <w:spacing w:after="0" w:line="239" w:lineRule="auto"/>
        <w:rPr>
          <w:sz w:val="20"/>
          <w:szCs w:val="20"/>
          <w:color w:val="auto"/>
        </w:rPr>
      </w:pPr>
      <w:r>
        <w:rPr>
          <w:rFonts w:ascii="Arial" w:cs="Arial" w:eastAsia="Arial" w:hAnsi="Arial"/>
          <w:sz w:val="18"/>
          <w:szCs w:val="18"/>
          <w:color w:val="auto"/>
        </w:rPr>
        <w:t>repurchase authorization has no expiration date but may be terminated by our Board of Directors at any time. We expect to continue repurchasing shares of our common stock in fiscal 2013 depending upon market conditions and our cash position.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3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8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3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2011</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Shares of common stock purchased</w:t>
            </w:r>
            <w:r>
              <w:rPr>
                <w:rFonts w:ascii="Arial" w:cs="Arial" w:eastAsia="Arial" w:hAnsi="Arial"/>
                <w:sz w:val="21"/>
                <w:szCs w:val="21"/>
                <w:b w:val="1"/>
                <w:bCs w:val="1"/>
                <w:color w:val="auto"/>
                <w:vertAlign w:val="superscript"/>
              </w:rPr>
              <w:t>1</w:t>
            </w:r>
          </w:p>
        </w:tc>
        <w:tc>
          <w:tcPr>
            <w:tcW w:w="3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2,591,039</w:t>
            </w: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4,592,760</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5,356,948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3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3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40" w:hanging="532"/>
        <w:spacing w:after="0" w:line="193" w:lineRule="auto"/>
        <w:tabs>
          <w:tab w:leader="none" w:pos="54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Does not include shares of our common stock surrendered by employees to satisfy minimum tax withholding obligations upon vesting of restricted stock granted under our stock-based compensation plans.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we established our Red Iron joint venture with TCFIF. The purpose of Red Iron is to provide inventory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including floor plan and open account receivable financing, to distributors and dealers of our products in the U.S. and to select distributors of our products in Canada to enable our distributors and dealers to carry representative inventories of our products. Under a separate arrangement, TCFCFC provides inventory financing to dealers of our products in Canada. Under these financing arrangements, down payments are not required and, depending on the finance program for each product line, finance charges are incurred by us, shared between us and the distributor and/or the dealer, or paid by the distributor or dealer. Red Iron retains a security interest in the distributors' and dealers' financed inventories, and those inventories are monitored regularly. Floor plan terms to the distributors and dealers require payment as the equipment, which secures the indebtedness, is sold to customers, or when payment terms become due, whichever occurs first. Rates are generally indexed to LIBOR plus a fixed percentage that differs based on whether the financing is for a distributor or dealer. Rates may also vary based on the product that is financed. Red Iron financed $1,191.3 million of new receivables for dealers and distributors during fiscal 2012, of which $239.8 million was outstanding as of October 31, 2012.</w:t>
      </w:r>
    </w:p>
    <w:p>
      <w:pPr>
        <w:spacing w:after="0" w:line="216" w:lineRule="exact"/>
        <w:rPr>
          <w:sz w:val="20"/>
          <w:szCs w:val="20"/>
          <w:color w:val="auto"/>
        </w:rPr>
      </w:pPr>
    </w:p>
    <w:p>
      <w:pPr>
        <w:jc w:val="both"/>
        <w:ind w:right="680" w:firstLine="146"/>
        <w:spacing w:after="0" w:line="299" w:lineRule="auto"/>
        <w:rPr>
          <w:sz w:val="20"/>
          <w:szCs w:val="20"/>
          <w:color w:val="auto"/>
        </w:rPr>
      </w:pPr>
      <w:r>
        <w:rPr>
          <w:rFonts w:ascii="Arial" w:cs="Arial" w:eastAsia="Arial" w:hAnsi="Arial"/>
          <w:sz w:val="16"/>
          <w:szCs w:val="16"/>
          <w:color w:val="auto"/>
        </w:rPr>
        <w:t>Some independent international dealers continue to finance their products with a third party financing company. This third party financing company purchased $23.7 million of receivables from us during fiscal 2012, of which $9.7 million was outstanding as of October 31, 2012.</w:t>
      </w:r>
    </w:p>
    <w:p>
      <w:pPr>
        <w:spacing w:after="0" w:line="163" w:lineRule="exact"/>
        <w:rPr>
          <w:sz w:val="20"/>
          <w:szCs w:val="20"/>
          <w:color w:val="auto"/>
        </w:rPr>
      </w:pPr>
    </w:p>
    <w:p>
      <w:pPr>
        <w:ind w:right="100" w:firstLine="146"/>
        <w:spacing w:after="0" w:line="236" w:lineRule="auto"/>
        <w:rPr>
          <w:sz w:val="20"/>
          <w:szCs w:val="20"/>
          <w:color w:val="auto"/>
        </w:rPr>
      </w:pPr>
      <w:r>
        <w:rPr>
          <w:rFonts w:ascii="Arial" w:cs="Arial" w:eastAsia="Arial" w:hAnsi="Arial"/>
          <w:sz w:val="18"/>
          <w:szCs w:val="18"/>
          <w:color w:val="auto"/>
        </w:rPr>
        <w:t>We also enter into limited inventory repurchase agreements with third party financing companies and Red Iron for receivables financed by them. As of October 31, 2012, we were contingently liable to repurchase up to a maximum amount of $10.1 million of inventory related to receivables under these financing arrangements. We have repurchased immaterial amounts of inventory from third party financing companies and Red Iron over the past three fiscal years. However, a decline in retail sales or financial difficulties of our distributors or dealers could cause this situation to change and thereby require us to repurchase financed product up to but not exceeding our limited obligation, which could have an adverse effect on our operating results.</w:t>
      </w:r>
    </w:p>
    <w:p>
      <w:pPr>
        <w:spacing w:after="0" w:line="210" w:lineRule="exact"/>
        <w:rPr>
          <w:sz w:val="20"/>
          <w:szCs w:val="20"/>
          <w:color w:val="auto"/>
        </w:rPr>
      </w:pPr>
    </w:p>
    <w:p>
      <w:pPr>
        <w:ind w:right="700" w:firstLine="146"/>
        <w:spacing w:after="0" w:line="238" w:lineRule="auto"/>
        <w:rPr>
          <w:sz w:val="20"/>
          <w:szCs w:val="20"/>
          <w:color w:val="auto"/>
        </w:rPr>
      </w:pPr>
      <w:r>
        <w:rPr>
          <w:rFonts w:ascii="Arial" w:cs="Arial" w:eastAsia="Arial" w:hAnsi="Arial"/>
          <w:sz w:val="18"/>
          <w:szCs w:val="18"/>
          <w:color w:val="auto"/>
        </w:rPr>
        <w:t>We continue to provide financing in the form of open account terms to home centers and mass retailers; general line irrigation dealers; international distributors and dealers other than the Canadian distributors and dealers to whom Red Iron provides financing arrangements; government customers; and rental companies.</w:t>
      </w:r>
    </w:p>
    <w:p>
      <w:pPr>
        <w:spacing w:after="0" w:line="188" w:lineRule="exact"/>
        <w:rPr>
          <w:sz w:val="20"/>
          <w:szCs w:val="20"/>
          <w:color w:val="auto"/>
        </w:rPr>
      </w:pPr>
    </w:p>
    <w:p>
      <w:pPr>
        <w:jc w:val="both"/>
        <w:ind w:right="340"/>
        <w:spacing w:after="0" w:line="244"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We have agreements with third party financing companies to provide lease-financing options to golf course and sports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fields and grounds equipment customers in the U.S. and Europe. The purpose of these agreements is to increase sales by giving buyers of our products alternative financing options when purchasing our products. We have no contingent liabilities for residual value or credit collection risk under these agreements with third party financing companies.</w:t>
      </w:r>
    </w:p>
    <w:p>
      <w:pPr>
        <w:spacing w:after="0" w:line="205" w:lineRule="exact"/>
        <w:rPr>
          <w:sz w:val="20"/>
          <w:szCs w:val="20"/>
          <w:color w:val="auto"/>
        </w:rPr>
      </w:pPr>
    </w:p>
    <w:p>
      <w:pPr>
        <w:ind w:right="100" w:firstLine="146"/>
        <w:spacing w:after="0" w:line="238" w:lineRule="auto"/>
        <w:rPr>
          <w:sz w:val="20"/>
          <w:szCs w:val="20"/>
          <w:color w:val="auto"/>
        </w:rPr>
      </w:pPr>
      <w:r>
        <w:rPr>
          <w:rFonts w:ascii="Arial" w:cs="Arial" w:eastAsia="Arial" w:hAnsi="Arial"/>
          <w:sz w:val="18"/>
          <w:szCs w:val="18"/>
          <w:color w:val="auto"/>
        </w:rPr>
        <w:t>From time to time, we enter into agreements where we provide recourse to third party finance companies in the event of default by the customer for lease payments to the third party finance company. Our maximum exposure for credit collection under those arrangements as of October 31, 2012 was $2.9 million.</w:t>
      </w:r>
    </w:p>
    <w:p>
      <w:pPr>
        <w:spacing w:after="0" w:line="208" w:lineRule="exact"/>
        <w:rPr>
          <w:sz w:val="20"/>
          <w:szCs w:val="20"/>
          <w:color w:val="auto"/>
        </w:rPr>
      </w:pPr>
    </w:p>
    <w:p>
      <w:pPr>
        <w:ind w:firstLine="143"/>
        <w:spacing w:after="0" w:line="238"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adverse impact on our future operating results.</w:t>
      </w:r>
    </w:p>
    <w:p>
      <w:pPr>
        <w:spacing w:after="0" w:line="18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Distributor Financing. </w:t>
      </w:r>
      <w:r>
        <w:rPr>
          <w:rFonts w:ascii="Arial" w:cs="Arial" w:eastAsia="Arial" w:hAnsi="Arial"/>
          <w:sz w:val="18"/>
          <w:szCs w:val="18"/>
          <w:color w:val="auto"/>
        </w:rPr>
        <w:t>From time to time, we enter into long-term loan agreements with some distributors. These transactions are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the distributors' businesses, acquisitions, refinancing working capital agreements, or facilitation of ownership changes. As of October 31, 2012, we had an outstanding note receivable in the aggregate of $1.1 million from one distribution company, which is included in other current and long-term assets on our consolidated balance sheets.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78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rPr>
              <w:t>Payments Due By Period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Less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More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Than</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720" w:type="dxa"/>
            <w:vAlign w:val="bottom"/>
          </w:tcPr>
          <w:p>
            <w:pPr>
              <w:jc w:val="right"/>
              <w:spacing w:after="0"/>
              <w:rPr>
                <w:sz w:val="20"/>
                <w:szCs w:val="20"/>
                <w:color w:val="auto"/>
              </w:rPr>
            </w:pPr>
            <w:r>
              <w:rPr>
                <w:rFonts w:ascii="Arial" w:cs="Arial" w:eastAsia="Arial" w:hAnsi="Arial"/>
                <w:sz w:val="14"/>
                <w:szCs w:val="14"/>
                <w:color w:val="auto"/>
              </w:rPr>
              <w:t>than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080" w:type="dxa"/>
            <w:vAlign w:val="bottom"/>
            <w:gridSpan w:val="3"/>
          </w:tcPr>
          <w:p>
            <w:pPr>
              <w:spacing w:after="0"/>
              <w:rPr>
                <w:sz w:val="20"/>
                <w:szCs w:val="20"/>
                <w:color w:val="auto"/>
              </w:rPr>
            </w:pPr>
            <w:r>
              <w:rPr>
                <w:rFonts w:ascii="Arial" w:cs="Arial" w:eastAsia="Arial" w:hAnsi="Arial"/>
                <w:sz w:val="14"/>
                <w:szCs w:val="14"/>
                <w:color w:val="auto"/>
              </w:rPr>
              <w:t>Contractual Obligation</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Years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Years</w:t>
            </w:r>
          </w:p>
        </w:tc>
        <w:tc>
          <w:tcPr>
            <w:tcW w:w="720" w:type="dxa"/>
            <w:vAlign w:val="bottom"/>
          </w:tcPr>
          <w:p>
            <w:pPr>
              <w:jc w:val="right"/>
              <w:spacing w:after="0"/>
              <w:rPr>
                <w:sz w:val="20"/>
                <w:szCs w:val="20"/>
                <w:color w:val="auto"/>
              </w:rPr>
            </w:pPr>
            <w:r>
              <w:rPr>
                <w:rFonts w:ascii="Arial" w:cs="Arial" w:eastAsia="Arial" w:hAnsi="Arial"/>
                <w:sz w:val="14"/>
                <w:szCs w:val="14"/>
                <w:color w:val="auto"/>
              </w:rPr>
              <w:t>5 Years</w:t>
            </w: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$225,000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$226,858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Interest payments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16,156</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32,162</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32,163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224,335</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304,816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Deferred compensation arrangements</w:t>
            </w:r>
            <w:r>
              <w:rPr>
                <w:rFonts w:ascii="Arial" w:cs="Arial" w:eastAsia="Arial" w:hAnsi="Arial"/>
                <w:sz w:val="21"/>
                <w:szCs w:val="21"/>
                <w:b w:val="1"/>
                <w:bCs w:val="1"/>
                <w:color w:val="auto"/>
                <w:vertAlign w:val="superscript"/>
              </w:rPr>
              <w:t>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Purchase obligations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13,257</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1,280</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14,537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13,623</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20,358</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10,404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30,158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74,543</w:t>
            </w: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7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45,728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54,944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43,555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$480,074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440" w:type="dxa"/>
            <w:vAlign w:val="bottom"/>
            <w:gridSpan w:val="2"/>
          </w:tcPr>
          <w:p>
            <w:pPr>
              <w:spacing w:after="0"/>
              <w:rPr>
                <w:sz w:val="20"/>
                <w:szCs w:val="20"/>
                <w:color w:val="auto"/>
              </w:rPr>
            </w:pPr>
            <w:r>
              <w:rPr>
                <w:rFonts w:ascii="Arial" w:cs="Arial" w:eastAsia="Arial" w:hAnsi="Arial"/>
                <w:sz w:val="11"/>
                <w:szCs w:val="11"/>
                <w:color w:val="auto"/>
              </w:rPr>
              <w:t>1</w:t>
            </w:r>
          </w:p>
        </w:tc>
        <w:tc>
          <w:tcPr>
            <w:tcW w:w="7640" w:type="dxa"/>
            <w:vAlign w:val="bottom"/>
            <w:vMerge w:val="restart"/>
          </w:tcPr>
          <w:p>
            <w:pPr>
              <w:ind w:left="100"/>
              <w:spacing w:after="0"/>
              <w:rPr>
                <w:sz w:val="20"/>
                <w:szCs w:val="20"/>
                <w:color w:val="auto"/>
              </w:rPr>
            </w:pPr>
            <w:r>
              <w:rPr>
                <w:rFonts w:ascii="Arial" w:cs="Arial" w:eastAsia="Arial" w:hAnsi="Arial"/>
                <w:sz w:val="14"/>
                <w:szCs w:val="14"/>
                <w:color w:val="auto"/>
              </w:rPr>
              <w:t>Principal payments in accordance with our long-term debt agreements.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2</w:t>
            </w: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1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our deferred compensation plans. Our estimated distributions in the contractual obligations table are based upon a number of assumptions including termination dates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participant elections. Deferred compensation balances are invested according to the election of the participant in an array of funds that is substantially similar to the array</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tcPr>
          <w:p>
            <w:pPr>
              <w:ind w:left="240"/>
              <w:spacing w:after="0"/>
              <w:rPr>
                <w:sz w:val="20"/>
                <w:szCs w:val="20"/>
                <w:color w:val="auto"/>
              </w:rPr>
            </w:pPr>
            <w:r>
              <w:rPr>
                <w:rFonts w:ascii="Arial" w:cs="Arial" w:eastAsia="Arial" w:hAnsi="Arial"/>
                <w:sz w:val="14"/>
                <w:szCs w:val="14"/>
                <w:color w:val="auto"/>
              </w:rPr>
              <w:t>of funds offered under The Toro Company Investment, Savings and Employee Stock Ownership Plan, and are payable at the election of the participant.</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property owners covering real estate taxes and common area maintenance.</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0" w:firstLine="137"/>
        <w:spacing w:after="0" w:line="237" w:lineRule="auto"/>
        <w:rPr>
          <w:sz w:val="20"/>
          <w:szCs w:val="20"/>
          <w:color w:val="auto"/>
        </w:rPr>
      </w:pPr>
      <w:r>
        <w:rPr>
          <w:rFonts w:ascii="Arial" w:cs="Arial" w:eastAsia="Arial" w:hAnsi="Arial"/>
          <w:sz w:val="18"/>
          <w:szCs w:val="18"/>
          <w:color w:val="auto"/>
        </w:rPr>
        <w:t>As of October 31, 2012, we also had $13 million in outstanding letters of credit issued, including standby letters of credit, during the normal course of business, as required by some vendor contracts. In addition to the above contractual obligations, we may be obligated for additional cash outflows of $4.6 million of unrecognized tax benefits. The payment and timing of any such payments is affected by the ultimate resolution of the tax years that are under audit or remain subject to examination by the relevant taxing authorities.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14 of the Notes to Consolidated Financial Statements.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are subject to the effects of inflation, deflation, and changing prices. During fiscal 2012, we experienced higher average commodity costs compared to the average prices paid for commodities in fiscal 2011, which hampered our gross margin growth rate in fiscal 2012 as compared to fiscal 2011. We will continue to closely follow commodities that affect our product lines, and we anticipate average prices paid for some commodities to be higher in fiscal 2013 as compared to fiscal 2012.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April 25, 2012, during the second quarter of fiscal 2012, we completed the acquisition of certain assets for an equipment line of concrete and mortar mixers, material handlers, compaction equipment, and other concrete power tools for the rental and construction market. On February 10, 2012, also during the second quarter of fiscal 2012, we completed the acquisition of certain assets and assumed certain liabilities for an equipment line of vibratory plows, trenchers, and horizontal directional drills for the construction market. On December 9, 2011, during the first quarter of fiscal 2012, we completed the acquisition of certain assets and assumed certain liabilities for a greens roller product line for the golf course market. The aggregate purchase price of these acquisitions was $11.1 million and all were accounted for as business combinations.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acquisitions were immaterial individually and, in the aggregate, based on our consolidated financial condition and results of operations.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right="440"/>
        <w:spacing w:after="0" w:line="273" w:lineRule="auto"/>
        <w:rPr>
          <w:sz w:val="20"/>
          <w:szCs w:val="20"/>
          <w:color w:val="auto"/>
        </w:rPr>
      </w:pPr>
      <w:r>
        <w:rPr>
          <w:rFonts w:ascii="Arial" w:cs="Arial" w:eastAsia="Arial" w:hAnsi="Arial"/>
          <w:sz w:val="16"/>
          <w:szCs w:val="16"/>
          <w:color w:val="auto"/>
        </w:rPr>
        <w:t>In preparing our consolidated financial statements in conformity with U.S. generally accepted accounting principles ("GAAP"),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3"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Our significant accounting policies are described in Note 1 of the Notes to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90"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b w:val="1"/>
          <w:bCs w:val="1"/>
          <w:i w:val="1"/>
          <w:iCs w:val="1"/>
          <w:color w:val="auto"/>
        </w:rPr>
        <w:t xml:space="preserve">Warranty Reserve. </w:t>
      </w:r>
      <w:r>
        <w:rPr>
          <w:rFonts w:ascii="Arial" w:cs="Arial" w:eastAsia="Arial" w:hAnsi="Arial"/>
          <w:sz w:val="18"/>
          <w:szCs w:val="18"/>
          <w:color w:val="auto"/>
        </w:rPr>
        <w:t>Warranty coverage on our products is generally for specified periods of time and on select products hours of usage,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covers parts, labor, and other expenses for non-maintenance repairs. Warranty coverage generally does not cover operator abuse or improper use. At the time of sale, we accrue a warranty reserve by product line for estimated costs in</w:t>
      </w:r>
    </w:p>
    <w:p>
      <w:pPr>
        <w:sectPr>
          <w:pgSz w:w="11900" w:h="16838" w:orient="portrait"/>
          <w:cols w:equalWidth="0" w:num="1">
            <w:col w:w="11420"/>
          </w:cols>
          <w:pgMar w:left="240" w:top="323" w:right="239" w:bottom="2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240" w:gutter="0" w:footer="0" w:header="0"/>
          <w:type w:val="continuous"/>
        </w:sectPr>
      </w:pPr>
    </w:p>
    <w:bookmarkStart w:id="37" w:name="page38"/>
    <w:bookmarkEnd w:id="37"/>
    <w:p>
      <w:pPr>
        <w:ind w:right="60"/>
        <w:spacing w:after="0" w:line="268" w:lineRule="auto"/>
        <w:rPr>
          <w:sz w:val="20"/>
          <w:szCs w:val="20"/>
          <w:color w:val="auto"/>
        </w:rPr>
      </w:pPr>
      <w:r>
        <w:rPr>
          <w:rFonts w:ascii="Arial" w:cs="Arial" w:eastAsia="Arial" w:hAnsi="Arial"/>
          <w:sz w:val="16"/>
          <w:szCs w:val="16"/>
          <w:color w:val="auto"/>
        </w:rPr>
        <w:t>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37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Sales Promotions and Incentives. </w:t>
      </w:r>
      <w:r>
        <w:rPr>
          <w:rFonts w:ascii="Arial" w:cs="Arial" w:eastAsia="Arial" w:hAnsi="Arial"/>
          <w:sz w:val="18"/>
          <w:szCs w:val="18"/>
          <w:color w:val="auto"/>
        </w:rPr>
        <w:t>At the time of sale to a customer, we record an estimate for sales promotion and incentive costs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value our inventories at the lower of the cost of inventory or net realizable value, with cost determined by either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production schedule accordingly.</w:t>
      </w:r>
    </w:p>
    <w:p>
      <w:pPr>
        <w:spacing w:after="0" w:line="215"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auto"/>
        </w:rPr>
        <w:t xml:space="preserve">Accounts and Notes Receivable Valuation. </w:t>
      </w:r>
      <w:r>
        <w:rPr>
          <w:rFonts w:ascii="Arial" w:cs="Arial" w:eastAsia="Arial" w:hAnsi="Arial"/>
          <w:sz w:val="16"/>
          <w:szCs w:val="16"/>
          <w:color w:val="auto"/>
        </w:rPr>
        <w:t>We value accounts and notes receivable, net of an allowance for doubtful accounts. Each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A deterioration in the financial condition of any key customer, inability of customers to obtain bank credit lines,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to be Adopted</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("ASU") No.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ASU No. 2011-11 requires entities to disclose gross and net information about both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eligible for offset in the statement of financial position and those subject to an agreement similar to a master netting arrangement. This would include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ind w:right="140"/>
        <w:spacing w:after="0" w:line="239" w:lineRule="auto"/>
        <w:rPr>
          <w:sz w:val="20"/>
          <w:szCs w:val="20"/>
          <w:color w:val="auto"/>
        </w:rPr>
      </w:pPr>
      <w:r>
        <w:rPr>
          <w:rFonts w:ascii="Arial" w:cs="Arial" w:eastAsia="Arial" w:hAnsi="Arial"/>
          <w:sz w:val="18"/>
          <w:szCs w:val="18"/>
          <w:color w:val="auto"/>
        </w:rPr>
        <w:t>derivatives and other financial securities arrangements. We will adopt this guidance in our first quarter of fiscal 2014, as required. The adoption of this guidance is not expected to have a material impact on our consolidated financial statements.</w:t>
      </w:r>
    </w:p>
    <w:p>
      <w:pPr>
        <w:spacing w:after="0" w:line="209" w:lineRule="exact"/>
        <w:rPr>
          <w:sz w:val="20"/>
          <w:szCs w:val="20"/>
          <w:color w:val="auto"/>
        </w:rPr>
      </w:pPr>
    </w:p>
    <w:p>
      <w:pPr>
        <w:ind w:right="320" w:firstLine="146"/>
        <w:spacing w:after="0" w:line="23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2012 has had or is expected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4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market risk 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395" w:lineRule="exact"/>
        <w:rPr>
          <w:sz w:val="20"/>
          <w:szCs w:val="20"/>
          <w:color w:val="auto"/>
        </w:rPr>
      </w:pPr>
    </w:p>
    <w:p>
      <w:pPr>
        <w:ind w:right="80" w:firstLine="146"/>
        <w:spacing w:after="0" w:line="236" w:lineRule="auto"/>
        <w:rPr>
          <w:sz w:val="20"/>
          <w:szCs w:val="20"/>
          <w:color w:val="auto"/>
        </w:rPr>
      </w:pPr>
      <w:r>
        <w:rPr>
          <w:rFonts w:ascii="Arial" w:cs="Arial" w:eastAsia="Arial" w:hAnsi="Arial"/>
          <w:sz w:val="18"/>
          <w:szCs w:val="18"/>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Further information regarding gains and losses on our derivative instruments is presented in Note 14 of the Notes to Consolidated Financial Statements.</w:t>
      </w:r>
    </w:p>
    <w:p>
      <w:pPr>
        <w:spacing w:after="0" w:line="209" w:lineRule="exact"/>
        <w:rPr>
          <w:sz w:val="20"/>
          <w:szCs w:val="20"/>
          <w:color w:val="auto"/>
        </w:rPr>
      </w:pPr>
    </w:p>
    <w:p>
      <w:pPr>
        <w:ind w:right="20" w:firstLine="143"/>
        <w:spacing w:after="0" w:line="236" w:lineRule="auto"/>
        <w:rPr>
          <w:sz w:val="20"/>
          <w:szCs w:val="20"/>
          <w:color w:val="auto"/>
        </w:rPr>
      </w:pPr>
      <w:r>
        <w:rPr>
          <w:rFonts w:ascii="Arial" w:cs="Arial" w:eastAsia="Arial" w:hAnsi="Arial"/>
          <w:sz w:val="18"/>
          <w:szCs w:val="18"/>
          <w:color w:val="auto"/>
        </w:rPr>
        <w:t>The following foreign currency exchange contracts held by us have maturity dates in fiscal 2013 and 2014. All items are non-trading and stated in U.S. dollars. Some derivative instruments we enter into do not meet cash flow hedge accounting criteria;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2012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Value in</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80" w:type="dxa"/>
            <w:vAlign w:val="bottom"/>
          </w:tcPr>
          <w:p>
            <w:pPr>
              <w:jc w:val="right"/>
              <w:spacing w:after="0"/>
              <w:rPr>
                <w:sz w:val="20"/>
                <w:szCs w:val="20"/>
                <w:color w:val="auto"/>
              </w:rPr>
            </w:pPr>
            <w:r>
              <w:rPr>
                <w:rFonts w:ascii="Arial" w:cs="Arial" w:eastAsia="Arial" w:hAnsi="Arial"/>
                <w:sz w:val="14"/>
                <w:szCs w:val="14"/>
                <w:color w:val="auto"/>
              </w:rPr>
              <w:t>Average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AOCL</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c>
          <w:tcPr>
            <w:tcW w:w="0" w:type="dxa"/>
            <w:vAlign w:val="bottom"/>
          </w:tcPr>
          <w:p>
            <w:pPr>
              <w:spacing w:after="0"/>
              <w:rPr>
                <w:sz w:val="1"/>
                <w:szCs w:val="1"/>
                <w:color w:val="auto"/>
              </w:rPr>
            </w:pPr>
          </w:p>
        </w:tc>
      </w:tr>
      <w:tr>
        <w:trPr>
          <w:trHeight w:val="162"/>
        </w:trPr>
        <w:tc>
          <w:tcPr>
            <w:tcW w:w="54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88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680" w:type="dxa"/>
            <w:vAlign w:val="bottom"/>
          </w:tcPr>
          <w:p>
            <w:pPr>
              <w:jc w:val="right"/>
              <w:spacing w:after="0"/>
              <w:rPr>
                <w:sz w:val="20"/>
                <w:szCs w:val="20"/>
                <w:color w:val="auto"/>
              </w:rPr>
            </w:pPr>
            <w:r>
              <w:rPr>
                <w:rFonts w:ascii="Arial" w:cs="Arial" w:eastAsia="Arial" w:hAnsi="Arial"/>
                <w:sz w:val="14"/>
                <w:szCs w:val="14"/>
                <w:color w:val="auto"/>
              </w:rPr>
              <w:t>Notional</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78"/>
        </w:trPr>
        <w:tc>
          <w:tcPr>
            <w:tcW w:w="5480" w:type="dxa"/>
            <w:vAlign w:val="bottom"/>
            <w:gridSpan w:val="2"/>
          </w:tcPr>
          <w:p>
            <w:pPr>
              <w:spacing w:after="0"/>
              <w:rPr>
                <w:sz w:val="20"/>
                <w:szCs w:val="20"/>
                <w:color w:val="auto"/>
              </w:rPr>
            </w:pPr>
            <w:r>
              <w:rPr>
                <w:rFonts w:ascii="Arial" w:cs="Arial" w:eastAsia="Arial" w:hAnsi="Arial"/>
                <w:sz w:val="14"/>
                <w:szCs w:val="14"/>
                <w:color w:val="auto"/>
              </w:rPr>
              <w:t>(except average contracted rate)</w:t>
            </w:r>
          </w:p>
        </w:tc>
        <w:tc>
          <w:tcPr>
            <w:tcW w:w="3880" w:type="dxa"/>
            <w:vAlign w:val="bottom"/>
          </w:tcPr>
          <w:p>
            <w:pPr>
              <w:jc w:val="right"/>
              <w:spacing w:after="0"/>
              <w:rPr>
                <w:sz w:val="20"/>
                <w:szCs w:val="20"/>
                <w:color w:val="auto"/>
              </w:rPr>
            </w:pPr>
            <w:r>
              <w:rPr>
                <w:rFonts w:ascii="Arial" w:cs="Arial" w:eastAsia="Arial" w:hAnsi="Arial"/>
                <w:sz w:val="14"/>
                <w:szCs w:val="14"/>
                <w:color w:val="auto"/>
              </w:rPr>
              <w:t>Rate</w:t>
            </w:r>
          </w:p>
        </w:tc>
        <w:tc>
          <w:tcPr>
            <w:tcW w:w="680" w:type="dxa"/>
            <w:vAlign w:val="bottom"/>
          </w:tcPr>
          <w:p>
            <w:pPr>
              <w:jc w:val="right"/>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Gain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Australian dollar</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1.0156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$44,024.1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(943.9)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U.S. $/Sell Canadian dollar</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1.0189</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6,919.4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(83.5)</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404.5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70,853.7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(1,134.8)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4,390.2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1.6031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2,837.5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 Sell U.S. $</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1.2872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6,603.7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Mexican peso/ Sell U.S. $</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13.6651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27,588.5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479.6</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(1,418.3)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Euro/Sell Romanian New Leu</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4.5645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16,125.3</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Buy British Pound/Sell Euro</w:t>
            </w:r>
          </w:p>
        </w:tc>
        <w:tc>
          <w:tcPr>
            <w:tcW w:w="3880" w:type="dxa"/>
            <w:vAlign w:val="bottom"/>
          </w:tcPr>
          <w:p>
            <w:pPr>
              <w:jc w:val="right"/>
              <w:spacing w:after="0"/>
              <w:rPr>
                <w:sz w:val="20"/>
                <w:szCs w:val="20"/>
                <w:color w:val="auto"/>
              </w:rPr>
            </w:pPr>
            <w:r>
              <w:rPr>
                <w:rFonts w:ascii="Arial" w:cs="Arial" w:eastAsia="Arial" w:hAnsi="Arial"/>
                <w:sz w:val="14"/>
                <w:szCs w:val="14"/>
                <w:b w:val="1"/>
                <w:bCs w:val="1"/>
                <w:color w:val="auto"/>
              </w:rPr>
              <w:t>1.2412</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5,730.3</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Japanese Yen/ Sell U.S. $</w:t>
            </w:r>
          </w:p>
        </w:tc>
        <w:tc>
          <w:tcPr>
            <w:tcW w:w="3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79.3000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220" w:firstLine="146"/>
        <w:spacing w:after="0" w:line="238"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market risk on interest rates relates primarily to LIBOR-based short-term debt from commercial banks, as well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Included in long-term debt is $225.3 million of fixed-rate debt that is not subject to variable interest rate fluctuations. As a result, we have no earnings or cash flow exposure due to market risks on our long-term debt obligations. As of October 31, 2012, the estimated fair value of long-term debt with fixed interest rates was $262.5 million compared to its carrying amount of $226.9 million. The fair value is estimated by discounting the projected cash flows using the rate that similar amounts and terms of debt could currently be borrowed.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ind w:right="20" w:firstLine="146"/>
        <w:spacing w:after="0" w:line="236" w:lineRule="auto"/>
        <w:rPr>
          <w:sz w:val="20"/>
          <w:szCs w:val="20"/>
          <w:color w:val="auto"/>
        </w:rPr>
      </w:pPr>
      <w:r>
        <w:rPr>
          <w:rFonts w:ascii="Arial" w:cs="Arial" w:eastAsia="Arial" w:hAnsi="Arial"/>
          <w:sz w:val="18"/>
          <w:szCs w:val="18"/>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Commodity Risk. </w:t>
      </w:r>
      <w:r>
        <w:rPr>
          <w:rFonts w:ascii="Arial" w:cs="Arial" w:eastAsia="Arial" w:hAnsi="Arial"/>
          <w:sz w:val="18"/>
          <w:szCs w:val="18"/>
          <w:color w:val="auto"/>
        </w:rPr>
        <w:t>We are subject to market risk from fluctuating market prices of certain purchased commodity raw materials including steel,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aluminum, fuel, petroleum-based resin, and linerboard. In addition, we are a purchaser of components and parts containing various commodities, including steel, aluminum, copper, lead, rubber, and others that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Operations" of this report in the section entitled "Inflation." We enter into fixed-price contracts for future purchases of natural gas in the normal course of operations as a means to manage natural gas price risks. Our manufacturing facilities enter into these fixed-price contracts for approximately 30 to 80 percent of their monthly-anticipated usage.</w:t>
      </w:r>
    </w:p>
    <w:p>
      <w:pPr>
        <w:spacing w:after="0" w:line="194"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trading price volatility of our common stock impacts compensation expense related to our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Further information is presented in Note 10 of the Notes to Consolidated Financial Statements regarding our stock-based compensation plans.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ind w:right="40"/>
        <w:spacing w:after="0" w:line="238"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208" w:lineRule="exact"/>
        <w:rPr>
          <w:sz w:val="20"/>
          <w:szCs w:val="20"/>
          <w:color w:val="auto"/>
        </w:rPr>
      </w:pPr>
    </w:p>
    <w:p>
      <w:pPr>
        <w:ind w:firstLine="143"/>
        <w:spacing w:after="0" w:line="236"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180" w:firstLine="146"/>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83" w:lineRule="exact"/>
        <w:rPr>
          <w:sz w:val="20"/>
          <w:szCs w:val="20"/>
          <w:color w:val="auto"/>
        </w:rPr>
      </w:pPr>
    </w:p>
    <w:p>
      <w:pPr>
        <w:ind w:right="20" w:firstLine="146"/>
        <w:spacing w:after="0" w:line="236"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Finance and Chief Financial Officer, evaluated the effectiveness of the company's internal control over financial reporting as of October 31, 2012. In making this evaluation,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w:t>
      </w:r>
      <w:r>
        <w:rPr>
          <w:rFonts w:ascii="Arial" w:cs="Arial" w:eastAsia="Arial" w:hAnsi="Arial"/>
          <w:sz w:val="18"/>
          <w:szCs w:val="18"/>
          <w:color w:val="auto"/>
        </w:rPr>
        <w:t>. Based on this assessment, management concluded that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was effective as of October 31, 2012.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75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75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Further discussion of the Company's internal controls and procedures is included in Part II, Item 9A, "Controls and Procedures" of this report.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rPr>
          <w:sz w:val="20"/>
          <w:szCs w:val="20"/>
          <w:color w:val="auto"/>
        </w:rPr>
      </w:pPr>
      <w:r>
        <w:rPr>
          <w:rFonts w:ascii="Arial" w:cs="Arial" w:eastAsia="Arial" w:hAnsi="Arial"/>
          <w:sz w:val="18"/>
          <w:szCs w:val="18"/>
          <w:color w:val="auto"/>
        </w:rPr>
        <w:t>The Toro Company:</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and subsidiaries as of October 31, 2012 and 2011 and the related consolidated statements of earnings, comprehensive income, stockholders' equity, and cash flows for each of the years in the three-year period ended October 31, 2012. In connection with our audits of the consolidated financial statements, we also have audited the financial statement schedule listed in Item 15(a) 2. We also have audited The Toro Company's internal control over financial reporting as of October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Toro Company's management is responsible for these consolidated financial statements and the identified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215" w:lineRule="exact"/>
        <w:rPr>
          <w:sz w:val="20"/>
          <w:szCs w:val="20"/>
          <w:color w:val="auto"/>
        </w:rPr>
      </w:pPr>
    </w:p>
    <w:p>
      <w:pPr>
        <w:ind w:firstLine="146"/>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and financial statement schedule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5" w:lineRule="exact"/>
        <w:rPr>
          <w:sz w:val="20"/>
          <w:szCs w:val="20"/>
          <w:color w:val="auto"/>
        </w:rPr>
      </w:pPr>
    </w:p>
    <w:p>
      <w:pPr>
        <w:ind w:firstLine="137"/>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120" w:firstLine="146"/>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as of October 31, 2012 and 2011 and the results of their operations and their cash flows for each of the years in the three-year period ended October 31, 2012, in conformity with U.S. generally accepted accounting principles. Also in our opinion, the identified financial statement schedule, when considered in relation to the basic consolidated financial statements taken as a whole, presents fairly, in all material respects, the information set forth therein. Also in our opinion, The Toro Company maintained, in all material respects, effective internal control over financial reporting as of October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294765"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4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December 21, 2012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24"/>
          <w:szCs w:val="24"/>
          <w:b w:val="1"/>
          <w:bCs w:val="1"/>
          <w:color w:val="auto"/>
        </w:rPr>
        <w:t>CONSOLIDATED STATEMENTS OF EARNINGS</w:t>
      </w: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7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 October 31</w:t>
            </w:r>
          </w:p>
        </w:tc>
        <w:tc>
          <w:tcPr>
            <w:tcW w:w="8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w w:val="94"/>
              </w:rPr>
              <w:t>1,958,690</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w w:val="97"/>
              </w:rPr>
              <w:t>1,883,953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4"/>
              </w:rPr>
              <w:t>1,690,378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of sales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94"/>
              </w:rPr>
              <w:t>1,285,596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1,247,306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1,113,987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Gross profit</w:t>
            </w:r>
          </w:p>
        </w:tc>
        <w:tc>
          <w:tcPr>
            <w:tcW w:w="8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673,094</w:t>
            </w:r>
          </w:p>
        </w:tc>
        <w:tc>
          <w:tcPr>
            <w:tcW w:w="140" w:type="dxa"/>
            <w:vAlign w:val="bottom"/>
          </w:tcPr>
          <w:p>
            <w:pPr>
              <w:spacing w:after="0"/>
              <w:rPr>
                <w:sz w:val="17"/>
                <w:szCs w:val="17"/>
                <w:color w:val="auto"/>
              </w:rPr>
            </w:pP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636,647</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576,391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Selling, general, and administrative expense</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467,481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452,160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425,125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Operating earnings</w:t>
            </w:r>
          </w:p>
        </w:tc>
        <w:tc>
          <w:tcPr>
            <w:tcW w:w="8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205,613</w:t>
            </w:r>
          </w:p>
        </w:tc>
        <w:tc>
          <w:tcPr>
            <w:tcW w:w="140" w:type="dxa"/>
            <w:vAlign w:val="bottom"/>
          </w:tcPr>
          <w:p>
            <w:pPr>
              <w:spacing w:after="0"/>
              <w:rPr>
                <w:sz w:val="17"/>
                <w:szCs w:val="17"/>
                <w:color w:val="auto"/>
              </w:rPr>
            </w:pP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184,487</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151,266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(16,906)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income, net</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7,555</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7,309</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196,262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174,826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Provision for income taxes</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66,721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57,168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Net earnings</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129,541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117,658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net earnings per share of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net earnings per share of common stock</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2.14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Pr>
          <w:p>
            <w:pPr>
              <w:spacing w:after="0" w:line="196" w:lineRule="exact"/>
              <w:rPr>
                <w:sz w:val="20"/>
                <w:szCs w:val="20"/>
                <w:color w:val="auto"/>
              </w:rPr>
            </w:pPr>
            <w:r>
              <w:rPr>
                <w:rFonts w:ascii="Arial" w:cs="Arial" w:eastAsia="Arial" w:hAnsi="Arial"/>
                <w:sz w:val="18"/>
                <w:szCs w:val="18"/>
                <w:b w:val="1"/>
                <w:bCs w:val="1"/>
                <w:color w:val="auto"/>
              </w:rPr>
              <w:t>Weighted-average number of shares of common stock outstanding – Basic</w:t>
            </w:r>
          </w:p>
        </w:tc>
        <w:tc>
          <w:tcPr>
            <w:tcW w:w="880" w:type="dxa"/>
            <w:vAlign w:val="bottom"/>
          </w:tcPr>
          <w:p>
            <w:pPr>
              <w:spacing w:after="0"/>
              <w:rPr>
                <w:sz w:val="17"/>
                <w:szCs w:val="17"/>
                <w:color w:val="auto"/>
              </w:rPr>
            </w:pPr>
          </w:p>
        </w:tc>
        <w:tc>
          <w:tcPr>
            <w:tcW w:w="9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59,446</w:t>
            </w:r>
          </w:p>
        </w:tc>
        <w:tc>
          <w:tcPr>
            <w:tcW w:w="140" w:type="dxa"/>
            <w:vAlign w:val="bottom"/>
          </w:tcPr>
          <w:p>
            <w:pPr>
              <w:spacing w:after="0"/>
              <w:rPr>
                <w:sz w:val="17"/>
                <w:szCs w:val="17"/>
                <w:color w:val="auto"/>
              </w:rPr>
            </w:pPr>
          </w:p>
        </w:tc>
        <w:tc>
          <w:tcPr>
            <w:tcW w:w="9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62,534</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65,964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Weighted-average number of shares of common stock outstanding – Diluted</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60,618</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63,594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43" w:name="page44"/>
    <w:bookmarkEnd w:id="43"/>
    <w:p>
      <w:pPr>
        <w:ind w:left="2000"/>
        <w:spacing w:after="0"/>
        <w:rPr>
          <w:sz w:val="20"/>
          <w:szCs w:val="20"/>
          <w:color w:val="auto"/>
        </w:rPr>
      </w:pPr>
      <w:r>
        <w:rPr>
          <w:rFonts w:ascii="Arial" w:cs="Arial" w:eastAsia="Arial" w:hAnsi="Arial"/>
          <w:sz w:val="24"/>
          <w:szCs w:val="24"/>
          <w:b w:val="1"/>
          <w:bCs w:val="1"/>
          <w:color w:val="auto"/>
        </w:rPr>
        <w:t>CONSOLIDATED STATEMENTS OF COMPREHENSIVE INCOME</w:t>
      </w: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7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124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$129,541</w:t>
            </w:r>
          </w:p>
        </w:tc>
        <w:tc>
          <w:tcPr>
            <w:tcW w:w="9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$117,658</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Foreign currency translation adjustments</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(2,532)</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104</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Pension and retiree medical benefits, net of tax of $279, $(484), and $624, respectively</w:t>
            </w: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Derivative instruments, net of tax of ($239), $1,566, and $172, respectively</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w:t>
            </w: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2,671</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Other comprehensive (loss) income, net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12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$126,393</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$119,894</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$93,578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14" w:right="599" w:bottom="1440" w:gutter="0" w:footer="0" w:header="0"/>
        </w:sectPr>
      </w:pPr>
    </w:p>
    <w:bookmarkStart w:id="44" w:name="page45"/>
    <w:bookmarkEnd w:id="44"/>
    <w:p>
      <w:pPr>
        <w:ind w:left="3580"/>
        <w:spacing w:after="0"/>
        <w:rPr>
          <w:sz w:val="20"/>
          <w:szCs w:val="20"/>
          <w:color w:val="auto"/>
        </w:rPr>
      </w:pPr>
      <w:r>
        <w:rPr>
          <w:rFonts w:ascii="Arial" w:cs="Arial" w:eastAsia="Arial" w:hAnsi="Arial"/>
          <w:sz w:val="24"/>
          <w:szCs w:val="24"/>
          <w:b w:val="1"/>
          <w:bCs w:val="1"/>
          <w:color w:val="auto"/>
        </w:rPr>
        <w:t>CONSOLIDATED BALANCE SHEETS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71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 October 31</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5"/>
              </w:rPr>
              <w:t>125,856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80,886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Receivables,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Customers (net of $3,733 and $1,964, respectively, for allowance for doubtful</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b w:val="1"/>
                <w:bCs w:val="1"/>
                <w:color w:val="auto"/>
              </w:rPr>
              <w:t>accounts)</w:t>
            </w:r>
          </w:p>
        </w:tc>
        <w:tc>
          <w:tcPr>
            <w:tcW w:w="2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144,241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142,400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3,169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receivables, net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147,410</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148,140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Inventories,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251,117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223,030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24,437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18,303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63,314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612,134</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532,882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180,523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191,140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18,477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19,075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92,000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32,065</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935,199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870,663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1,858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Short-term debt</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Accounts payable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5"/>
              </w:rPr>
              <w:t>124,806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118,036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Warranty</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69,848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56,264</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47,161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51,591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Insurance</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19,227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19,417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1,165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53,363</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378,122</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359,080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260" w:type="dxa"/>
            <w:vAlign w:val="bottom"/>
          </w:tcPr>
          <w:p>
            <w:pPr>
              <w:spacing w:after="0"/>
              <w:rPr>
                <w:sz w:val="17"/>
                <w:szCs w:val="17"/>
                <w:color w:val="auto"/>
              </w:rPr>
            </w:pP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223,482</w:t>
            </w:r>
          </w:p>
        </w:tc>
        <w:tc>
          <w:tcPr>
            <w:tcW w:w="1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5"/>
              </w:rPr>
              <w:t>225,178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Deferred revenue</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11,143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2,280</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7,770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Preferred stock, par value $1.00, authorized 1,000,000 voting and 850,000 non-</w:t>
            </w: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voting shares, none issued and outstanding</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60" w:type="dxa"/>
            <w:vAlign w:val="bottom"/>
          </w:tcPr>
          <w:p>
            <w:pPr>
              <w:ind w:left="280"/>
              <w:spacing w:after="0" w:line="184" w:lineRule="exact"/>
              <w:rPr>
                <w:sz w:val="20"/>
                <w:szCs w:val="20"/>
                <w:color w:val="auto"/>
              </w:rPr>
            </w:pPr>
            <w:r>
              <w:rPr>
                <w:rFonts w:ascii="Arial" w:cs="Arial" w:eastAsia="Arial" w:hAnsi="Arial"/>
                <w:sz w:val="18"/>
                <w:szCs w:val="18"/>
                <w:b w:val="1"/>
                <w:bCs w:val="1"/>
                <w:color w:val="auto"/>
              </w:rPr>
              <w:t>Common stock, par value $1.00, authorized 100,000,000 shares, issued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420"/>
              <w:spacing w:after="0" w:line="202" w:lineRule="exact"/>
              <w:rPr>
                <w:sz w:val="20"/>
                <w:szCs w:val="20"/>
                <w:color w:val="auto"/>
              </w:rPr>
            </w:pPr>
            <w:r>
              <w:rPr>
                <w:rFonts w:ascii="Arial" w:cs="Arial" w:eastAsia="Arial" w:hAnsi="Arial"/>
                <w:sz w:val="18"/>
                <w:szCs w:val="18"/>
                <w:b w:val="1"/>
                <w:bCs w:val="1"/>
                <w:color w:val="auto"/>
                <w:w w:val="99"/>
              </w:rPr>
              <w:t>outstanding 58,266,482 shares as of October 31, 2012 and 59,206,190 shares as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b w:val="1"/>
                <w:bCs w:val="1"/>
                <w:color w:val="auto"/>
              </w:rPr>
              <w:t>of October 31, 2011</w:t>
            </w:r>
          </w:p>
        </w:tc>
        <w:tc>
          <w:tcPr>
            <w:tcW w:w="2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58,266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Retained earnings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5"/>
              </w:rPr>
              <w:t>264,110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214,387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80"/>
              <w:spacing w:after="0"/>
              <w:rPr>
                <w:sz w:val="20"/>
                <w:szCs w:val="20"/>
                <w:color w:val="auto"/>
              </w:rPr>
            </w:pPr>
            <w:r>
              <w:rPr>
                <w:rFonts w:ascii="Arial" w:cs="Arial" w:eastAsia="Arial" w:hAnsi="Arial"/>
                <w:sz w:val="18"/>
                <w:szCs w:val="18"/>
                <w:b w:val="1"/>
                <w:bCs w:val="1"/>
                <w:color w:val="auto"/>
              </w:rPr>
              <w:t>Accumulated other comprehensive loss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(9,974)</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5"/>
              </w:rPr>
              <w:t>312,402</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266,767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5"/>
              </w:rPr>
              <w:t>935,199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870,663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14" w:right="1379" w:bottom="1440" w:gutter="0" w:footer="0" w:header="0"/>
        </w:sectPr>
      </w:pPr>
    </w:p>
    <w:bookmarkStart w:id="45" w:name="page46"/>
    <w:bookmarkEnd w:id="45"/>
    <w:p>
      <w:pPr>
        <w:ind w:left="2820"/>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6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2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Net earnings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129,541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117,658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93,237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shd w:val="clear" w:color="auto" w:fill="CCEEFF"/>
          </w:tcPr>
          <w:p>
            <w:pPr>
              <w:ind w:left="140"/>
              <w:spacing w:after="0" w:line="184" w:lineRule="exact"/>
              <w:rPr>
                <w:sz w:val="20"/>
                <w:szCs w:val="20"/>
                <w:color w:val="auto"/>
              </w:rPr>
            </w:pPr>
            <w:r>
              <w:rPr>
                <w:rFonts w:ascii="Arial" w:cs="Arial" w:eastAsia="Arial" w:hAnsi="Arial"/>
                <w:sz w:val="18"/>
                <w:szCs w:val="18"/>
                <w:b w:val="1"/>
                <w:bCs w:val="1"/>
                <w:color w:val="auto"/>
              </w:rPr>
              <w:t>Adjustments to reconcile net earnings to net cash provided by</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Provision for depreciation, amortization, and impairment losses</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53,634</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48,506</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Noncash income from affiliates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(5,996)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(Increase) decrease in deferred income taxes</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(206)</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(2,006)</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9,503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8,533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Changes in operating assets and liabilities, net of effect of acquisitions: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Receivables, net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(495)</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(2,908)</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Inventories, net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(21,973)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(25,667)</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(6,741)</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(7,144)</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00" w:type="dxa"/>
            <w:vAlign w:val="bottom"/>
            <w:shd w:val="clear" w:color="auto" w:fill="CCEEFF"/>
          </w:tcPr>
          <w:p>
            <w:pPr>
              <w:ind w:left="280"/>
              <w:spacing w:after="0" w:line="184" w:lineRule="exact"/>
              <w:rPr>
                <w:sz w:val="20"/>
                <w:szCs w:val="20"/>
                <w:color w:val="auto"/>
              </w:rPr>
            </w:pPr>
            <w:r>
              <w:rPr>
                <w:rFonts w:ascii="Arial" w:cs="Arial" w:eastAsia="Arial" w:hAnsi="Arial"/>
                <w:sz w:val="18"/>
                <w:szCs w:val="18"/>
                <w:b w:val="1"/>
                <w:bCs w:val="1"/>
                <w:color w:val="auto"/>
              </w:rPr>
              <w:t>Accounts payable, accrued liabilities, deferred revenue, and other</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28,663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185,798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113,877</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Purchases of property, plant, and equipment, net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(43,242)</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(57,447)</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491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Distributions from (investments in) finance affiliate, net</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5,091</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3,034</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Other</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Acquisitions, net of cash acquired</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(9,663)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(15,155)</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(47,323)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(69,275)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(Decrease) increase in short-term debt, net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Repayments of long-term debt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(1,858)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(1,857)</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9,017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2,988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20,347</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14,467</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16,680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(93,395)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(129,955)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5"/>
              </w:rPr>
              <w:t>(135,777)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Dividends paid on Toro common stock</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(26,230)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(24,970)</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(93,041)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(140,103)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5"/>
              </w:rPr>
              <w:t>(142,292)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Effect of exchange rates on cash</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rPr>
              <w:t>44,970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(96,480)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beginning of the fiscal year</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80,886</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177,366</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as of the end of the fiscal year</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b w:val="1"/>
                <w:bCs w:val="1"/>
                <w:color w:val="auto"/>
                <w:w w:val="98"/>
              </w:rPr>
              <w:t>125,856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80,886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177,366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Interest</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17,147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17,120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17,281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Income taxes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58,709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60,296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Shares issued in connection with stock-based compensation plans</w:t>
            </w:r>
          </w:p>
        </w:tc>
        <w:tc>
          <w:tcPr>
            <w:tcW w:w="2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2,986</w:t>
            </w:r>
          </w:p>
        </w:tc>
        <w:tc>
          <w:tcPr>
            <w:tcW w:w="1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4,005</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Long-term debt issued in connection with acquisitions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3,515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14" w:right="1379" w:bottom="1440" w:gutter="0" w:footer="0" w:header="0"/>
        </w:sectPr>
      </w:pPr>
    </w:p>
    <w:bookmarkStart w:id="46" w:name="page47"/>
    <w:bookmarkEnd w:id="46"/>
    <w:p>
      <w:pPr>
        <w:ind w:left="2080"/>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Accumulated</w:t>
            </w: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jc w:val="right"/>
              <w:ind w:right="14"/>
              <w:spacing w:after="0"/>
              <w:rPr>
                <w:sz w:val="20"/>
                <w:szCs w:val="20"/>
                <w:color w:val="auto"/>
              </w:rPr>
            </w:pPr>
            <w:r>
              <w:rPr>
                <w:rFonts w:ascii="Arial" w:cs="Arial" w:eastAsia="Arial" w:hAnsi="Arial"/>
                <w:sz w:val="14"/>
                <w:szCs w:val="14"/>
                <w:color w:val="auto"/>
              </w:rPr>
              <w:t>Other</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Common</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Retained</w:t>
            </w:r>
          </w:p>
        </w:tc>
        <w:tc>
          <w:tcPr>
            <w:tcW w:w="1180" w:type="dxa"/>
            <w:vAlign w:val="bottom"/>
          </w:tcPr>
          <w:p>
            <w:pPr>
              <w:jc w:val="right"/>
              <w:ind w:right="14"/>
              <w:spacing w:after="0"/>
              <w:rPr>
                <w:sz w:val="20"/>
                <w:szCs w:val="20"/>
                <w:color w:val="auto"/>
              </w:rPr>
            </w:pPr>
            <w:r>
              <w:rPr>
                <w:rFonts w:ascii="Arial" w:cs="Arial" w:eastAsia="Arial" w:hAnsi="Arial"/>
                <w:sz w:val="14"/>
                <w:szCs w:val="14"/>
                <w:color w:val="auto"/>
              </w:rPr>
              <w:t>Comprehensive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8"/>
        </w:trPr>
        <w:tc>
          <w:tcPr>
            <w:tcW w:w="510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Stock</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Earnings</w:t>
            </w:r>
          </w:p>
        </w:tc>
        <w:tc>
          <w:tcPr>
            <w:tcW w:w="1180" w:type="dxa"/>
            <w:vAlign w:val="bottom"/>
          </w:tcPr>
          <w:p>
            <w:pPr>
              <w:jc w:val="right"/>
              <w:ind w:right="14"/>
              <w:spacing w:after="0"/>
              <w:rPr>
                <w:sz w:val="20"/>
                <w:szCs w:val="20"/>
                <w:color w:val="auto"/>
              </w:rPr>
            </w:pPr>
            <w:r>
              <w:rPr>
                <w:rFonts w:ascii="Arial" w:cs="Arial" w:eastAsia="Arial" w:hAnsi="Arial"/>
                <w:sz w:val="14"/>
                <w:szCs w:val="14"/>
                <w:color w:val="auto"/>
              </w:rPr>
              <w:t>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2009</w:t>
            </w:r>
          </w:p>
        </w:tc>
        <w:tc>
          <w:tcPr>
            <w:tcW w:w="88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$66,739</w:t>
            </w:r>
          </w:p>
        </w:tc>
        <w:tc>
          <w:tcPr>
            <w:tcW w:w="90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$257,876</w:t>
            </w: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$(9,403)</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$315,212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Cash dividends paid on common stock – $0.36 per share</w:t>
            </w:r>
          </w:p>
        </w:tc>
        <w:tc>
          <w:tcPr>
            <w:tcW w:w="8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(23,721)</w:t>
            </w:r>
          </w:p>
        </w:tc>
        <w:tc>
          <w:tcPr>
            <w:tcW w:w="11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Issuance of 1,407,860 shares under stock-based compensation</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plans</w:t>
            </w:r>
          </w:p>
        </w:tc>
        <w:tc>
          <w:tcPr>
            <w:tcW w:w="88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1,408</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21,644</w:t>
            </w:r>
          </w:p>
        </w:tc>
        <w:tc>
          <w:tcPr>
            <w:tcW w:w="118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23,052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5,356,948 shares of common stock</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(130,420)</w:t>
            </w:r>
          </w:p>
        </w:tc>
        <w:tc>
          <w:tcPr>
            <w:tcW w:w="11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(135,777)</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3,396</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341</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93,237</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93,237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2010</w:t>
            </w:r>
          </w:p>
        </w:tc>
        <w:tc>
          <w:tcPr>
            <w:tcW w:w="88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$62,790</w:t>
            </w:r>
          </w:p>
        </w:tc>
        <w:tc>
          <w:tcPr>
            <w:tcW w:w="90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$222,082</w:t>
            </w: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$(9,062)</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$275,810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Cash dividends paid on common stock – $0.40 per share</w:t>
            </w:r>
          </w:p>
        </w:tc>
        <w:tc>
          <w:tcPr>
            <w:tcW w:w="8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(24,970)</w:t>
            </w:r>
          </w:p>
        </w:tc>
        <w:tc>
          <w:tcPr>
            <w:tcW w:w="11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(24,970)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Issuance of 1,009,520 shares under stock-based compensation</w:t>
            </w:r>
          </w:p>
        </w:tc>
        <w:tc>
          <w:tcPr>
            <w:tcW w:w="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plans</w:t>
            </w:r>
          </w:p>
        </w:tc>
        <w:tc>
          <w:tcPr>
            <w:tcW w:w="88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1,009</w:t>
            </w:r>
          </w:p>
        </w:tc>
        <w:tc>
          <w:tcPr>
            <w:tcW w:w="900" w:type="dxa"/>
            <w:vAlign w:val="bottom"/>
            <w:shd w:val="clear" w:color="auto" w:fill="CCEEFF"/>
          </w:tcPr>
          <w:p>
            <w:pPr>
              <w:jc w:val="right"/>
              <w:ind w:right="13"/>
              <w:spacing w:after="0" w:line="200" w:lineRule="exact"/>
              <w:rPr>
                <w:sz w:val="20"/>
                <w:szCs w:val="20"/>
                <w:color w:val="auto"/>
              </w:rPr>
            </w:pPr>
            <w:r>
              <w:rPr>
                <w:rFonts w:ascii="Arial" w:cs="Arial" w:eastAsia="Arial" w:hAnsi="Arial"/>
                <w:sz w:val="18"/>
                <w:szCs w:val="18"/>
                <w:color w:val="auto"/>
              </w:rPr>
              <w:t>21,859</w:t>
            </w:r>
          </w:p>
        </w:tc>
        <w:tc>
          <w:tcPr>
            <w:tcW w:w="1180" w:type="dxa"/>
            <w:vAlign w:val="bottom"/>
            <w:shd w:val="clear" w:color="auto" w:fill="CCEEFF"/>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22,868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132</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4,592,760 shares of common stock</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(4,593)</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(125,362)</w:t>
            </w:r>
          </w:p>
        </w:tc>
        <w:tc>
          <w:tcPr>
            <w:tcW w:w="11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(129,955)</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2,988</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2,236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117,658</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117,658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31, 2011</w:t>
            </w:r>
          </w:p>
        </w:tc>
        <w:tc>
          <w:tcPr>
            <w:tcW w:w="88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$59,206</w:t>
            </w:r>
          </w:p>
        </w:tc>
        <w:tc>
          <w:tcPr>
            <w:tcW w:w="90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$214,387</w:t>
            </w: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$(6,826)</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$266,767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Pr>
          <w:p>
            <w:pPr>
              <w:spacing w:after="0" w:line="196" w:lineRule="exact"/>
              <w:rPr>
                <w:sz w:val="20"/>
                <w:szCs w:val="20"/>
                <w:color w:val="auto"/>
              </w:rPr>
            </w:pPr>
            <w:r>
              <w:rPr>
                <w:rFonts w:ascii="Arial" w:cs="Arial" w:eastAsia="Arial" w:hAnsi="Arial"/>
                <w:sz w:val="18"/>
                <w:szCs w:val="18"/>
                <w:b w:val="1"/>
                <w:bCs w:val="1"/>
                <w:color w:val="auto"/>
              </w:rPr>
              <w:t>Cash dividends paid on common stock – $0.44 per share</w:t>
            </w:r>
          </w:p>
        </w:tc>
        <w:tc>
          <w:tcPr>
            <w:tcW w:w="8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(26,230)</w:t>
            </w:r>
          </w:p>
        </w:tc>
        <w:tc>
          <w:tcPr>
            <w:tcW w:w="11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(26,230)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Issuance of 1,664,835 shares under stock-based</w:t>
            </w:r>
          </w:p>
        </w:tc>
        <w:tc>
          <w:tcPr>
            <w:tcW w:w="8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compensation plans</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27,930</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29,595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 of stock to a deferred compensation trust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255</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Purchase of 2,604,525 shares of common stock</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(2,605)</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(90,790)</w:t>
            </w:r>
          </w:p>
        </w:tc>
        <w:tc>
          <w:tcPr>
            <w:tcW w:w="11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(93,395)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9,017</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comprehensive loss</w:t>
            </w:r>
          </w:p>
        </w:tc>
        <w:tc>
          <w:tcPr>
            <w:tcW w:w="8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(3,148)</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earnings</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129,541</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October 31, 2012</w:t>
            </w:r>
          </w:p>
        </w:tc>
        <w:tc>
          <w:tcPr>
            <w:tcW w:w="88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$58,266</w:t>
            </w:r>
          </w:p>
        </w:tc>
        <w:tc>
          <w:tcPr>
            <w:tcW w:w="900" w:type="dxa"/>
            <w:vAlign w:val="bottom"/>
            <w:shd w:val="clear" w:color="auto" w:fill="CCEEFF"/>
          </w:tcPr>
          <w:p>
            <w:pPr>
              <w:jc w:val="right"/>
              <w:ind w:right="13"/>
              <w:spacing w:after="0" w:line="196" w:lineRule="exact"/>
              <w:rPr>
                <w:sz w:val="20"/>
                <w:szCs w:val="20"/>
                <w:color w:val="auto"/>
              </w:rPr>
            </w:pPr>
            <w:r>
              <w:rPr>
                <w:rFonts w:ascii="Arial" w:cs="Arial" w:eastAsia="Arial" w:hAnsi="Arial"/>
                <w:sz w:val="18"/>
                <w:szCs w:val="18"/>
                <w:b w:val="1"/>
                <w:bCs w:val="1"/>
                <w:color w:val="auto"/>
              </w:rPr>
              <w:t>$264,110</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$(9,974)</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$312,402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14" w:right="13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42" w:lineRule="exact"/>
        <w:rPr>
          <w:sz w:val="20"/>
          <w:szCs w:val="20"/>
          <w:color w:val="auto"/>
        </w:rPr>
      </w:pPr>
    </w:p>
    <w:p>
      <w:pPr>
        <w:ind w:left="740" w:hanging="732"/>
        <w:spacing w:after="0"/>
        <w:tabs>
          <w:tab w:leader="none" w:pos="740" w:val="left"/>
        </w:tabs>
        <w:numPr>
          <w:ilvl w:val="0"/>
          <w:numId w:val="30"/>
        </w:numPr>
        <w:rPr>
          <w:rFonts w:ascii="Arial" w:cs="Arial" w:eastAsia="Arial" w:hAnsi="Arial"/>
          <w:sz w:val="43"/>
          <w:szCs w:val="43"/>
          <w:b w:val="1"/>
          <w:bCs w:val="1"/>
          <w:color w:val="auto"/>
        </w:rPr>
      </w:pPr>
      <w:r>
        <w:rPr>
          <w:rFonts w:ascii="Arial" w:cs="Arial" w:eastAsia="Arial" w:hAnsi="Arial"/>
          <w:sz w:val="22"/>
          <w:szCs w:val="22"/>
          <w:b w:val="1"/>
          <w:bCs w:val="1"/>
          <w:color w:val="auto"/>
        </w:rPr>
        <w:t>SUMMARY OF SIGNIFICANT ACCOUNTING POLICIES AND RELATED DATA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These investments are recorded at cost. All intercompany accounts and transactions have been eliminated from the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May 24, 2012, the company announced that its Board of Directors declared a two-for-one stock split of the company's common stock, effected in the form of a 100 percent stock dividend. The stock split was distributed or paid on June 29, 2012, to shareholders of record as of June 15, 2012. Earnings and dividends declared per share and weighted average shares outstanding are presented in this report after the effect of the two-for-one stock split. The two-for-one stock split is also reflected in the share amounts in all periods presented in this report.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4"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 accruals, incentive compensation accruals, inventory valuation, warranty reserves, earnout liabilities, allowance for doubtful accounts, pension and postretirement accruals, self-insurance accruals, useful lives of tangible and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Part I, Item 1A, "Risk Factors" of this report, which include, among others, economic conditions, including consumer spending and confidence levels; foreign currency exchange rate impact; commodity costs; and credit conditions,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will be reflected in the consolidated financial statements in future periods.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and are stated at cost, which approximates fair value. As of October 31, 2012, cash and short-term investments held by the company's foreign subsidiaries that are not available to fund domestic operations unless repatriated were $12,963.</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company's financial exposure to collection of accounts receivable is reduced due to its Red Iron Acceptance, LLC ("Red Iron") joint venture with TCF Inventory Finance, Inc. ("TCFIF"), as further discussed in Note 3. For receivables not serviced through Red Iron, the company grants credit to customers in the normal course of business and performs on-going credit evaluations of customers. Receivables are recorded at original carrying amount less reserves for estimated uncollectible accounts, as described below.</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estimates the balance of allowance for doubtful accounts by analyzing the age of account and note receivable balances and applying historical write-off trend rates. The company also estimates separately specific customer balances when it is deemed probable that the balance is uncollectible. Account balances are charged off against the allowance when all collection efforts have been exhausted.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The first-in, first-out ("FIFO") method is used for</w:t>
      </w:r>
    </w:p>
    <w:p>
      <w:pPr>
        <w:sectPr>
          <w:pgSz w:w="11900" w:h="16838" w:orient="portrait"/>
          <w:cols w:equalWidth="0" w:num="1">
            <w:col w:w="11400"/>
          </w:cols>
          <w:pgMar w:left="240" w:top="314" w:right="259" w:bottom="888"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4" w:right="259" w:bottom="888" w:gutter="0" w:footer="0" w:header="0"/>
          <w:type w:val="continuous"/>
        </w:sectPr>
      </w:pPr>
    </w:p>
    <w:bookmarkStart w:id="48" w:name="page49"/>
    <w:bookmarkEnd w:id="48"/>
    <w:p>
      <w:pPr>
        <w:ind w:right="60"/>
        <w:spacing w:after="0" w:line="237" w:lineRule="auto"/>
        <w:rPr>
          <w:sz w:val="20"/>
          <w:szCs w:val="20"/>
          <w:color w:val="auto"/>
        </w:rPr>
      </w:pPr>
      <w:r>
        <w:rPr>
          <w:rFonts w:ascii="Arial" w:cs="Arial" w:eastAsia="Arial" w:hAnsi="Arial"/>
          <w:sz w:val="18"/>
          <w:szCs w:val="18"/>
          <w:color w:val="auto"/>
        </w:rPr>
        <w:t>all other inventories, constituting 31 and 33 percent of total inventories as of October 31, 2012 and 2011, respectively.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 During fiscal 2012 and 2011, no LIFO inventory layers were reduced.</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1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Raw materials and work in progress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91,465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94,176</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3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223,459</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189,855</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FIFO value</w:t>
            </w:r>
          </w:p>
        </w:tc>
        <w:tc>
          <w:tcPr>
            <w:tcW w:w="37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314,924</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284,031</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adjustment to LIFO value</w:t>
            </w:r>
          </w:p>
        </w:tc>
        <w:tc>
          <w:tcPr>
            <w:tcW w:w="37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63,807</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61,001</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3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251,117</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223,030</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Depreciation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two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2012, 2011, and 2010, the company capitalized $256, $230, and $131 of interest, respectively.</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Land and land improvements</w:t>
            </w:r>
          </w:p>
        </w:tc>
        <w:tc>
          <w:tcPr>
            <w:tcW w:w="3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27,325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26,776</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36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129,353</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129,252</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36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460,568</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434,796</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Computer hardware and software</w:t>
            </w:r>
          </w:p>
        </w:tc>
        <w:tc>
          <w:tcPr>
            <w:tcW w:w="3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65,861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63,826</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Subtotal</w:t>
            </w:r>
          </w:p>
        </w:tc>
        <w:tc>
          <w:tcPr>
            <w:tcW w:w="36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683,107</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654,650</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3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502,584</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463,510</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2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3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180,523</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191,140</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2012, 2011, and 2010, the company recorded depreciation expense of $46,840, $43,539, and $42,108, respectively.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Indefinite-Life Intangible Assets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Goodwill represents the cost of acquisitions in excess of the fair values assigned to identifiable net assets acquired. Goodwill is assigned to reporting units based upon the expected benefit of the synergies of the acquisition. Goodwill and some trade names, which are considered to have indefinite lives, are not amortized; however, the company reviews them for impairment annually during each fourth fiscal quarter or more frequently if changes in circumstances or occurrence of events suggest the remaining value may not be recoverable.</w:t>
      </w:r>
    </w:p>
    <w:p>
      <w:pPr>
        <w:spacing w:after="0" w:line="209" w:lineRule="exact"/>
        <w:rPr>
          <w:sz w:val="20"/>
          <w:szCs w:val="20"/>
          <w:color w:val="auto"/>
        </w:rPr>
      </w:pPr>
    </w:p>
    <w:p>
      <w:pPr>
        <w:jc w:val="both"/>
        <w:ind w:right="40" w:firstLine="143"/>
        <w:spacing w:after="0" w:line="271" w:lineRule="auto"/>
        <w:rPr>
          <w:sz w:val="20"/>
          <w:szCs w:val="20"/>
          <w:color w:val="auto"/>
        </w:rPr>
      </w:pPr>
      <w:r>
        <w:rPr>
          <w:rFonts w:ascii="Arial" w:cs="Arial" w:eastAsia="Arial" w:hAnsi="Arial"/>
          <w:sz w:val="16"/>
          <w:szCs w:val="16"/>
          <w:color w:val="auto"/>
        </w:rPr>
        <w:t>The company reviewed the fair value of its reporting units that have goodwill on their respective balance sheets with their corresponding carrying amount (with goodwill) during the fourth quarter of fiscal 2012. The company determined that it has eight reporting units, which are the same as its eight operating segments. Six reporting units contain goodwill on their respective balance sheets. As of August 31, 2012, the company performed an analysis of qualitative factors to determine whether it is more likely than not that the fair value of a reporting unit is less than its carrying amount as a basis for determining whether it is necessary to perform the two-step goodwill impairment test. Based on the company's analysis of qualitative factors, the company determined that is was not necessary to perform the two-step goodwill impairment test for any of its reporting units.</w:t>
      </w:r>
    </w:p>
    <w:p>
      <w:pPr>
        <w:spacing w:after="0" w:line="185" w:lineRule="exact"/>
        <w:rPr>
          <w:sz w:val="20"/>
          <w:szCs w:val="20"/>
          <w:color w:val="auto"/>
        </w:rPr>
      </w:pPr>
    </w:p>
    <w:p>
      <w:pPr>
        <w:ind w:right="120" w:firstLine="137"/>
        <w:spacing w:after="0" w:line="236" w:lineRule="auto"/>
        <w:rPr>
          <w:sz w:val="20"/>
          <w:szCs w:val="20"/>
          <w:color w:val="auto"/>
        </w:rPr>
      </w:pPr>
      <w:r>
        <w:rPr>
          <w:rFonts w:ascii="Arial" w:cs="Arial" w:eastAsia="Arial" w:hAnsi="Arial"/>
          <w:sz w:val="18"/>
          <w:szCs w:val="18"/>
          <w:color w:val="auto"/>
        </w:rPr>
        <w:t>As of August 31, 2012, the company also performed an analysis of qualitative factors to determine whether it is more likely than not that its indefinite-life intangible assets, which consist of certain trade names, are impaired. Based on the company's analysis of qualitative factors, the company determined that is was necessary to perform a quantitative impairment analysis of its indefinite-life intangible assets. Based on the company's impairment analysis, the company wrote down $400 of an indefinite-life intangible asset during fiscal 2012. There was no indefinite-life intangible asset impairment in fiscal 2011 and 2010.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Long-Lived Assets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Other long-lived assets include property, plant, and equipment and definite-life intangible assets, which are identifiable assets that arose from purchase acquisitions consisting primarily of patents, non-compete agreements, customer relationships, trade names, and developed technology, and are amortized on a straight-line basis over periods ranging from 1.5 to 13 years. The company reviews other long-lived assets for impairment whenever events or changes in circumstances indicate that the carrying amount of an asset (or asset group) may not be recoverable. An impairment loss is recognized when estimated undiscounted future cash flows from the operation or disposition of the asset group are less than the carrying amount of the asset group. Asset groups have identifiable cash flows and are largely independent of other asset groups. Measurement of an impairment loss is based on the excess of the carrying amount of the asset group over its fair value. Fair value is</w:t>
      </w:r>
    </w:p>
    <w:p>
      <w:pPr>
        <w:sectPr>
          <w:pgSz w:w="11900" w:h="16838" w:orient="portrait"/>
          <w:cols w:equalWidth="0" w:num="1">
            <w:col w:w="11420"/>
          </w:cols>
          <w:pgMar w:left="240" w:top="143" w:right="2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9" w:name="page50"/>
    <w:bookmarkEnd w:id="49"/>
    <w:p>
      <w:pPr>
        <w:ind w:right="60"/>
        <w:spacing w:after="0" w:line="238" w:lineRule="auto"/>
        <w:rPr>
          <w:sz w:val="20"/>
          <w:szCs w:val="20"/>
          <w:color w:val="auto"/>
        </w:rPr>
      </w:pPr>
      <w:r>
        <w:rPr>
          <w:rFonts w:ascii="Arial" w:cs="Arial" w:eastAsia="Arial" w:hAnsi="Arial"/>
          <w:sz w:val="18"/>
          <w:szCs w:val="18"/>
          <w:color w:val="auto"/>
        </w:rPr>
        <w:t>measured using a discounted cash flow model or independent appraisals, as appropriate. For long-lived assets to be abandoned, the company tests for potential impairment. If the company commits to a plan to abandon a long-lived asset before the end of its previously estimated useful life, depreciation estimates are revised.</w:t>
      </w:r>
    </w:p>
    <w:p>
      <w:pPr>
        <w:spacing w:after="0" w:line="208" w:lineRule="exact"/>
        <w:rPr>
          <w:sz w:val="20"/>
          <w:szCs w:val="20"/>
          <w:color w:val="auto"/>
        </w:rPr>
      </w:pPr>
    </w:p>
    <w:p>
      <w:pPr>
        <w:ind w:right="460" w:firstLine="146"/>
        <w:spacing w:after="0" w:line="239" w:lineRule="auto"/>
        <w:rPr>
          <w:sz w:val="20"/>
          <w:szCs w:val="20"/>
          <w:color w:val="auto"/>
        </w:rPr>
      </w:pPr>
      <w:r>
        <w:rPr>
          <w:rFonts w:ascii="Arial" w:cs="Arial" w:eastAsia="Arial" w:hAnsi="Arial"/>
          <w:sz w:val="18"/>
          <w:szCs w:val="18"/>
          <w:color w:val="auto"/>
        </w:rPr>
        <w:t>Based on the company's impairment analysis, the company wrote down $691, $109, and $348 of other long-lived assets during fiscal 2012, 2011, and 2010,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has a customer-managed services agreement with a third party to provide a web-based platform that facilitates participating suppliers' ability to finance payment obligations from the company with a designated third party financial institution. Participating suppliers may, at their sole discretion, make offers to finance one or more payment obligations of the company prior to their scheduled due dates at a discounted price to a participating financial institution.</w:t>
      </w:r>
    </w:p>
    <w:p>
      <w:pPr>
        <w:spacing w:after="0" w:line="209" w:lineRule="exact"/>
        <w:rPr>
          <w:sz w:val="20"/>
          <w:szCs w:val="20"/>
          <w:color w:val="auto"/>
        </w:rPr>
      </w:pPr>
    </w:p>
    <w:p>
      <w:pPr>
        <w:ind w:right="80" w:firstLine="143"/>
        <w:spacing w:after="0" w:line="237" w:lineRule="auto"/>
        <w:rPr>
          <w:sz w:val="20"/>
          <w:szCs w:val="20"/>
          <w:color w:val="auto"/>
        </w:rPr>
      </w:pPr>
      <w:r>
        <w:rPr>
          <w:rFonts w:ascii="Arial" w:cs="Arial" w:eastAsia="Arial" w:hAnsi="Arial"/>
          <w:sz w:val="18"/>
          <w:szCs w:val="18"/>
          <w:color w:val="auto"/>
        </w:rPr>
        <w:t>The company's obligations to its suppliers, including amounts due and scheduled payment dates, are not affected by suppliers' decisions to finance amounts under this arrangement. However, the company's right to offset balances due from suppliers against payment obligations is restricted by this arrangement for those payment obligations that have been financed by suppliers. As of October 31, 2012 and 2011, $16,159 and $14,643, respectively, of the company's outstanding payment obligations had been placed on the accounts payable tracking system.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company is self-insured for certain losses relating to medical, dental, and workers' compensation claims, and product liability occurrences. Specific stop loss coverages are provided for catastrophic claims in order to limit exposure to significant claims. Losses and claims are charged to operations when it is probable a loss has been incurred and the amount can be reasonably estimated. Self-insured liabilities are based on a number of factors, including historical claims experience, an estimate of claims incurred but not reported, demographic and severity factors, and utilizing valuations provided by independent third-party actuaries.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provides an accrual for estimated future warranty costs at the time of sale. The company also establishes accruals for major rework campaigns. The amount of warranty accruals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 experience indicates that adjustments are necessary.</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changes in accrued warranties were as follows:</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4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4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4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b w:val="1"/>
                <w:bCs w:val="1"/>
                <w:color w:val="auto"/>
              </w:rPr>
              <w:t>$ 62,730</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$ 56,934</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4280" w:type="dxa"/>
            <w:vAlign w:val="bottom"/>
          </w:tcPr>
          <w:p>
            <w:pPr>
              <w:jc w:val="right"/>
              <w:ind w:right="128"/>
              <w:spacing w:after="0"/>
              <w:rPr>
                <w:sz w:val="20"/>
                <w:szCs w:val="20"/>
                <w:color w:val="auto"/>
              </w:rPr>
            </w:pPr>
            <w:r>
              <w:rPr>
                <w:rFonts w:ascii="Arial" w:cs="Arial" w:eastAsia="Arial" w:hAnsi="Arial"/>
                <w:sz w:val="14"/>
                <w:szCs w:val="14"/>
                <w:b w:val="1"/>
                <w:bCs w:val="1"/>
                <w:color w:val="auto"/>
              </w:rPr>
              <w:t>38,439</w:t>
            </w:r>
          </w:p>
        </w:tc>
        <w:tc>
          <w:tcPr>
            <w:tcW w:w="720" w:type="dxa"/>
            <w:vAlign w:val="bottom"/>
          </w:tcPr>
          <w:p>
            <w:pPr>
              <w:jc w:val="right"/>
              <w:spacing w:after="0"/>
              <w:rPr>
                <w:sz w:val="20"/>
                <w:szCs w:val="20"/>
                <w:color w:val="auto"/>
              </w:rPr>
            </w:pPr>
            <w:r>
              <w:rPr>
                <w:rFonts w:ascii="Arial" w:cs="Arial" w:eastAsia="Arial" w:hAnsi="Arial"/>
                <w:sz w:val="14"/>
                <w:szCs w:val="14"/>
                <w:color w:val="auto"/>
              </w:rPr>
              <w:t>40,144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4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(35,431)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(33,774)</w:t>
            </w: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4280" w:type="dxa"/>
            <w:vAlign w:val="bottom"/>
          </w:tcPr>
          <w:p>
            <w:pPr>
              <w:jc w:val="right"/>
              <w:ind w:right="128"/>
              <w:spacing w:after="0"/>
              <w:rPr>
                <w:sz w:val="20"/>
                <w:szCs w:val="20"/>
                <w:color w:val="auto"/>
              </w:rPr>
            </w:pPr>
            <w:r>
              <w:rPr>
                <w:rFonts w:ascii="Arial" w:cs="Arial" w:eastAsia="Arial" w:hAnsi="Arial"/>
                <w:sz w:val="14"/>
                <w:szCs w:val="14"/>
                <w:b w:val="1"/>
                <w:bCs w:val="1"/>
                <w:color w:val="auto"/>
              </w:rPr>
              <w:t>3,910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(849)</w:t>
            </w:r>
          </w:p>
        </w:tc>
      </w:tr>
      <w:tr>
        <w:trPr>
          <w:trHeight w:val="162"/>
        </w:trPr>
        <w:tc>
          <w:tcPr>
            <w:tcW w:w="20" w:type="dxa"/>
            <w:vAlign w:val="bottom"/>
          </w:tcPr>
          <w:p>
            <w:pPr>
              <w:spacing w:after="0"/>
              <w:rPr>
                <w:sz w:val="14"/>
                <w:szCs w:val="14"/>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Additions from acquisitions</w:t>
            </w:r>
          </w:p>
        </w:tc>
        <w:tc>
          <w:tcPr>
            <w:tcW w:w="4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4"/>
                <w:szCs w:val="14"/>
                <w:color w:val="auto"/>
              </w:rPr>
            </w:pPr>
          </w:p>
        </w:tc>
      </w:tr>
      <w:tr>
        <w:trPr>
          <w:trHeight w:val="27"/>
        </w:trPr>
        <w:tc>
          <w:tcPr>
            <w:tcW w:w="5480" w:type="dxa"/>
            <w:vAlign w:val="bottom"/>
            <w:gridSpan w:val="2"/>
          </w:tcPr>
          <w:p>
            <w:pPr>
              <w:spacing w:after="0"/>
              <w:rPr>
                <w:sz w:val="2"/>
                <w:szCs w:val="2"/>
                <w:color w:val="auto"/>
              </w:rPr>
            </w:pPr>
          </w:p>
        </w:tc>
        <w:tc>
          <w:tcPr>
            <w:tcW w:w="4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balance</w:t>
            </w:r>
          </w:p>
        </w:tc>
        <w:tc>
          <w:tcPr>
            <w:tcW w:w="4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$ 69,848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$ 62,730</w:t>
            </w:r>
          </w:p>
        </w:tc>
        <w:tc>
          <w:tcPr>
            <w:tcW w:w="160" w:type="dxa"/>
            <w:vAlign w:val="bottom"/>
          </w:tcPr>
          <w:p>
            <w:pPr>
              <w:spacing w:after="0"/>
              <w:rPr>
                <w:sz w:val="15"/>
                <w:szCs w:val="15"/>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Derivatives, consisting mainly of forward currency contracts, are used to hedge most foreign currency transactions, including forecasted sales and purchases denominated in foreign currencies. The company also utilizes cross currency swaps to offset foreign currency intercompany loan exposures. Derivatives are recognized on the consolidated balance sheet at fair value. If the derivative is designated as a cash flow hedge, the effective portion of the change in the fair value of the derivative is recorded as a component of other comprehensive income within the consolidated statements of comprehensive income and the consolidated statements of stockholders' equity, and recognized in earnings when the hedged item affects earnings. Derivatives that do not meet the requirements for hedge accounting are adjusted to fair value through other income, net in the consolidated statements of earnings.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23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net in the consolidated statements of earnings.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w:t>
      </w:r>
    </w:p>
    <w:p>
      <w:pPr>
        <w:sectPr>
          <w:pgSz w:w="11900" w:h="16838" w:orient="portrait"/>
          <w:cols w:equalWidth="0" w:num="1">
            <w:col w:w="11420"/>
          </w:cols>
          <w:pgMar w:left="240" w:top="143" w:right="239" w:bottom="483"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483" w:gutter="0" w:footer="0" w:header="0"/>
          <w:type w:val="continuous"/>
        </w:sectPr>
      </w:pPr>
    </w:p>
    <w:bookmarkStart w:id="50" w:name="page51"/>
    <w:bookmarkEnd w:id="50"/>
    <w:p>
      <w:pPr>
        <w:ind w:right="220"/>
        <w:spacing w:after="0" w:line="237" w:lineRule="auto"/>
        <w:rPr>
          <w:sz w:val="20"/>
          <w:szCs w:val="20"/>
          <w:color w:val="auto"/>
        </w:rPr>
      </w:pPr>
      <w:r>
        <w:rPr>
          <w:rFonts w:ascii="Arial" w:cs="Arial" w:eastAsia="Arial" w:hAnsi="Arial"/>
          <w:sz w:val="18"/>
          <w:szCs w:val="18"/>
          <w:color w:val="auto"/>
        </w:rPr>
        <w:t>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 years, future reversals of existing taxable temporary differences, and future taxable income.</w:t>
      </w:r>
    </w:p>
    <w:p>
      <w:pPr>
        <w:spacing w:after="0" w:line="209" w:lineRule="exact"/>
        <w:rPr>
          <w:sz w:val="20"/>
          <w:szCs w:val="20"/>
          <w:color w:val="auto"/>
        </w:rPr>
      </w:pPr>
    </w:p>
    <w:p>
      <w:pPr>
        <w:ind w:right="520" w:firstLine="143"/>
        <w:spacing w:after="0" w:line="23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The company also records interest and penalties related to unrecognized tax benefits in income tax expense.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company recognizes revenue for product sales when persuasive evidence of an arrangement exists, title and risk of ownership passes to the customer, the sales price is fixed or determinable, and collectability is probable. These criteria are typically met at the time product is shipped, or in the case of certain agreements, when product is delivered. A provision is made at the time the related revenue is recognized for estimated product returns, floor plan costs, rebates, and other sales promotional expenses. Sales, use, value-added, and other excise taxes are not recognized in revenue. Freight revenue billed to customers is included in net sales.</w:t>
      </w:r>
    </w:p>
    <w:p>
      <w:pPr>
        <w:spacing w:after="0" w:line="211"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Retail customers may obtain financing through third-party financing companies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208" w:lineRule="exact"/>
        <w:rPr>
          <w:sz w:val="20"/>
          <w:szCs w:val="20"/>
          <w:color w:val="auto"/>
        </w:rPr>
      </w:pPr>
    </w:p>
    <w:p>
      <w:pPr>
        <w:ind w:right="40" w:firstLine="143"/>
        <w:spacing w:after="0" w:line="236" w:lineRule="auto"/>
        <w:rPr>
          <w:sz w:val="20"/>
          <w:szCs w:val="20"/>
          <w:color w:val="auto"/>
        </w:rPr>
      </w:pPr>
      <w:r>
        <w:rPr>
          <w:rFonts w:ascii="Arial" w:cs="Arial" w:eastAsia="Arial" w:hAnsi="Arial"/>
          <w:sz w:val="18"/>
          <w:szCs w:val="18"/>
          <w:color w:val="auto"/>
        </w:rPr>
        <w:t>The company ships some of its products to a key retailer's seasonal distribution centers on a consignment basis. The company retains title of its products stored at the seasonal distribution centers. As the company's products are removed from the seasonal distribution centers by the key retailer and shipped to the key retailer's stores, title passes from the company to the key retailer. At that time, the company invoices the key retailer and recognizes revenue for these consignment transactions. The company does not offer a right of return for products shipped to the key retailer's stores from the seasonal distribution centers. From time to time, the company also stores inventory on a consignment basis at other customers' locations. The amount of consignment inventory as of October 31, 2012 and 2011 was $20,339 and $14,874, respectively.</w:t>
      </w:r>
    </w:p>
    <w:p>
      <w:pPr>
        <w:spacing w:after="0" w:line="210" w:lineRule="exact"/>
        <w:rPr>
          <w:sz w:val="20"/>
          <w:szCs w:val="20"/>
          <w:color w:val="auto"/>
        </w:rPr>
      </w:pPr>
    </w:p>
    <w:p>
      <w:pPr>
        <w:ind w:right="60" w:firstLine="146"/>
        <w:spacing w:after="0" w:line="299"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classified either as a reduction from gross sales or as a component of selling, general, and administrative expense.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Financing Distributor / Dealer Inventory</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enters into limited inventory repurchase agreements with a third party financing company and Red Iron. The company has repurchased immaterial amounts of inventory under these repurchase agreements over the last three fiscal years. However, an adverse change in retail sales could cause this situation to change and thereby require the company to repurchase a portion of financed product. See Note 13 for additional information regarding the company's repurchase arrangements.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1" w:name="page52"/>
    <w:bookmarkEnd w:id="51"/>
    <w:p>
      <w:pPr>
        <w:ind w:right="300" w:firstLine="146"/>
        <w:spacing w:after="0" w:line="273" w:lineRule="auto"/>
        <w:rPr>
          <w:sz w:val="20"/>
          <w:szCs w:val="20"/>
          <w:color w:val="auto"/>
        </w:rPr>
      </w:pPr>
      <w:r>
        <w:rPr>
          <w:rFonts w:ascii="Arial" w:cs="Arial" w:eastAsia="Arial" w:hAnsi="Arial"/>
          <w:sz w:val="16"/>
          <w:szCs w:val="16"/>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third party financing sources to finance distributor and dealer inventory purchases. These financing arrangements are used by the company as a marketing tool to assist customers to buy inventory. The financing costs for distributor and dealer inventories were $19,492, $16,394, and $14,490 for the fiscal years ended October 31, 2012, 2011, and 2010, respectively.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4"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$46,947, $49,362, and $39,281 for the fiscal years ended October 31, 2012, 2011, and 2010,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company's stock-based compensation awards are generally granted to executive officers, other employees, and non-employee members of the company's Board of Directors, and include performance share awards that are contingent on the achievement of performance goals of the company, non-qualified stock options, and restricted stock awards. Compensation expense equal to the grant date fair value is recognized for these awards over the vesting period. See Note 10 for additional information regarding stock-based compensation plans.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within the consolidated statements of stockholders' equity are as follows:</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60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3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6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Foreign currency translation adjustments</w:t>
            </w:r>
          </w:p>
        </w:tc>
        <w:tc>
          <w:tcPr>
            <w:tcW w:w="338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$ 5,436</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2,904</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3,008</w:t>
            </w:r>
          </w:p>
        </w:tc>
        <w:tc>
          <w:tcPr>
            <w:tcW w:w="18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Arial" w:cs="Arial" w:eastAsia="Arial" w:hAnsi="Arial"/>
                <w:sz w:val="14"/>
                <w:szCs w:val="14"/>
                <w:b w:val="1"/>
                <w:bCs w:val="1"/>
                <w:color w:val="auto"/>
              </w:rPr>
              <w:t>Pension and retiree medical benefits, net of tax</w:t>
            </w:r>
          </w:p>
        </w:tc>
        <w:tc>
          <w:tcPr>
            <w:tcW w:w="3380" w:type="dxa"/>
            <w:vAlign w:val="bottom"/>
          </w:tcPr>
          <w:p>
            <w:pPr>
              <w:jc w:val="right"/>
              <w:ind w:right="8"/>
              <w:spacing w:after="0"/>
              <w:rPr>
                <w:sz w:val="20"/>
                <w:szCs w:val="20"/>
                <w:color w:val="auto"/>
              </w:rPr>
            </w:pPr>
            <w:r>
              <w:rPr>
                <w:rFonts w:ascii="Arial" w:cs="Arial" w:eastAsia="Arial" w:hAnsi="Arial"/>
                <w:sz w:val="14"/>
                <w:szCs w:val="14"/>
                <w:b w:val="1"/>
                <w:bCs w:val="1"/>
                <w:color w:val="auto"/>
              </w:rPr>
              <w:t>4,328</w:t>
            </w:r>
          </w:p>
        </w:tc>
        <w:tc>
          <w:tcPr>
            <w:tcW w:w="20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3,800</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3,261</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Derivative instruments, net of tax</w:t>
            </w:r>
          </w:p>
        </w:tc>
        <w:tc>
          <w:tcPr>
            <w:tcW w:w="3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80" w:type="dxa"/>
            <w:vAlign w:val="bottom"/>
            <w:shd w:val="clear" w:color="auto" w:fill="CCEEFF"/>
          </w:tcPr>
          <w:p>
            <w:pPr>
              <w:spacing w:after="0"/>
              <w:rPr>
                <w:sz w:val="14"/>
                <w:szCs w:val="14"/>
                <w:color w:val="auto"/>
              </w:rPr>
            </w:pPr>
          </w:p>
        </w:tc>
      </w:tr>
      <w:tr>
        <w:trPr>
          <w:trHeight w:val="27"/>
        </w:trPr>
        <w:tc>
          <w:tcPr>
            <w:tcW w:w="6080" w:type="dxa"/>
            <w:vAlign w:val="bottom"/>
            <w:gridSpan w:val="2"/>
          </w:tcPr>
          <w:p>
            <w:pPr>
              <w:spacing w:after="0"/>
              <w:rPr>
                <w:sz w:val="2"/>
                <w:szCs w:val="2"/>
                <w:color w:val="auto"/>
              </w:rPr>
            </w:pPr>
          </w:p>
        </w:tc>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accumulated other comprehensive loss</w:t>
            </w:r>
          </w:p>
        </w:tc>
        <w:tc>
          <w:tcPr>
            <w:tcW w:w="3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$ 9,974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6,826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9,062</w:t>
            </w:r>
          </w:p>
        </w:tc>
        <w:tc>
          <w:tcPr>
            <w:tcW w:w="180" w:type="dxa"/>
            <w:vAlign w:val="bottom"/>
          </w:tcPr>
          <w:p>
            <w:pPr>
              <w:spacing w:after="0"/>
              <w:rPr>
                <w:sz w:val="15"/>
                <w:szCs w:val="15"/>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w:t>
      </w:r>
    </w:p>
    <w:p>
      <w:pPr>
        <w:spacing w:after="0" w:line="2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restricted common stock.</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92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2011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59,440</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62,530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65,960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59,446</w:t>
            </w:r>
          </w:p>
        </w:tc>
        <w:tc>
          <w:tcPr>
            <w:tcW w:w="6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62,534</w:t>
            </w:r>
          </w:p>
        </w:tc>
        <w:tc>
          <w:tcPr>
            <w:tcW w:w="7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65,964</w:t>
            </w:r>
          </w:p>
        </w:tc>
        <w:tc>
          <w:tcPr>
            <w:tcW w:w="0" w:type="dxa"/>
            <w:vAlign w:val="bottom"/>
          </w:tcPr>
          <w:p>
            <w:pPr>
              <w:spacing w:after="0"/>
              <w:rPr>
                <w:sz w:val="1"/>
                <w:szCs w:val="1"/>
                <w:color w:val="auto"/>
              </w:rPr>
            </w:pPr>
          </w:p>
        </w:tc>
      </w:tr>
      <w:tr>
        <w:trPr>
          <w:trHeight w:val="27"/>
        </w:trPr>
        <w:tc>
          <w:tcPr>
            <w:tcW w:w="9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9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DILUTED</w:t>
            </w:r>
          </w:p>
        </w:tc>
        <w:tc>
          <w:tcPr>
            <w:tcW w:w="7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40" w:type="dxa"/>
            <w:vAlign w:val="bottom"/>
            <w:gridSpan w:val="2"/>
          </w:tcPr>
          <w:p>
            <w:pPr>
              <w:spacing w:after="0"/>
              <w:rPr>
                <w:sz w:val="20"/>
                <w:szCs w:val="20"/>
                <w:color w:val="auto"/>
              </w:rPr>
            </w:pPr>
            <w:r>
              <w:rPr>
                <w:rFonts w:ascii="Arial" w:cs="Arial" w:eastAsia="Arial" w:hAnsi="Arial"/>
                <w:sz w:val="14"/>
                <w:szCs w:val="14"/>
                <w:color w:val="auto"/>
              </w:rPr>
              <w:t>(Shares in thousands)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24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780" w:type="dxa"/>
            <w:vAlign w:val="bottom"/>
            <w:vMerge w:val="continue"/>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2011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59,446</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62,534</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65,964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1,172</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1,060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7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securities</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60,618</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63,594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Options to purchase an aggregate of 33,427, 417,436, and 661,110 shares of common stock outstanding during fiscal 2012, 2011, and 2010, respectively, were excluded from the diluted net earnings per share calculation because their exercise prices were greater than the average market price of the company's common stock during the same respective periods.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Presentation</w:t>
      </w:r>
    </w:p>
    <w:p>
      <w:pPr>
        <w:spacing w:after="0" w:line="23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ectPr>
          <w:pgSz w:w="11900" w:h="16838" w:orient="portrait"/>
          <w:cols w:equalWidth="0" w:num="1">
            <w:col w:w="11420"/>
          </w:cols>
          <w:pgMar w:left="240" w:top="143"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New Accounting Pronouncements Adopted</w:t>
      </w:r>
    </w:p>
    <w:p>
      <w:pPr>
        <w:spacing w:after="0" w:line="2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In July 2012, the Financial Accounting Standards Board ("FASB") issued Accounting Standards Update ("ASU") No. 2012-02,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 – Testing Indefinite-Lived Intangible Assets for Impairment</w:t>
      </w:r>
      <w:r>
        <w:rPr>
          <w:rFonts w:ascii="Arial" w:cs="Arial" w:eastAsia="Arial" w:hAnsi="Arial"/>
          <w:sz w:val="18"/>
          <w:szCs w:val="18"/>
          <w:color w:val="auto"/>
        </w:rPr>
        <w:t>. ASU No. 2012-02 permits an entity to first assess</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factors to determine whether it is more likely than not that an indefinite-life intangible asset is impaired as a basis for determining whether it is necessary to perform quantitative impairment in accordance with Subtopic 350-30</w:t>
      </w:r>
      <w:r>
        <w:rPr>
          <w:rFonts w:ascii="Arial" w:cs="Arial" w:eastAsia="Arial" w:hAnsi="Arial"/>
          <w:sz w:val="18"/>
          <w:szCs w:val="18"/>
          <w:i w:val="1"/>
          <w:iCs w:val="1"/>
          <w:color w:val="auto"/>
        </w:rPr>
        <w:t>, Intangibles – Goodwill and Other –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 Other than Goodwill</w:t>
      </w:r>
      <w:r>
        <w:rPr>
          <w:rFonts w:ascii="Arial" w:cs="Arial" w:eastAsia="Arial" w:hAnsi="Arial"/>
          <w:sz w:val="18"/>
          <w:szCs w:val="18"/>
          <w:color w:val="auto"/>
        </w:rPr>
        <w:t>. The more-likely-than-not threshold is defined as having a likelihood of more than 50 percent. ASU No. 2012-02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and interim impairment tests performed for fiscal years beginning after September 15, 2012 and early adoption is permitted. The company adopted ASU No. 2012-02, as permitted, for its annual impairment test for its fiscal year ended October 31, 2012. The adoption did not have a material impact on the company's consolidated financial statements.</w:t>
      </w:r>
    </w:p>
    <w:p>
      <w:pPr>
        <w:spacing w:after="0" w:line="195" w:lineRule="exact"/>
        <w:rPr>
          <w:sz w:val="20"/>
          <w:szCs w:val="20"/>
          <w:color w:val="auto"/>
        </w:rPr>
      </w:pPr>
    </w:p>
    <w:p>
      <w:pPr>
        <w:ind w:firstLine="146"/>
        <w:spacing w:after="0" w:line="269"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xml:space="preserve">. ASU No. 2011-05 guidance amended the presentation of comprehensive income to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 option to present the components of other comprehensive income as part of the statement of changes in stockholders' equity. In December 2011, the FASB issued ASU No. 2011-12, </w:t>
      </w:r>
      <w:r>
        <w:rPr>
          <w:rFonts w:ascii="Arial" w:cs="Arial" w:eastAsia="Arial" w:hAnsi="Arial"/>
          <w:sz w:val="16"/>
          <w:szCs w:val="16"/>
          <w:i w:val="1"/>
          <w:iCs w:val="1"/>
          <w:color w:val="auto"/>
        </w:rPr>
        <w:t>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Reclassifications of Items Out of Accumulated Other Comprehensive Income in Accounting Standards Update No. 2011-05</w:t>
      </w:r>
      <w:r>
        <w:rPr>
          <w:rFonts w:ascii="Arial" w:cs="Arial" w:eastAsia="Arial" w:hAnsi="Arial"/>
          <w:sz w:val="16"/>
          <w:szCs w:val="16"/>
          <w:color w:val="auto"/>
        </w:rPr>
        <w:t>. ASU</w:t>
      </w:r>
      <w:r>
        <w:rPr>
          <w:rFonts w:ascii="Arial" w:cs="Arial" w:eastAsia="Arial" w:hAnsi="Arial"/>
          <w:sz w:val="16"/>
          <w:szCs w:val="16"/>
          <w:i w:val="1"/>
          <w:iCs w:val="1"/>
          <w:color w:val="auto"/>
        </w:rPr>
        <w:t xml:space="preserve"> </w:t>
      </w:r>
      <w:r>
        <w:rPr>
          <w:rFonts w:ascii="Arial" w:cs="Arial" w:eastAsia="Arial" w:hAnsi="Arial"/>
          <w:sz w:val="16"/>
          <w:szCs w:val="16"/>
          <w:color w:val="auto"/>
        </w:rPr>
        <w:t>No. 2011-12 defers the changes in ASU No. 2011-05 of the requirement to present separate line items on the income statement for reclassification adjustments of items out of accumulated other comprehensive income into net income. The effective date for ASU No. 2011-12 is consistent with the effective date for ASU No. 2011-05, which is effective for fiscal years, and interim periods within those years, beginning after December 15, 2011, and is to be applied retrospectively; early adoption is permitted. The company adopted this amended guidance in its fiscal 2012 fourth quarter. The adoption of this guidance did not have a material impact on the company's consolidated financial statements.</w:t>
      </w:r>
    </w:p>
    <w:p>
      <w:pPr>
        <w:spacing w:after="0" w:line="375" w:lineRule="exact"/>
        <w:rPr>
          <w:sz w:val="20"/>
          <w:szCs w:val="20"/>
          <w:color w:val="auto"/>
        </w:rPr>
      </w:pPr>
    </w:p>
    <w:p>
      <w:pPr>
        <w:ind w:right="40" w:firstLine="146"/>
        <w:spacing w:after="0" w:line="237" w:lineRule="auto"/>
        <w:rPr>
          <w:sz w:val="20"/>
          <w:szCs w:val="20"/>
          <w:color w:val="auto"/>
        </w:rPr>
      </w:pPr>
      <w:r>
        <w:rPr>
          <w:rFonts w:ascii="Arial" w:cs="Arial" w:eastAsia="Arial" w:hAnsi="Arial"/>
          <w:sz w:val="18"/>
          <w:szCs w:val="18"/>
          <w:color w:val="auto"/>
        </w:rPr>
        <w:t xml:space="preserve">In May 2011, the FASB issued ASU No.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and Disclosure Requirements in U.S. GAAP and IFRS </w:t>
      </w:r>
      <w:r>
        <w:rPr>
          <w:rFonts w:ascii="Arial" w:cs="Arial" w:eastAsia="Arial" w:hAnsi="Arial"/>
          <w:sz w:val="18"/>
          <w:szCs w:val="18"/>
          <w:color w:val="auto"/>
        </w:rPr>
        <w:t>. The amendments result in a consistent definition of fair value and common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measurement of and disclosure regarding fair value between U.S. GAAP and International Financial Reporting Standards. Specifically, the 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 a) measurement of the fair value of financial instruments that are managed within a portfolio, b) application of premiums and discounts in a fair value measurement, and c) additional disclosure about fair value measurements. The company adopted the amendments of ASU No. 2011-04 at the beginning of its fiscal 2012 second quarter, as required. The adoption of this guidance did not have an impact on the company's consolidated financial statements.</w:t>
      </w:r>
    </w:p>
    <w:p>
      <w:pPr>
        <w:spacing w:after="0" w:line="226"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43"/>
          <w:szCs w:val="43"/>
          <w:b w:val="1"/>
          <w:bCs w:val="1"/>
          <w:color w:val="auto"/>
        </w:rPr>
      </w:pPr>
      <w:r>
        <w:rPr>
          <w:rFonts w:ascii="Arial" w:cs="Arial" w:eastAsia="Arial" w:hAnsi="Arial"/>
          <w:sz w:val="22"/>
          <w:szCs w:val="22"/>
          <w:b w:val="1"/>
          <w:bCs w:val="1"/>
          <w:color w:val="auto"/>
        </w:rPr>
        <w:t>ACQUISITIONS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April 25, 2012, during the second quarter of fiscal 2012, the company completed the acquisition of certain assets for an equipment line of concrete and mortar mixers, material handlers, compaction equipment, and other concrete power tools for the rental and construction market. On February 10, 2012, also during the second quarter of fiscal 2012, the company completed the acquisition of certain assets and assumed certain liabilities for an equipment line of vibratory plows, trenchers, and horizontal directional drills for the underground utilities market. On December 9, 2011, during the first quarter of fiscal 2012, the company completed the acquisition of certain assets and assumed certain liabilities for a greens roller product line for the golf course market. The aggregate purchase price of these acquisitions was $11,112, which included cash payments and issuance of a long-term note.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June 24, 2011, the company completed the acquisition of certain assets of, and assumed certain liabilities for an equipment line of turf</w:t>
      </w:r>
    </w:p>
    <w:p>
      <w:pPr>
        <w:spacing w:after="0"/>
        <w:rPr>
          <w:sz w:val="20"/>
          <w:szCs w:val="20"/>
          <w:color w:val="auto"/>
        </w:rPr>
      </w:pPr>
      <w:r>
        <w:rPr>
          <w:rFonts w:ascii="Arial" w:cs="Arial" w:eastAsia="Arial" w:hAnsi="Arial"/>
          <w:sz w:val="16"/>
          <w:szCs w:val="16"/>
          <w:color w:val="auto"/>
        </w:rPr>
        <w:t>renovation equipment, including aerators, seeders, and power rakes, for the landscape, rental, municipal, and golf markets. On January 17, 2011,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company completed the acquisition of certain assets of, and assumed certain liabilities for a line of professionally installed landscape lighting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fixtures and transformers for residential and commercial use. The aggregate net purchase price of these acquisitions during fiscal 2011 was</w:t>
      </w:r>
    </w:p>
    <w:p>
      <w:pPr>
        <w:spacing w:after="0"/>
        <w:rPr>
          <w:sz w:val="20"/>
          <w:szCs w:val="20"/>
          <w:color w:val="auto"/>
        </w:rPr>
      </w:pPr>
      <w:r>
        <w:rPr>
          <w:rFonts w:ascii="Arial" w:cs="Arial" w:eastAsia="Arial" w:hAnsi="Arial"/>
          <w:sz w:val="16"/>
          <w:szCs w:val="16"/>
          <w:color w:val="auto"/>
        </w:rPr>
        <w:t>$24,150, which included cash payments, the issuance of long-term notes, and estimated earnout considerations. The earnout considerations 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based on annual financial results over certain thresholds as defined in the acquisition agreements.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53" w:name="page54"/>
    <w:bookmarkEnd w:id="53"/>
    <w:p>
      <w:pPr>
        <w:ind w:right="80" w:firstLine="146"/>
        <w:spacing w:after="0" w:line="271" w:lineRule="auto"/>
        <w:rPr>
          <w:sz w:val="20"/>
          <w:szCs w:val="20"/>
          <w:color w:val="auto"/>
        </w:rPr>
      </w:pPr>
      <w:r>
        <w:rPr>
          <w:rFonts w:ascii="Arial" w:cs="Arial" w:eastAsia="Arial" w:hAnsi="Arial"/>
          <w:sz w:val="16"/>
          <w:szCs w:val="16"/>
          <w:color w:val="auto"/>
        </w:rPr>
        <w:t>On October 29, 2010, the company completed the acquisition of certain assets of, and assumed certain liabilities from, one of its independent U.S. Western-based distribution companies. On April 30, 2010, the company completed the purchase of certain assets of, and assumed certain liabilities for an equipment line of stump grinders, wood chippers, and log splitters for rental centers and landscape professionals. On December 1, 2009, the company's wholly owned domestic distribution company completed the acquisition of certain assets of, and assumed certain liabilities from, one of the company's independent U.S. Midwestern-based distribution companies. The aggregate net purchase price of these acquisitions during fiscal 2010 was $9,137, which included cash payments, the issuance of a long-term note, and an estimated earnout consideration.</w:t>
      </w:r>
    </w:p>
    <w:p>
      <w:pPr>
        <w:spacing w:after="0" w:line="185" w:lineRule="exact"/>
        <w:rPr>
          <w:sz w:val="20"/>
          <w:szCs w:val="20"/>
          <w:color w:val="auto"/>
        </w:rPr>
      </w:pPr>
    </w:p>
    <w:p>
      <w:pPr>
        <w:ind w:right="100" w:firstLine="143"/>
        <w:spacing w:after="0" w:line="237" w:lineRule="auto"/>
        <w:rPr>
          <w:sz w:val="20"/>
          <w:szCs w:val="20"/>
          <w:color w:val="auto"/>
        </w:rPr>
      </w:pPr>
      <w:r>
        <w:rPr>
          <w:rFonts w:ascii="Arial" w:cs="Arial" w:eastAsia="Arial" w:hAnsi="Arial"/>
          <w:sz w:val="18"/>
          <w:szCs w:val="18"/>
          <w:color w:val="auto"/>
        </w:rPr>
        <w:t>The purchase price of these acquisitions was allocated to the identifiable assets acquired and liabilities assumed based on estimates of their fair value, with the excess purchase price for acquisitions recorded as goodwill. Additional purchase accounting disclosures have been omitted given the immateriality of these acquisitions as compared to the company's consolidated financial condition and results of operations. See Note 5 for further details related to the acquired intangible assets.</w:t>
      </w:r>
    </w:p>
    <w:p>
      <w:pPr>
        <w:spacing w:after="0" w:line="221" w:lineRule="exact"/>
        <w:rPr>
          <w:sz w:val="20"/>
          <w:szCs w:val="20"/>
          <w:color w:val="auto"/>
        </w:rPr>
      </w:pPr>
    </w:p>
    <w:p>
      <w:pPr>
        <w:ind w:left="740" w:hanging="732"/>
        <w:spacing w:after="0"/>
        <w:tabs>
          <w:tab w:leader="none" w:pos="740" w:val="left"/>
        </w:tabs>
        <w:numPr>
          <w:ilvl w:val="0"/>
          <w:numId w:val="32"/>
        </w:numPr>
        <w:rPr>
          <w:rFonts w:ascii="Arial" w:cs="Arial" w:eastAsia="Arial" w:hAnsi="Arial"/>
          <w:sz w:val="43"/>
          <w:szCs w:val="43"/>
          <w:b w:val="1"/>
          <w:bCs w:val="1"/>
          <w:color w:val="auto"/>
        </w:rPr>
      </w:pPr>
      <w:r>
        <w:rPr>
          <w:rFonts w:ascii="Arial" w:cs="Arial" w:eastAsia="Arial" w:hAnsi="Arial"/>
          <w:sz w:val="22"/>
          <w:szCs w:val="22"/>
          <w:b w:val="1"/>
          <w:bCs w:val="1"/>
          <w:color w:val="auto"/>
        </w:rPr>
        <w:t>INVESTMENT IN JOINT VENTURE</w:t>
      </w:r>
    </w:p>
    <w:p>
      <w:pPr>
        <w:spacing w:after="0" w:line="2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fiscal 2009, the company and TCFIF, a subsidiary of TCF National Bank, established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 On June 6,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w:t>
      </w:r>
    </w:p>
    <w:p>
      <w:pPr>
        <w:spacing w:after="0" w:line="215" w:lineRule="exact"/>
        <w:rPr>
          <w:sz w:val="20"/>
          <w:szCs w:val="20"/>
          <w:color w:val="auto"/>
        </w:rPr>
      </w:pPr>
    </w:p>
    <w:p>
      <w:pPr>
        <w:ind w:right="120" w:firstLine="143"/>
        <w:spacing w:after="0" w:line="235"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$450,000 secured revolving credit facility established under a credit agreement between Red Iron and TCFIF. The company's total investment in Red Iron as of October 31, 2012 and 2011 was $12,545 and $11,640, respectively. The company has not guaranteed the outstanding indebtedness of Red Iron. The company has agreed to repurchase products repossessed by Red Iron and the TCFIF Canadian affiliate, up to a maximum aggregate amount of $7,500 in a calendar year. In addition, the company has provided recourse to Red Iron for certain outstanding receivables, which amounted to a maximum amount of $211 and $190 as of October 31, 2012 and 2011, respectively.</w:t>
      </w:r>
    </w:p>
    <w:p>
      <w:pPr>
        <w:spacing w:after="0" w:line="215" w:lineRule="exact"/>
        <w:rPr>
          <w:sz w:val="20"/>
          <w:szCs w:val="20"/>
          <w:color w:val="auto"/>
        </w:rPr>
      </w:pPr>
    </w:p>
    <w:p>
      <w:pPr>
        <w:ind w:right="140" w:firstLine="146"/>
        <w:spacing w:after="0" w:line="236"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during fiscal 2012 and 2011 was $1,191,343 and $1,111,778, respectively.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Summarized financial information for Red Iron is presented as follows:</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For the twelve months ended October 31</w:t>
            </w:r>
          </w:p>
        </w:tc>
        <w:tc>
          <w:tcPr>
            <w:tcW w:w="3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57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37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$ 19,765</w:t>
            </w:r>
          </w:p>
        </w:tc>
        <w:tc>
          <w:tcPr>
            <w:tcW w:w="7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$ 17,116</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$ 12,056</w:t>
            </w:r>
          </w:p>
        </w:tc>
        <w:tc>
          <w:tcPr>
            <w:tcW w:w="160" w:type="dxa"/>
            <w:vAlign w:val="bottom"/>
            <w:shd w:val="clear" w:color="auto" w:fill="CCEEFF"/>
          </w:tcPr>
          <w:p>
            <w:pPr>
              <w:spacing w:after="0"/>
              <w:rPr>
                <w:sz w:val="13"/>
                <w:szCs w:val="13"/>
                <w:color w:val="auto"/>
              </w:rPr>
            </w:pPr>
          </w:p>
        </w:tc>
      </w:tr>
      <w:tr>
        <w:trPr>
          <w:trHeight w:val="189"/>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13,326</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5,552</w:t>
            </w:r>
          </w:p>
        </w:tc>
        <w:tc>
          <w:tcPr>
            <w:tcW w:w="1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 of October 31</w:t>
            </w:r>
          </w:p>
        </w:tc>
        <w:tc>
          <w:tcPr>
            <w:tcW w:w="6880" w:type="dxa"/>
            <w:vAlign w:val="bottom"/>
            <w:tcBorders>
              <w:top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Finance receivables, net</w:t>
            </w:r>
          </w:p>
        </w:tc>
        <w:tc>
          <w:tcPr>
            <w:tcW w:w="6880" w:type="dxa"/>
            <w:vAlign w:val="bottom"/>
            <w:tcBorders>
              <w:top w:val="single" w:sz="8" w:color="auto"/>
            </w:tcBorders>
            <w:shd w:val="clear" w:color="auto" w:fill="CCEEFF"/>
          </w:tcPr>
          <w:p>
            <w:pPr>
              <w:jc w:val="right"/>
              <w:ind w:right="5"/>
              <w:spacing w:after="0" w:line="155" w:lineRule="exact"/>
              <w:rPr>
                <w:sz w:val="20"/>
                <w:szCs w:val="20"/>
                <w:color w:val="auto"/>
              </w:rPr>
            </w:pPr>
            <w:r>
              <w:rPr>
                <w:rFonts w:ascii="Arial" w:cs="Arial" w:eastAsia="Arial" w:hAnsi="Arial"/>
                <w:sz w:val="14"/>
                <w:szCs w:val="14"/>
                <w:b w:val="1"/>
                <w:bCs w:val="1"/>
                <w:color w:val="auto"/>
              </w:rPr>
              <w:t>$239,008</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$232,600</w:t>
            </w:r>
          </w:p>
        </w:tc>
        <w:tc>
          <w:tcPr>
            <w:tcW w:w="1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6880" w:type="dxa"/>
            <w:vAlign w:val="bottom"/>
          </w:tcPr>
          <w:p>
            <w:pPr>
              <w:jc w:val="right"/>
              <w:ind w:right="5"/>
              <w:spacing w:after="0"/>
              <w:rPr>
                <w:sz w:val="20"/>
                <w:szCs w:val="20"/>
                <w:color w:val="auto"/>
              </w:rPr>
            </w:pPr>
            <w:r>
              <w:rPr>
                <w:rFonts w:ascii="Arial" w:cs="Arial" w:eastAsia="Arial" w:hAnsi="Arial"/>
                <w:sz w:val="14"/>
                <w:szCs w:val="14"/>
                <w:b w:val="1"/>
                <w:bCs w:val="1"/>
                <w:color w:val="auto"/>
              </w:rPr>
              <w:t>1,274</w:t>
            </w:r>
          </w:p>
        </w:tc>
        <w:tc>
          <w:tcPr>
            <w:tcW w:w="700" w:type="dxa"/>
            <w:vAlign w:val="bottom"/>
          </w:tcPr>
          <w:p>
            <w:pPr>
              <w:jc w:val="right"/>
              <w:spacing w:after="0"/>
              <w:rPr>
                <w:sz w:val="20"/>
                <w:szCs w:val="20"/>
                <w:color w:val="auto"/>
              </w:rPr>
            </w:pPr>
            <w:r>
              <w:rPr>
                <w:rFonts w:ascii="Arial" w:cs="Arial" w:eastAsia="Arial" w:hAnsi="Arial"/>
                <w:sz w:val="14"/>
                <w:szCs w:val="14"/>
                <w:color w:val="auto"/>
              </w:rPr>
              <w:t>6,960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6880" w:type="dxa"/>
            <w:vAlign w:val="bottom"/>
            <w:shd w:val="clear" w:color="auto" w:fill="CCEEFF"/>
          </w:tcPr>
          <w:p>
            <w:pPr>
              <w:jc w:val="right"/>
              <w:ind w:right="5"/>
              <w:spacing w:after="0"/>
              <w:rPr>
                <w:sz w:val="20"/>
                <w:szCs w:val="20"/>
                <w:color w:val="auto"/>
              </w:rPr>
            </w:pPr>
            <w:r>
              <w:rPr>
                <w:rFonts w:ascii="Arial" w:cs="Arial" w:eastAsia="Arial" w:hAnsi="Arial"/>
                <w:sz w:val="14"/>
                <w:szCs w:val="14"/>
                <w:b w:val="1"/>
                <w:bCs w:val="1"/>
                <w:color w:val="auto"/>
              </w:rPr>
              <w:t>212,408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213,693</w:t>
            </w: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42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880" w:type="dxa"/>
            <w:vAlign w:val="bottom"/>
          </w:tcPr>
          <w:p>
            <w:pPr>
              <w:jc w:val="right"/>
              <w:ind w:right="4645"/>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600" w:type="dxa"/>
            <w:vAlign w:val="bottom"/>
            <w:tcBorders>
              <w:bottom w:val="single" w:sz="8" w:color="808080"/>
            </w:tcBorders>
          </w:tcPr>
          <w:p>
            <w:pPr>
              <w:spacing w:after="0"/>
              <w:rPr>
                <w:sz w:val="18"/>
                <w:szCs w:val="18"/>
                <w:color w:val="auto"/>
              </w:rPr>
            </w:pPr>
          </w:p>
        </w:tc>
        <w:tc>
          <w:tcPr>
            <w:tcW w:w="68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ind w:left="740" w:hanging="732"/>
        <w:spacing w:after="0"/>
        <w:tabs>
          <w:tab w:leader="none" w:pos="740" w:val="left"/>
        </w:tabs>
        <w:numPr>
          <w:ilvl w:val="0"/>
          <w:numId w:val="33"/>
        </w:numPr>
        <w:rPr>
          <w:rFonts w:ascii="Arial" w:cs="Arial" w:eastAsia="Arial" w:hAnsi="Arial"/>
          <w:sz w:val="43"/>
          <w:szCs w:val="43"/>
          <w:b w:val="1"/>
          <w:bCs w:val="1"/>
          <w:color w:val="auto"/>
        </w:rPr>
      </w:pPr>
      <w:r>
        <w:rPr>
          <w:rFonts w:ascii="Arial" w:cs="Arial" w:eastAsia="Arial" w:hAnsi="Arial"/>
          <w:sz w:val="22"/>
          <w:szCs w:val="22"/>
          <w:b w:val="1"/>
          <w:bCs w:val="1"/>
          <w:color w:val="auto"/>
        </w:rPr>
        <w:t>OTHER INCOME, NET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is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2011</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6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3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786</w:t>
            </w:r>
          </w:p>
        </w:tc>
        <w:tc>
          <w:tcPr>
            <w:tcW w:w="6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$ 1,072</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$ 1,056</w:t>
            </w: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b w:val="1"/>
                <w:bCs w:val="1"/>
                <w:color w:val="auto"/>
              </w:rPr>
              <w:t>Retail financing revenue</w:t>
            </w:r>
          </w:p>
        </w:tc>
        <w:tc>
          <w:tcPr>
            <w:tcW w:w="3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1,106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560" w:type="dxa"/>
            <w:vAlign w:val="bottom"/>
          </w:tcPr>
          <w:p>
            <w:pPr>
              <w:jc w:val="right"/>
              <w:spacing w:after="0"/>
              <w:rPr>
                <w:sz w:val="20"/>
                <w:szCs w:val="20"/>
                <w:color w:val="auto"/>
              </w:rPr>
            </w:pPr>
            <w:r>
              <w:rPr>
                <w:rFonts w:ascii="Arial" w:cs="Arial" w:eastAsia="Arial" w:hAnsi="Arial"/>
                <w:sz w:val="14"/>
                <w:szCs w:val="14"/>
                <w:color w:val="auto"/>
              </w:rPr>
              <w:t>779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Foreign currency exchange rate (loss) gain</w:t>
            </w:r>
          </w:p>
        </w:tc>
        <w:tc>
          <w:tcPr>
            <w:tcW w:w="3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(1,786)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Arial" w:cs="Arial" w:eastAsia="Arial" w:hAnsi="Arial"/>
                <w:sz w:val="14"/>
                <w:szCs w:val="14"/>
                <w:b w:val="1"/>
                <w:bCs w:val="1"/>
                <w:color w:val="auto"/>
              </w:rPr>
              <w:t>Income from affiliates</w:t>
            </w:r>
          </w:p>
        </w:tc>
        <w:tc>
          <w:tcPr>
            <w:tcW w:w="3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5,996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5,682</w:t>
            </w:r>
          </w:p>
        </w:tc>
        <w:tc>
          <w:tcPr>
            <w:tcW w:w="560" w:type="dxa"/>
            <w:vAlign w:val="bottom"/>
          </w:tcPr>
          <w:p>
            <w:pPr>
              <w:jc w:val="right"/>
              <w:spacing w:after="0"/>
              <w:rPr>
                <w:sz w:val="20"/>
                <w:szCs w:val="20"/>
                <w:color w:val="auto"/>
              </w:rPr>
            </w:pPr>
            <w:r>
              <w:rPr>
                <w:rFonts w:ascii="Arial" w:cs="Arial" w:eastAsia="Arial" w:hAnsi="Arial"/>
                <w:sz w:val="14"/>
                <w:szCs w:val="14"/>
                <w:color w:val="auto"/>
              </w:rPr>
              <w:t>2,599</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(settlements) recovery, net</w:t>
            </w:r>
          </w:p>
        </w:tc>
        <w:tc>
          <w:tcPr>
            <w:tcW w:w="3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Miscellaneous</w:t>
            </w:r>
          </w:p>
        </w:tc>
        <w:tc>
          <w:tcPr>
            <w:tcW w:w="3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1,489</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6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income, net</w:t>
            </w:r>
          </w:p>
        </w:tc>
        <w:tc>
          <w:tcPr>
            <w:tcW w:w="3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7,555</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$ 7,309</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$ 7,115</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320" w:type="dxa"/>
            <w:vAlign w:val="bottom"/>
          </w:tcPr>
          <w:p>
            <w:pPr>
              <w:spacing w:after="0"/>
              <w:rPr>
                <w:sz w:val="20"/>
                <w:szCs w:val="20"/>
                <w:color w:val="auto"/>
              </w:rPr>
            </w:pPr>
            <w:r>
              <w:rPr>
                <w:rFonts w:ascii="Arial" w:cs="Arial" w:eastAsia="Arial" w:hAnsi="Arial"/>
                <w:sz w:val="43"/>
                <w:szCs w:val="43"/>
                <w:b w:val="1"/>
                <w:bCs w:val="1"/>
                <w:color w:val="auto"/>
              </w:rPr>
              <w:t>5</w:t>
            </w:r>
          </w:p>
        </w:tc>
        <w:tc>
          <w:tcPr>
            <w:tcW w:w="20" w:type="dxa"/>
            <w:vAlign w:val="bottom"/>
          </w:tcPr>
          <w:p>
            <w:pPr>
              <w:spacing w:after="0"/>
              <w:rPr>
                <w:sz w:val="24"/>
                <w:szCs w:val="24"/>
                <w:color w:val="auto"/>
              </w:rPr>
            </w:pPr>
          </w:p>
        </w:tc>
        <w:tc>
          <w:tcPr>
            <w:tcW w:w="8040" w:type="dxa"/>
            <w:vAlign w:val="bottom"/>
          </w:tcPr>
          <w:p>
            <w:pPr>
              <w:ind w:left="400"/>
              <w:spacing w:after="0"/>
              <w:rPr>
                <w:sz w:val="20"/>
                <w:szCs w:val="20"/>
                <w:color w:val="auto"/>
              </w:rPr>
            </w:pPr>
            <w:r>
              <w:rPr>
                <w:rFonts w:ascii="Arial" w:cs="Arial" w:eastAsia="Arial" w:hAnsi="Arial"/>
                <w:sz w:val="22"/>
                <w:szCs w:val="22"/>
                <w:b w:val="1"/>
                <w:bCs w:val="1"/>
                <w:color w:val="auto"/>
              </w:rPr>
              <w:t>GOODWILL AND OTHER INTANGIBLE ASSETS</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The changes in the net carrying amount of goodwill for fiscal 2012 and 2011 were as follows:</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Professional</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Residential</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8"/>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Segment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Segment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October 31, 2010</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$75,422</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$10,978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$ 86,400</w:t>
            </w:r>
          </w:p>
        </w:tc>
        <w:tc>
          <w:tcPr>
            <w:tcW w:w="160" w:type="dxa"/>
            <w:vAlign w:val="bottom"/>
            <w:shd w:val="clear" w:color="auto" w:fill="CCEEFF"/>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color w:val="auto"/>
              </w:rPr>
              <w:t>Addition from acquisitions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5,765</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5,765</w:t>
            </w:r>
          </w:p>
        </w:tc>
        <w:tc>
          <w:tcPr>
            <w:tcW w:w="160" w:type="dxa"/>
            <w:vAlign w:val="bottom"/>
          </w:tcPr>
          <w:p>
            <w:pPr>
              <w:spacing w:after="0"/>
              <w:rPr>
                <w:sz w:val="14"/>
                <w:szCs w:val="14"/>
                <w:color w:val="auto"/>
              </w:rPr>
            </w:pP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Translation and other adjustments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w:t>
            </w: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320" w:type="dxa"/>
            <w:vAlign w:val="bottom"/>
          </w:tcPr>
          <w:p>
            <w:pPr>
              <w:spacing w:after="0"/>
              <w:rPr>
                <w:sz w:val="13"/>
                <w:szCs w:val="13"/>
                <w:color w:val="auto"/>
              </w:rPr>
            </w:pPr>
          </w:p>
        </w:tc>
        <w:tc>
          <w:tcPr>
            <w:tcW w:w="806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October 31, 2011</w:t>
            </w:r>
          </w:p>
        </w:tc>
        <w:tc>
          <w:tcPr>
            <w:tcW w:w="11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$80,990</w:t>
            </w:r>
          </w:p>
        </w:tc>
        <w:tc>
          <w:tcPr>
            <w:tcW w:w="8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$11,030</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$ 92,020</w:t>
            </w:r>
          </w:p>
        </w:tc>
        <w:tc>
          <w:tcPr>
            <w:tcW w:w="160" w:type="dxa"/>
            <w:vAlign w:val="bottom"/>
          </w:tcPr>
          <w:p>
            <w:pPr>
              <w:spacing w:after="0"/>
              <w:rPr>
                <w:sz w:val="13"/>
                <w:szCs w:val="13"/>
                <w:color w:val="auto"/>
              </w:rPr>
            </w:pPr>
          </w:p>
        </w:tc>
      </w:tr>
      <w:tr>
        <w:trPr>
          <w:trHeight w:val="162"/>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r>
      <w:tr>
        <w:trPr>
          <w:trHeight w:val="27"/>
        </w:trPr>
        <w:tc>
          <w:tcPr>
            <w:tcW w:w="320" w:type="dxa"/>
            <w:vAlign w:val="bottom"/>
          </w:tcPr>
          <w:p>
            <w:pPr>
              <w:spacing w:after="0"/>
              <w:rPr>
                <w:sz w:val="2"/>
                <w:szCs w:val="2"/>
                <w:color w:val="auto"/>
              </w:rPr>
            </w:pPr>
          </w:p>
        </w:tc>
        <w:tc>
          <w:tcPr>
            <w:tcW w:w="80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2012</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$80,984</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$11,016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$ 92,000</w:t>
            </w:r>
          </w:p>
        </w:tc>
        <w:tc>
          <w:tcPr>
            <w:tcW w:w="160" w:type="dxa"/>
            <w:vAlign w:val="bottom"/>
          </w:tcPr>
          <w:p>
            <w:pPr>
              <w:spacing w:after="0"/>
              <w:rPr>
                <w:sz w:val="15"/>
                <w:szCs w:val="15"/>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Intangible Assets </w:t>
      </w:r>
      <w:r>
        <w:rPr>
          <w:rFonts w:ascii="Arial" w:cs="Arial" w:eastAsia="Arial" w:hAnsi="Arial"/>
          <w:sz w:val="18"/>
          <w:szCs w:val="18"/>
          <w:color w:val="auto"/>
        </w:rPr>
        <w:t>– The components of other intangible assets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140" w:type="dxa"/>
            <w:vAlign w:val="bottom"/>
            <w:tcBorders>
              <w:top w:val="single" w:sz="8" w:color="auto"/>
            </w:tcBorders>
          </w:tcPr>
          <w:p>
            <w:pPr>
              <w:spacing w:after="0"/>
              <w:rPr>
                <w:sz w:val="15"/>
                <w:szCs w:val="15"/>
                <w:color w:val="auto"/>
              </w:rPr>
            </w:pPr>
          </w:p>
        </w:tc>
        <w:tc>
          <w:tcPr>
            <w:tcW w:w="3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Estimated</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8"/>
              </w:rPr>
              <w:t>Accumulated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5160" w:type="dxa"/>
            <w:vAlign w:val="bottom"/>
            <w:gridSpan w:val="2"/>
          </w:tcPr>
          <w:p>
            <w:pPr>
              <w:spacing w:after="0"/>
              <w:rPr>
                <w:sz w:val="20"/>
                <w:szCs w:val="20"/>
                <w:color w:val="auto"/>
              </w:rPr>
            </w:pPr>
            <w:r>
              <w:rPr>
                <w:rFonts w:ascii="Arial" w:cs="Arial" w:eastAsia="Arial" w:hAnsi="Arial"/>
                <w:sz w:val="14"/>
                <w:szCs w:val="14"/>
                <w:color w:val="auto"/>
              </w:rPr>
              <w:t>October 31, 2012</w:t>
            </w: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(Years)</w:t>
            </w:r>
          </w:p>
        </w:tc>
        <w:tc>
          <w:tcPr>
            <w:tcW w:w="1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5"/>
                <w:szCs w:val="15"/>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Net</w:t>
            </w:r>
          </w:p>
        </w:tc>
      </w:tr>
      <w:tr>
        <w:trPr>
          <w:trHeight w:val="162"/>
        </w:trPr>
        <w:tc>
          <w:tcPr>
            <w:tcW w:w="20" w:type="dxa"/>
            <w:vAlign w:val="bottom"/>
          </w:tcPr>
          <w:p>
            <w:pPr>
              <w:spacing w:after="0"/>
              <w:rPr>
                <w:sz w:val="14"/>
                <w:szCs w:val="14"/>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Patents</w:t>
            </w:r>
          </w:p>
        </w:tc>
        <w:tc>
          <w:tcPr>
            <w:tcW w:w="3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9,593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Non-compete agreements</w:t>
            </w:r>
          </w:p>
        </w:tc>
        <w:tc>
          <w:tcPr>
            <w:tcW w:w="3640" w:type="dxa"/>
            <w:vAlign w:val="bottom"/>
          </w:tcPr>
          <w:p>
            <w:pPr>
              <w:jc w:val="right"/>
              <w:ind w:right="8"/>
              <w:spacing w:after="0"/>
              <w:rPr>
                <w:sz w:val="20"/>
                <w:szCs w:val="20"/>
                <w:color w:val="auto"/>
              </w:rPr>
            </w:pPr>
            <w:r>
              <w:rPr>
                <w:rFonts w:ascii="Arial" w:cs="Arial" w:eastAsia="Arial" w:hAnsi="Arial"/>
                <w:sz w:val="14"/>
                <w:szCs w:val="14"/>
                <w:b w:val="1"/>
                <w:bCs w:val="1"/>
                <w:color w:val="auto"/>
              </w:rPr>
              <w:t>1.5-10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6,303</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(3,656)</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2,647</w:t>
            </w: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3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8,312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(3,826)</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4,486</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Developed technology</w:t>
            </w:r>
          </w:p>
        </w:tc>
        <w:tc>
          <w:tcPr>
            <w:tcW w:w="3640" w:type="dxa"/>
            <w:vAlign w:val="bottom"/>
          </w:tcPr>
          <w:p>
            <w:pPr>
              <w:jc w:val="right"/>
              <w:ind w:right="8"/>
              <w:spacing w:after="0"/>
              <w:rPr>
                <w:sz w:val="20"/>
                <w:szCs w:val="20"/>
                <w:color w:val="auto"/>
              </w:rPr>
            </w:pPr>
            <w:r>
              <w:rPr>
                <w:rFonts w:ascii="Arial" w:cs="Arial" w:eastAsia="Arial" w:hAnsi="Arial"/>
                <w:sz w:val="14"/>
                <w:szCs w:val="14"/>
                <w:b w:val="1"/>
                <w:bCs w:val="1"/>
                <w:color w:val="auto"/>
              </w:rPr>
              <w:t>1.5-10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27,727</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(10,196)</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17,531</w:t>
            </w: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Trade names</w:t>
            </w:r>
          </w:p>
        </w:tc>
        <w:tc>
          <w:tcPr>
            <w:tcW w:w="36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1,515</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958</w:t>
            </w:r>
          </w:p>
        </w:tc>
      </w:tr>
      <w:tr>
        <w:trPr>
          <w:trHeight w:val="189"/>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w:t>
            </w:r>
          </w:p>
        </w:tc>
        <w:tc>
          <w:tcPr>
            <w:tcW w:w="3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800</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amortizable</w:t>
            </w:r>
          </w:p>
        </w:tc>
        <w:tc>
          <w:tcPr>
            <w:tcW w:w="3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54,250</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(27,066)</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27,184</w:t>
            </w:r>
          </w:p>
        </w:tc>
      </w:tr>
      <w:tr>
        <w:trPr>
          <w:trHeight w:val="27"/>
        </w:trPr>
        <w:tc>
          <w:tcPr>
            <w:tcW w:w="516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Non-amortizable – trade names</w:t>
            </w:r>
          </w:p>
        </w:tc>
        <w:tc>
          <w:tcPr>
            <w:tcW w:w="36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4,881</w:t>
            </w: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4,881</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other intangible assets, net</w:t>
            </w:r>
          </w:p>
        </w:tc>
        <w:tc>
          <w:tcPr>
            <w:tcW w:w="36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59,131</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(27,066)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32,065</w:t>
            </w:r>
          </w:p>
        </w:tc>
      </w:tr>
      <w:tr>
        <w:trPr>
          <w:trHeight w:val="27"/>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615"/>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Gross</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8"/>
              </w:rPr>
              <w:t>Accumulated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5160" w:type="dxa"/>
            <w:vAlign w:val="bottom"/>
            <w:gridSpan w:val="2"/>
          </w:tcPr>
          <w:p>
            <w:pPr>
              <w:spacing w:after="0"/>
              <w:rPr>
                <w:sz w:val="20"/>
                <w:szCs w:val="20"/>
                <w:color w:val="auto"/>
              </w:rPr>
            </w:pPr>
            <w:r>
              <w:rPr>
                <w:rFonts w:ascii="Arial" w:cs="Arial" w:eastAsia="Arial" w:hAnsi="Arial"/>
                <w:sz w:val="14"/>
                <w:szCs w:val="14"/>
                <w:color w:val="auto"/>
              </w:rPr>
              <w:t>October 31, 2011</w:t>
            </w: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(Years)</w:t>
            </w:r>
          </w:p>
        </w:tc>
        <w:tc>
          <w:tcPr>
            <w:tcW w:w="1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Amortization</w:t>
            </w:r>
          </w:p>
        </w:tc>
        <w:tc>
          <w:tcPr>
            <w:tcW w:w="140" w:type="dxa"/>
            <w:vAlign w:val="bottom"/>
          </w:tcPr>
          <w:p>
            <w:pPr>
              <w:spacing w:after="0"/>
              <w:rPr>
                <w:sz w:val="15"/>
                <w:szCs w:val="15"/>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Net</w:t>
            </w:r>
          </w:p>
        </w:tc>
      </w:tr>
      <w:tr>
        <w:trPr>
          <w:trHeight w:val="162"/>
        </w:trPr>
        <w:tc>
          <w:tcPr>
            <w:tcW w:w="20" w:type="dxa"/>
            <w:vAlign w:val="bottom"/>
          </w:tcPr>
          <w:p>
            <w:pPr>
              <w:spacing w:after="0"/>
              <w:rPr>
                <w:sz w:val="14"/>
                <w:szCs w:val="14"/>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Patents</w:t>
            </w:r>
          </w:p>
        </w:tc>
        <w:tc>
          <w:tcPr>
            <w:tcW w:w="3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9,403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60" w:type="dxa"/>
            <w:vAlign w:val="bottom"/>
            <w:shd w:val="clear" w:color="auto" w:fill="CCEEFF"/>
          </w:tcPr>
          <w:p>
            <w:pPr>
              <w:spacing w:after="0"/>
              <w:rPr>
                <w:sz w:val="14"/>
                <w:szCs w:val="14"/>
                <w:color w:val="auto"/>
              </w:rPr>
            </w:pP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Non-compete agreements</w:t>
            </w: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6,250</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(2,685)</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3,565</w:t>
            </w: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Customer related</w:t>
            </w:r>
          </w:p>
        </w:tc>
        <w:tc>
          <w:tcPr>
            <w:tcW w:w="3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8,189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5,332</w:t>
            </w:r>
          </w:p>
        </w:tc>
      </w:tr>
      <w:tr>
        <w:trPr>
          <w:trHeight w:val="162"/>
        </w:trPr>
        <w:tc>
          <w:tcPr>
            <w:tcW w:w="5160" w:type="dxa"/>
            <w:vAlign w:val="bottom"/>
            <w:gridSpan w:val="2"/>
          </w:tcPr>
          <w:p>
            <w:pPr>
              <w:spacing w:after="0"/>
              <w:rPr>
                <w:sz w:val="20"/>
                <w:szCs w:val="20"/>
                <w:color w:val="auto"/>
              </w:rPr>
            </w:pPr>
            <w:r>
              <w:rPr>
                <w:rFonts w:ascii="Arial" w:cs="Arial" w:eastAsia="Arial" w:hAnsi="Arial"/>
                <w:sz w:val="14"/>
                <w:szCs w:val="14"/>
                <w:color w:val="auto"/>
              </w:rPr>
              <w:t>Developed technology</w:t>
            </w:r>
          </w:p>
        </w:tc>
        <w:tc>
          <w:tcPr>
            <w:tcW w:w="364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6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25,236</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(7,016)</w:t>
            </w:r>
          </w:p>
        </w:tc>
        <w:tc>
          <w:tcPr>
            <w:tcW w:w="1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18,220</w:t>
            </w: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Trade name</w:t>
            </w:r>
          </w:p>
        </w:tc>
        <w:tc>
          <w:tcPr>
            <w:tcW w:w="3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w:t>
            </w:r>
          </w:p>
        </w:tc>
      </w:tr>
      <w:tr>
        <w:trPr>
          <w:trHeight w:val="183"/>
        </w:trPr>
        <w:tc>
          <w:tcPr>
            <w:tcW w:w="5160" w:type="dxa"/>
            <w:vAlign w:val="bottom"/>
            <w:gridSpan w:val="2"/>
          </w:tcPr>
          <w:p>
            <w:pPr>
              <w:spacing w:after="0"/>
              <w:rPr>
                <w:sz w:val="20"/>
                <w:szCs w:val="20"/>
                <w:color w:val="auto"/>
              </w:rPr>
            </w:pPr>
            <w:r>
              <w:rPr>
                <w:rFonts w:ascii="Arial" w:cs="Arial" w:eastAsia="Arial" w:hAnsi="Arial"/>
                <w:sz w:val="14"/>
                <w:szCs w:val="14"/>
                <w:color w:val="auto"/>
              </w:rPr>
              <w:t>Other</w:t>
            </w:r>
          </w:p>
        </w:tc>
        <w:tc>
          <w:tcPr>
            <w:tcW w:w="3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amortizable</w:t>
            </w:r>
          </w:p>
        </w:tc>
        <w:tc>
          <w:tcPr>
            <w:tcW w:w="3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51,378</w:t>
            </w: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(21,113)</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30,265</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77"/>
        </w:trPr>
        <w:tc>
          <w:tcPr>
            <w:tcW w:w="5160" w:type="dxa"/>
            <w:vAlign w:val="bottom"/>
            <w:gridSpan w:val="2"/>
          </w:tcPr>
          <w:p>
            <w:pPr>
              <w:spacing w:after="0"/>
              <w:rPr>
                <w:sz w:val="20"/>
                <w:szCs w:val="20"/>
                <w:color w:val="auto"/>
              </w:rPr>
            </w:pPr>
            <w:r>
              <w:rPr>
                <w:rFonts w:ascii="Arial" w:cs="Arial" w:eastAsia="Arial" w:hAnsi="Arial"/>
                <w:sz w:val="14"/>
                <w:szCs w:val="14"/>
                <w:color w:val="auto"/>
              </w:rPr>
              <w:t>Non-amortizable – trade names</w:t>
            </w:r>
          </w:p>
        </w:tc>
        <w:tc>
          <w:tcPr>
            <w:tcW w:w="3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5,281</w:t>
            </w:r>
          </w:p>
        </w:tc>
        <w:tc>
          <w:tcPr>
            <w:tcW w:w="1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5,281</w:t>
            </w:r>
          </w:p>
        </w:tc>
      </w:tr>
      <w:tr>
        <w:trPr>
          <w:trHeight w:val="162"/>
        </w:trPr>
        <w:tc>
          <w:tcPr>
            <w:tcW w:w="20" w:type="dxa"/>
            <w:vAlign w:val="bottom"/>
          </w:tcPr>
          <w:p>
            <w:pPr>
              <w:spacing w:after="0"/>
              <w:rPr>
                <w:sz w:val="14"/>
                <w:szCs w:val="14"/>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intangible assets, net</w:t>
            </w:r>
          </w:p>
        </w:tc>
        <w:tc>
          <w:tcPr>
            <w:tcW w:w="3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56,659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35,546</w:t>
            </w:r>
          </w:p>
        </w:tc>
        <w:tc>
          <w:tcPr>
            <w:tcW w:w="1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jc w:val="both"/>
        <w:ind w:right="600" w:firstLine="137"/>
        <w:spacing w:after="0" w:line="238" w:lineRule="auto"/>
        <w:rPr>
          <w:sz w:val="20"/>
          <w:szCs w:val="20"/>
          <w:color w:val="auto"/>
        </w:rPr>
      </w:pPr>
      <w:r>
        <w:rPr>
          <w:rFonts w:ascii="Arial" w:cs="Arial" w:eastAsia="Arial" w:hAnsi="Arial"/>
          <w:sz w:val="18"/>
          <w:szCs w:val="18"/>
          <w:color w:val="auto"/>
        </w:rPr>
        <w:t>Amortization expense for intangible assets for the fiscal years ended October 31, 2012, 2011, and 2010 was $6,008, $4,967, and $2,903, respectively. Estimated amortization expense for the succeeding fiscal years is as follows: 2013, $5,732; 2014, $5,309; 2015, $5,113; 2016, $4,593; 2017, $3,699; and after 2017, $2,738.</w:t>
      </w:r>
    </w:p>
    <w:p>
      <w:pPr>
        <w:spacing w:after="0" w:line="220" w:lineRule="exact"/>
        <w:rPr>
          <w:sz w:val="20"/>
          <w:szCs w:val="20"/>
          <w:color w:val="auto"/>
        </w:rPr>
      </w:pPr>
    </w:p>
    <w:p>
      <w:pPr>
        <w:ind w:left="740" w:hanging="732"/>
        <w:spacing w:after="0"/>
        <w:tabs>
          <w:tab w:leader="none" w:pos="740" w:val="left"/>
        </w:tabs>
        <w:numPr>
          <w:ilvl w:val="0"/>
          <w:numId w:val="34"/>
        </w:numPr>
        <w:rPr>
          <w:rFonts w:ascii="Arial" w:cs="Arial" w:eastAsia="Arial" w:hAnsi="Arial"/>
          <w:sz w:val="43"/>
          <w:szCs w:val="43"/>
          <w:b w:val="1"/>
          <w:bCs w:val="1"/>
          <w:color w:val="auto"/>
        </w:rPr>
      </w:pPr>
      <w:r>
        <w:rPr>
          <w:rFonts w:ascii="Arial" w:cs="Arial" w:eastAsia="Arial" w:hAnsi="Arial"/>
          <w:sz w:val="22"/>
          <w:szCs w:val="22"/>
          <w:b w:val="1"/>
          <w:bCs w:val="1"/>
          <w:color w:val="auto"/>
        </w:rPr>
        <w:t>SHORT-TERM CAPITAL RESOURCES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of October 31, 2012, the company had a $150,000 unsecured senior four-year revolving credit facility that expires in July 2015. Included in this $150,000 revolving credit facility is a sublimit for standby letters of credit and a sublimit for swingline loans. At the election of the company, and the approval of the named borrowers on the revolving credit facility, the aggregate maximum principal amount available under the facility may be increased by an amount up to $100,000 in aggregate. Funds are available under the revolving credit facility for working capital, capital expenditures, and other lawful purposes, including, but not limited to, acquisitions and stock repurchases. Interest expense on this credit line is determined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3" w:right="239" w:bottom="933" w:gutter="0" w:footer="0" w:header="0"/>
        </w:sectPr>
      </w:pPr>
    </w:p>
    <w:bookmarkStart w:id="55" w:name="page56"/>
    <w:bookmarkEnd w:id="55"/>
    <w:p>
      <w:pPr>
        <w:ind w:right="140"/>
        <w:spacing w:after="0" w:line="236" w:lineRule="auto"/>
        <w:rPr>
          <w:sz w:val="20"/>
          <w:szCs w:val="20"/>
          <w:color w:val="auto"/>
        </w:rPr>
      </w:pPr>
      <w:r>
        <w:rPr>
          <w:rFonts w:ascii="Arial" w:cs="Arial" w:eastAsia="Arial" w:hAnsi="Arial"/>
          <w:sz w:val="18"/>
          <w:szCs w:val="18"/>
          <w:color w:val="auto"/>
        </w:rPr>
        <w:t>based on a LIBOR rate (or other rates quoted by the Administrative Agent, Bank of America, N.A.) plus a basis point spread defined in the credit agreement. The company had no outstanding short-term debt as of October 31, 2012 and 2011 under this line of credit. The company's non-U.S. operations also maintain unsecured short-term lines of credit in the aggregate amount of $13,554. These facilities bear interest at various rates depending on the rates in their respective countries of operation. The company had no outstanding short-term debt as of October 31, 2012 and 2011 under these lines of credit. Additionally, the company had $41 in short-term debt for certain receivables the company had provided recourse with Red Iron as of October 31, 2011.</w:t>
      </w:r>
    </w:p>
    <w:p>
      <w:pPr>
        <w:spacing w:after="0" w:line="210" w:lineRule="exact"/>
        <w:rPr>
          <w:sz w:val="20"/>
          <w:szCs w:val="20"/>
          <w:color w:val="auto"/>
        </w:rPr>
      </w:pPr>
    </w:p>
    <w:p>
      <w:pPr>
        <w:ind w:right="100" w:firstLine="143"/>
        <w:spacing w:after="0" w:line="235" w:lineRule="auto"/>
        <w:rPr>
          <w:sz w:val="20"/>
          <w:szCs w:val="20"/>
          <w:color w:val="auto"/>
        </w:rPr>
      </w:pPr>
      <w:r>
        <w:rPr>
          <w:rFonts w:ascii="Arial" w:cs="Arial" w:eastAsia="Arial" w:hAnsi="Arial"/>
          <w:sz w:val="18"/>
          <w:szCs w:val="18"/>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the company is not limited to payments of cash dividends and stock repurchases as long as the debt to earnings before interest, tax, depreciation, and amortization ("EBITDA") ratio from the previous quarter compliance certificate is less than or equal to 2.75; however, the company is limited to $50,000 per fiscal year if the debt to EBITDA ratio from the previous quarter compliance certificate is greater than 2.75. As of October 31, 2012, the company was not limited to payments of cash dividends and stock repurchases as its debt to EBITDA ratio was below 2.75. The company was in compliance with all covenants related to the lines of credit described above as of October 31, 2012 and 2011.</w:t>
      </w:r>
    </w:p>
    <w:p>
      <w:pPr>
        <w:spacing w:after="0" w:line="227" w:lineRule="exact"/>
        <w:rPr>
          <w:sz w:val="20"/>
          <w:szCs w:val="20"/>
          <w:color w:val="auto"/>
        </w:rPr>
      </w:pPr>
    </w:p>
    <w:p>
      <w:pPr>
        <w:ind w:left="740" w:hanging="732"/>
        <w:spacing w:after="0"/>
        <w:tabs>
          <w:tab w:leader="none" w:pos="740" w:val="left"/>
        </w:tabs>
        <w:numPr>
          <w:ilvl w:val="0"/>
          <w:numId w:val="35"/>
        </w:numPr>
        <w:rPr>
          <w:rFonts w:ascii="Arial" w:cs="Arial" w:eastAsia="Arial" w:hAnsi="Arial"/>
          <w:sz w:val="43"/>
          <w:szCs w:val="43"/>
          <w:b w:val="1"/>
          <w:bCs w:val="1"/>
          <w:color w:val="auto"/>
        </w:rPr>
      </w:pPr>
      <w:r>
        <w:rPr>
          <w:rFonts w:ascii="Arial" w:cs="Arial" w:eastAsia="Arial" w:hAnsi="Arial"/>
          <w:sz w:val="22"/>
          <w:szCs w:val="22"/>
          <w:b w:val="1"/>
          <w:bCs w:val="1"/>
          <w:color w:val="auto"/>
        </w:rPr>
        <w:t>LONG-TERM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149860</wp:posOffset>
            </wp:positionV>
            <wp:extent cx="71005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6"/>
              </w:rPr>
              <w:t>7.800%</w:t>
            </w:r>
          </w:p>
        </w:tc>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Debentures, due June 15, 2027</w:t>
            </w: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$100,000</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6.625%</w:t>
            </w:r>
          </w:p>
        </w:tc>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4280" w:type="dxa"/>
            <w:vAlign w:val="bottom"/>
          </w:tcPr>
          <w:p>
            <w:pPr>
              <w:jc w:val="right"/>
              <w:ind w:right="8"/>
              <w:spacing w:after="0"/>
              <w:rPr>
                <w:sz w:val="20"/>
                <w:szCs w:val="20"/>
                <w:color w:val="auto"/>
              </w:rPr>
            </w:pPr>
            <w:r>
              <w:rPr>
                <w:rFonts w:ascii="Arial" w:cs="Arial" w:eastAsia="Arial" w:hAnsi="Arial"/>
                <w:sz w:val="14"/>
                <w:szCs w:val="14"/>
                <w:b w:val="1"/>
                <w:bCs w:val="1"/>
                <w:color w:val="auto"/>
              </w:rPr>
              <w:t>123,482</w:t>
            </w:r>
          </w:p>
        </w:tc>
        <w:tc>
          <w:tcPr>
            <w:tcW w:w="700" w:type="dxa"/>
            <w:vAlign w:val="bottom"/>
          </w:tcPr>
          <w:p>
            <w:pPr>
              <w:jc w:val="right"/>
              <w:spacing w:after="0"/>
              <w:rPr>
                <w:sz w:val="20"/>
                <w:szCs w:val="20"/>
                <w:color w:val="auto"/>
              </w:rPr>
            </w:pPr>
            <w:r>
              <w:rPr>
                <w:rFonts w:ascii="Arial" w:cs="Arial" w:eastAsia="Arial" w:hAnsi="Arial"/>
                <w:sz w:val="14"/>
                <w:szCs w:val="14"/>
                <w:color w:val="auto"/>
              </w:rPr>
              <w:t>123,420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5720" w:type="dxa"/>
            <w:vAlign w:val="bottom"/>
            <w:shd w:val="clear" w:color="auto" w:fill="CCEEFF"/>
          </w:tcPr>
          <w:p>
            <w:pPr>
              <w:spacing w:after="0"/>
              <w:rPr>
                <w:sz w:val="14"/>
                <w:szCs w:val="14"/>
                <w:color w:val="auto"/>
              </w:rPr>
            </w:pP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w:t>
            </w:r>
          </w:p>
        </w:tc>
        <w:tc>
          <w:tcPr>
            <w:tcW w:w="160" w:type="dxa"/>
            <w:vAlign w:val="bottom"/>
            <w:shd w:val="clear" w:color="auto" w:fill="CCEEFF"/>
          </w:tcPr>
          <w:p>
            <w:pPr>
              <w:spacing w:after="0"/>
              <w:rPr>
                <w:sz w:val="14"/>
                <w:szCs w:val="14"/>
                <w:color w:val="auto"/>
              </w:rPr>
            </w:pPr>
          </w:p>
        </w:tc>
      </w:tr>
      <w:tr>
        <w:trPr>
          <w:trHeight w:val="27"/>
        </w:trPr>
        <w:tc>
          <w:tcPr>
            <w:tcW w:w="6220" w:type="dxa"/>
            <w:vAlign w:val="bottom"/>
            <w:gridSpan w:val="3"/>
          </w:tcPr>
          <w:p>
            <w:pPr>
              <w:spacing w:after="0"/>
              <w:rPr>
                <w:sz w:val="2"/>
                <w:szCs w:val="2"/>
                <w:color w:val="auto"/>
              </w:rPr>
            </w:pPr>
          </w:p>
        </w:tc>
        <w:tc>
          <w:tcPr>
            <w:tcW w:w="4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62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long-term debt</w:t>
            </w:r>
          </w:p>
        </w:tc>
        <w:tc>
          <w:tcPr>
            <w:tcW w:w="42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225,340</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227,156</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4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160" w:type="dxa"/>
            <w:vAlign w:val="bottom"/>
            <w:shd w:val="clear" w:color="auto" w:fill="CCEEFF"/>
          </w:tcPr>
          <w:p>
            <w:pPr>
              <w:spacing w:after="0"/>
              <w:rPr>
                <w:sz w:val="14"/>
                <w:szCs w:val="14"/>
                <w:color w:val="auto"/>
              </w:rPr>
            </w:pPr>
          </w:p>
        </w:tc>
      </w:tr>
      <w:tr>
        <w:trPr>
          <w:trHeight w:val="27"/>
        </w:trPr>
        <w:tc>
          <w:tcPr>
            <w:tcW w:w="6220" w:type="dxa"/>
            <w:vAlign w:val="bottom"/>
            <w:gridSpan w:val="3"/>
          </w:tcPr>
          <w:p>
            <w:pPr>
              <w:spacing w:after="0"/>
              <w:rPr>
                <w:sz w:val="2"/>
                <w:szCs w:val="2"/>
                <w:color w:val="auto"/>
              </w:rPr>
            </w:pPr>
          </w:p>
        </w:tc>
        <w:tc>
          <w:tcPr>
            <w:tcW w:w="4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4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$223,482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$225,178</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20" w:firstLine="146"/>
        <w:spacing w:after="0" w:line="267" w:lineRule="auto"/>
        <w:rPr>
          <w:sz w:val="20"/>
          <w:szCs w:val="20"/>
          <w:color w:val="auto"/>
        </w:rPr>
      </w:pPr>
      <w:r>
        <w:rPr>
          <w:rFonts w:ascii="Arial" w:cs="Arial" w:eastAsia="Arial" w:hAnsi="Arial"/>
          <w:sz w:val="16"/>
          <w:szCs w:val="16"/>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from time to time outstanding.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393" w:lineRule="exact"/>
        <w:rPr>
          <w:sz w:val="20"/>
          <w:szCs w:val="20"/>
          <w:color w:val="auto"/>
        </w:rPr>
      </w:pPr>
    </w:p>
    <w:p>
      <w:pPr>
        <w:ind w:right="200" w:firstLine="146"/>
        <w:spacing w:after="0" w:line="270" w:lineRule="auto"/>
        <w:rPr>
          <w:sz w:val="20"/>
          <w:szCs w:val="20"/>
          <w:color w:val="auto"/>
        </w:rPr>
      </w:pPr>
      <w:r>
        <w:rPr>
          <w:rFonts w:ascii="Arial" w:cs="Arial" w:eastAsia="Arial" w:hAnsi="Arial"/>
          <w:sz w:val="16"/>
          <w:szCs w:val="16"/>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 As of October 31, 2012, the company had $2,310 remaining in other assets for the excess termination fees over deferred income.</w:t>
      </w:r>
    </w:p>
    <w:p>
      <w:pPr>
        <w:spacing w:after="0" w:line="185" w:lineRule="exact"/>
        <w:rPr>
          <w:sz w:val="20"/>
          <w:szCs w:val="20"/>
          <w:color w:val="auto"/>
        </w:rPr>
      </w:pPr>
    </w:p>
    <w:p>
      <w:pPr>
        <w:ind w:right="340" w:firstLine="146"/>
        <w:spacing w:after="0" w:line="23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2013, $1,858; 2014, $0; 2015, $0; 2016, $0; 2017, $0; and after 2017, $225,000.</w:t>
      </w:r>
    </w:p>
    <w:p>
      <w:pPr>
        <w:spacing w:after="0" w:line="221" w:lineRule="exact"/>
        <w:rPr>
          <w:sz w:val="20"/>
          <w:szCs w:val="20"/>
          <w:color w:val="auto"/>
        </w:rPr>
      </w:pPr>
    </w:p>
    <w:p>
      <w:pPr>
        <w:ind w:left="740" w:hanging="732"/>
        <w:spacing w:after="0"/>
        <w:tabs>
          <w:tab w:leader="none" w:pos="740" w:val="left"/>
        </w:tabs>
        <w:numPr>
          <w:ilvl w:val="0"/>
          <w:numId w:val="36"/>
        </w:numPr>
        <w:rPr>
          <w:rFonts w:ascii="Arial" w:cs="Arial" w:eastAsia="Arial" w:hAnsi="Arial"/>
          <w:sz w:val="43"/>
          <w:szCs w:val="43"/>
          <w:b w:val="1"/>
          <w:bCs w:val="1"/>
          <w:color w:val="auto"/>
        </w:rPr>
      </w:pPr>
      <w:r>
        <w:rPr>
          <w:rFonts w:ascii="Arial" w:cs="Arial" w:eastAsia="Arial" w:hAnsi="Arial"/>
          <w:sz w:val="22"/>
          <w:szCs w:val="22"/>
          <w:b w:val="1"/>
          <w:bCs w:val="1"/>
          <w:color w:val="auto"/>
        </w:rPr>
        <w:t>STOCKHOLDERS' EQUITY</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Stock Split. </w:t>
      </w:r>
      <w:r>
        <w:rPr>
          <w:rFonts w:ascii="Arial" w:cs="Arial" w:eastAsia="Arial" w:hAnsi="Arial"/>
          <w:sz w:val="18"/>
          <w:szCs w:val="18"/>
          <w:color w:val="auto"/>
        </w:rPr>
        <w:t>On May 24, 2012, the company announced that its Board of Directors declared a two-for-one stock split of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effected in the form of a 100 percent stock dividend. The stock split was distributed or paid on June 29, 2012, to shareholders of record as of June 15, 2012. As a result of this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6" w:name="page57"/>
    <w:bookmarkEnd w:id="56"/>
    <w:p>
      <w:pPr>
        <w:ind w:right="40"/>
        <w:spacing w:after="0" w:line="239" w:lineRule="auto"/>
        <w:rPr>
          <w:sz w:val="20"/>
          <w:szCs w:val="20"/>
          <w:color w:val="auto"/>
        </w:rPr>
      </w:pPr>
      <w:r>
        <w:rPr>
          <w:rFonts w:ascii="Arial" w:cs="Arial" w:eastAsia="Arial" w:hAnsi="Arial"/>
          <w:sz w:val="18"/>
          <w:szCs w:val="18"/>
          <w:color w:val="auto"/>
        </w:rPr>
        <w:t>action, approximately 29.4 million shares were issued to shareholders of record as of June 15, 2012. The par value of the common stock remains at $1.00 per share and; accordingly, approximately $29,390 was transferred from retained earnings to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 Repurchase Program. </w:t>
      </w:r>
      <w:r>
        <w:rPr>
          <w:rFonts w:ascii="Arial" w:cs="Arial" w:eastAsia="Arial" w:hAnsi="Arial"/>
          <w:sz w:val="18"/>
          <w:szCs w:val="18"/>
          <w:color w:val="auto"/>
        </w:rPr>
        <w:t>On December 1, 2010, the company's Board of Directors authorized the repurchase of 6 million shares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(as adjusted from the original amount of 3 million shares in connection with the company's two-for-one stock split discussed above) in open-market or in privately negotiated transactions. This program has no expiration date but may be terminated by the Board at any time. During fiscal 2012, 2011, and 2010, the company paid $92,719, $129,955, and $135,777 to repurchase an aggregate of</w:t>
      </w:r>
    </w:p>
    <w:p>
      <w:pPr>
        <w:spacing w:after="0" w:line="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2,591,039 shares, 4,592,760 shares, and 5,356,948 shares, respectively. As of October 31, 2012, 1,474,677 shares remained authorized for repurchase.</w:t>
      </w:r>
    </w:p>
    <w:p>
      <w:pPr>
        <w:spacing w:after="0" w:line="209" w:lineRule="exact"/>
        <w:rPr>
          <w:sz w:val="20"/>
          <w:szCs w:val="20"/>
          <w:color w:val="auto"/>
        </w:rPr>
      </w:pPr>
    </w:p>
    <w:p>
      <w:pPr>
        <w:ind w:right="120" w:firstLine="146"/>
        <w:spacing w:after="0" w:line="238" w:lineRule="auto"/>
        <w:rPr>
          <w:sz w:val="20"/>
          <w:szCs w:val="20"/>
          <w:color w:val="auto"/>
        </w:rPr>
      </w:pPr>
      <w:r>
        <w:rPr>
          <w:rFonts w:ascii="Arial" w:cs="Arial" w:eastAsia="Arial" w:hAnsi="Arial"/>
          <w:sz w:val="18"/>
          <w:szCs w:val="18"/>
          <w:color w:val="auto"/>
        </w:rPr>
        <w:t>On December 11, 2012, the company's Board of Directors authorized the repurchase of up to an additional 5 million shares of the company's common stock in open-market or in privately negotiated transactions. This repurchase program has no expiration date but may be terminated by the Board at any time.</w:t>
      </w:r>
    </w:p>
    <w:p>
      <w:pPr>
        <w:spacing w:after="0" w:line="188"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Treasury Shares. </w:t>
      </w:r>
      <w:r>
        <w:rPr>
          <w:rFonts w:ascii="Arial" w:cs="Arial" w:eastAsia="Arial" w:hAnsi="Arial"/>
          <w:sz w:val="18"/>
          <w:szCs w:val="18"/>
          <w:color w:val="auto"/>
        </w:rPr>
        <w:t>As of October 31, 2012, the company had 19,797,958 treasury shares at a cost of $1,012,536. As of October 31, 2011,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had 48,858,250 treasury shares at a cost of $984,583. On November 30, 2011, the company's Board of Directors authorized the retirement of 30 million treasury shares, as adjusted for the company's two-for-one stock split, previously discussed.</w:t>
      </w:r>
    </w:p>
    <w:p>
      <w:pPr>
        <w:spacing w:after="0" w:line="214" w:lineRule="exact"/>
        <w:rPr>
          <w:sz w:val="20"/>
          <w:szCs w:val="20"/>
          <w:color w:val="auto"/>
        </w:rPr>
      </w:pPr>
    </w:p>
    <w:p>
      <w:pPr>
        <w:ind w:left="740" w:hanging="732"/>
        <w:spacing w:after="0"/>
        <w:tabs>
          <w:tab w:leader="none" w:pos="740" w:val="left"/>
        </w:tabs>
        <w:numPr>
          <w:ilvl w:val="0"/>
          <w:numId w:val="37"/>
        </w:numPr>
        <w:rPr>
          <w:rFonts w:ascii="Arial" w:cs="Arial" w:eastAsia="Arial" w:hAnsi="Arial"/>
          <w:sz w:val="43"/>
          <w:szCs w:val="43"/>
          <w:b w:val="1"/>
          <w:bCs w:val="1"/>
          <w:color w:val="auto"/>
        </w:rPr>
      </w:pPr>
      <w:r>
        <w:rPr>
          <w:rFonts w:ascii="Arial" w:cs="Arial" w:eastAsia="Arial" w:hAnsi="Arial"/>
          <w:sz w:val="22"/>
          <w:szCs w:val="22"/>
          <w:b w:val="1"/>
          <w:bCs w:val="1"/>
          <w:color w:val="auto"/>
        </w:rPr>
        <w:t>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19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2011</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2010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8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19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35.0%</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Increase (reduction) in income taxes resulting from:</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Domestic manufacturer's deduction</w:t>
            </w: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State and local income taxes, net of federal income tax benefit</w:t>
            </w:r>
          </w:p>
        </w:tc>
        <w:tc>
          <w:tcPr>
            <w:tcW w:w="1920" w:type="dxa"/>
            <w:vAlign w:val="bottom"/>
          </w:tcPr>
          <w:p>
            <w:pPr>
              <w:jc w:val="right"/>
              <w:ind w:right="168"/>
              <w:spacing w:after="0"/>
              <w:rPr>
                <w:sz w:val="20"/>
                <w:szCs w:val="20"/>
                <w:color w:val="auto"/>
              </w:rPr>
            </w:pPr>
            <w:r>
              <w:rPr>
                <w:rFonts w:ascii="Arial" w:cs="Arial" w:eastAsia="Arial" w:hAnsi="Arial"/>
                <w:sz w:val="14"/>
                <w:szCs w:val="14"/>
                <w:b w:val="1"/>
                <w:bCs w:val="1"/>
                <w:color w:val="auto"/>
              </w:rPr>
              <w:t>1.5</w:t>
            </w:r>
          </w:p>
        </w:tc>
        <w:tc>
          <w:tcPr>
            <w:tcW w:w="1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Effect of foreign source income</w:t>
            </w:r>
          </w:p>
        </w:tc>
        <w:tc>
          <w:tcPr>
            <w:tcW w:w="19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0.2</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Pr>
          <w:p>
            <w:pPr>
              <w:ind w:left="200"/>
              <w:spacing w:after="0"/>
              <w:rPr>
                <w:sz w:val="20"/>
                <w:szCs w:val="20"/>
                <w:color w:val="auto"/>
              </w:rPr>
            </w:pPr>
            <w:r>
              <w:rPr>
                <w:rFonts w:ascii="Arial" w:cs="Arial" w:eastAsia="Arial" w:hAnsi="Arial"/>
                <w:sz w:val="14"/>
                <w:szCs w:val="14"/>
                <w:b w:val="1"/>
                <w:bCs w:val="1"/>
                <w:color w:val="auto"/>
              </w:rPr>
              <w:t>Domestic research tax credit</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(0.2)</w:t>
            </w:r>
          </w:p>
        </w:tc>
        <w:tc>
          <w:tcPr>
            <w:tcW w:w="18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Other, net</w:t>
            </w: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(0.5)</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1920" w:type="dxa"/>
            <w:vAlign w:val="bottom"/>
          </w:tcPr>
          <w:p>
            <w:pPr>
              <w:jc w:val="right"/>
              <w:ind w:right="28"/>
              <w:spacing w:after="0"/>
              <w:rPr>
                <w:sz w:val="20"/>
                <w:szCs w:val="20"/>
                <w:color w:val="auto"/>
              </w:rPr>
            </w:pPr>
            <w:r>
              <w:rPr>
                <w:rFonts w:ascii="Arial" w:cs="Arial" w:eastAsia="Arial" w:hAnsi="Arial"/>
                <w:sz w:val="14"/>
                <w:szCs w:val="14"/>
                <w:b w:val="1"/>
                <w:bCs w:val="1"/>
                <w:color w:val="auto"/>
              </w:rPr>
              <w:t>34.0%</w:t>
            </w:r>
          </w:p>
        </w:tc>
        <w:tc>
          <w:tcPr>
            <w:tcW w:w="18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32.7%</w:t>
            </w:r>
          </w:p>
        </w:tc>
        <w:tc>
          <w:tcPr>
            <w:tcW w:w="14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840" w:type="dxa"/>
            <w:vAlign w:val="bottom"/>
            <w:gridSpan w:val="5"/>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6680" w:type="dxa"/>
            <w:vAlign w:val="bottom"/>
            <w:gridSpan w:val="4"/>
          </w:tcPr>
          <w:p>
            <w:pPr>
              <w:spacing w:after="0"/>
              <w:rPr>
                <w:sz w:val="20"/>
                <w:szCs w:val="20"/>
                <w:color w:val="auto"/>
              </w:rPr>
            </w:pPr>
            <w:r>
              <w:rPr>
                <w:rFonts w:ascii="Arial" w:cs="Arial" w:eastAsia="Arial" w:hAnsi="Arial"/>
                <w:sz w:val="14"/>
                <w:szCs w:val="14"/>
                <w:color w:val="auto"/>
              </w:rPr>
              <w:t>Fiscal years ended October 31</w:t>
            </w: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1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Current –</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Federal</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59,405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47,922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tcPr>
          <w:p>
            <w:pPr>
              <w:ind w:left="80"/>
              <w:spacing w:after="0"/>
              <w:rPr>
                <w:sz w:val="20"/>
                <w:szCs w:val="20"/>
                <w:color w:val="auto"/>
              </w:rPr>
            </w:pPr>
            <w:r>
              <w:rPr>
                <w:rFonts w:ascii="Arial" w:cs="Arial" w:eastAsia="Arial" w:hAnsi="Arial"/>
                <w:sz w:val="14"/>
                <w:szCs w:val="14"/>
                <w:b w:val="1"/>
                <w:bCs w:val="1"/>
                <w:color w:val="auto"/>
              </w:rPr>
              <w:t>State</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4,609</w:t>
            </w:r>
          </w:p>
        </w:tc>
        <w:tc>
          <w:tcPr>
            <w:tcW w:w="14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3,963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Non-U.S.</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3,854</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Current provision</w:t>
            </w:r>
          </w:p>
        </w:tc>
        <w:tc>
          <w:tcPr>
            <w:tcW w:w="1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67,868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58,988</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41,936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tcPr>
          <w:p>
            <w:pPr>
              <w:ind w:left="80"/>
              <w:spacing w:after="0"/>
              <w:rPr>
                <w:sz w:val="20"/>
                <w:szCs w:val="20"/>
                <w:color w:val="auto"/>
              </w:rPr>
            </w:pPr>
            <w:r>
              <w:rPr>
                <w:rFonts w:ascii="Arial" w:cs="Arial" w:eastAsia="Arial" w:hAnsi="Arial"/>
                <w:sz w:val="14"/>
                <w:szCs w:val="14"/>
                <w:b w:val="1"/>
                <w:bCs w:val="1"/>
                <w:color w:val="auto"/>
              </w:rPr>
              <w:t>Federal</w:t>
            </w:r>
          </w:p>
        </w:tc>
        <w:tc>
          <w:tcPr>
            <w:tcW w:w="19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(31)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5,305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State</w:t>
            </w:r>
          </w:p>
        </w:tc>
        <w:tc>
          <w:tcPr>
            <w:tcW w:w="1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Non-U.S.</w:t>
            </w:r>
          </w:p>
        </w:tc>
        <w:tc>
          <w:tcPr>
            <w:tcW w:w="1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(1,578)</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gridSpan w:val="3"/>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Deferred benefit</w:t>
            </w: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(1,147)</w:t>
            </w:r>
          </w:p>
        </w:tc>
        <w:tc>
          <w:tcPr>
            <w:tcW w:w="14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(1,820)</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6,095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 provision for income taxes</w:t>
            </w:r>
          </w:p>
        </w:tc>
        <w:tc>
          <w:tcPr>
            <w:tcW w:w="19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66,721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57,168</w:t>
            </w: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48,031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480" w:firstLine="137"/>
        <w:spacing w:after="0" w:line="239" w:lineRule="auto"/>
        <w:rPr>
          <w:sz w:val="20"/>
          <w:szCs w:val="20"/>
          <w:color w:val="auto"/>
        </w:rPr>
      </w:pPr>
      <w:r>
        <w:rPr>
          <w:rFonts w:ascii="Arial" w:cs="Arial" w:eastAsia="Arial" w:hAnsi="Arial"/>
          <w:sz w:val="18"/>
          <w:szCs w:val="18"/>
          <w:color w:val="auto"/>
        </w:rPr>
        <w:t>As of October 31, 2012, the company had net operating loss carryforwards of approximately $15,386 in foreign jurisdictions with unlimited expiration.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before income taxes were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38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3860" w:type="dxa"/>
            <w:vAlign w:val="bottom"/>
          </w:tcPr>
          <w:p>
            <w:pPr>
              <w:jc w:val="right"/>
              <w:ind w:right="8"/>
              <w:spacing w:after="0"/>
              <w:rPr>
                <w:sz w:val="20"/>
                <w:szCs w:val="20"/>
                <w:color w:val="auto"/>
              </w:rPr>
            </w:pPr>
            <w:r>
              <w:rPr>
                <w:rFonts w:ascii="Arial" w:cs="Arial" w:eastAsia="Arial" w:hAnsi="Arial"/>
                <w:sz w:val="14"/>
                <w:szCs w:val="14"/>
                <w:b w:val="1"/>
                <w:bCs w:val="1"/>
                <w:color w:val="auto"/>
              </w:rPr>
              <w:t>$189,206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$160,444</w:t>
            </w:r>
          </w:p>
        </w:tc>
        <w:tc>
          <w:tcPr>
            <w:tcW w:w="680" w:type="dxa"/>
            <w:vAlign w:val="bottom"/>
          </w:tcPr>
          <w:p>
            <w:pPr>
              <w:jc w:val="right"/>
              <w:spacing w:after="0"/>
              <w:rPr>
                <w:sz w:val="20"/>
                <w:szCs w:val="20"/>
                <w:color w:val="auto"/>
              </w:rPr>
            </w:pPr>
            <w:r>
              <w:rPr>
                <w:rFonts w:ascii="Arial" w:cs="Arial" w:eastAsia="Arial" w:hAnsi="Arial"/>
                <w:sz w:val="14"/>
                <w:szCs w:val="14"/>
                <w:color w:val="auto"/>
              </w:rPr>
              <w:t>$127,508</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p>
        </w:tc>
        <w:tc>
          <w:tcPr>
            <w:tcW w:w="3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7,056</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14,382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13,760</w:t>
            </w:r>
          </w:p>
        </w:tc>
        <w:tc>
          <w:tcPr>
            <w:tcW w:w="160" w:type="dxa"/>
            <w:vAlign w:val="bottom"/>
            <w:shd w:val="clear" w:color="auto" w:fill="CCEEFF"/>
          </w:tcPr>
          <w:p>
            <w:pPr>
              <w:spacing w:after="0"/>
              <w:rPr>
                <w:sz w:val="14"/>
                <w:szCs w:val="14"/>
                <w:color w:val="auto"/>
              </w:rPr>
            </w:pPr>
          </w:p>
        </w:tc>
      </w:tr>
      <w:tr>
        <w:trPr>
          <w:trHeight w:val="27"/>
        </w:trPr>
        <w:tc>
          <w:tcPr>
            <w:tcW w:w="5260" w:type="dxa"/>
            <w:vAlign w:val="bottom"/>
            <w:gridSpan w:val="2"/>
          </w:tcPr>
          <w:p>
            <w:pPr>
              <w:spacing w:after="0"/>
              <w:rPr>
                <w:sz w:val="2"/>
                <w:szCs w:val="2"/>
                <w:color w:val="auto"/>
              </w:rPr>
            </w:pPr>
          </w:p>
        </w:tc>
        <w:tc>
          <w:tcPr>
            <w:tcW w:w="3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$196,262</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$174,826</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$141,268</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jc w:val="both"/>
        <w:ind w:right="220" w:firstLine="146"/>
        <w:spacing w:after="0" w:line="239" w:lineRule="auto"/>
        <w:rPr>
          <w:sz w:val="20"/>
          <w:szCs w:val="20"/>
          <w:color w:val="auto"/>
        </w:rPr>
      </w:pPr>
      <w:r>
        <w:rPr>
          <w:rFonts w:ascii="Arial" w:cs="Arial" w:eastAsia="Arial" w:hAnsi="Arial"/>
          <w:sz w:val="18"/>
          <w:szCs w:val="18"/>
          <w:color w:val="auto"/>
        </w:rPr>
        <w:t>During the fiscal years ended October 31, 2012, 2011, and 2010, respectively, $9,017, $2,988, and $3,396 was added to stockholders' equity reflecting the permanent book to tax difference in accounting for tax benefits related to employee stock-based award transactions.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9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33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33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Allowance for doubtful accounts</w:t>
            </w:r>
          </w:p>
        </w:tc>
        <w:tc>
          <w:tcPr>
            <w:tcW w:w="3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1,959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1,156</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Inventory items</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4,595</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Warranty reserves and other accruals</w:t>
            </w:r>
          </w:p>
        </w:tc>
        <w:tc>
          <w:tcPr>
            <w:tcW w:w="33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39,559</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38,370</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Employee benefits</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16,466</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16,831</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rPr>
                <w:sz w:val="20"/>
                <w:szCs w:val="20"/>
                <w:color w:val="auto"/>
              </w:rPr>
            </w:pPr>
            <w:r>
              <w:rPr>
                <w:rFonts w:ascii="Arial" w:cs="Arial" w:eastAsia="Arial" w:hAnsi="Arial"/>
                <w:sz w:val="14"/>
                <w:szCs w:val="14"/>
                <w:b w:val="1"/>
                <w:bCs w:val="1"/>
                <w:color w:val="auto"/>
              </w:rPr>
              <w:t>Depreciation</w:t>
            </w:r>
          </w:p>
        </w:tc>
        <w:tc>
          <w:tcPr>
            <w:tcW w:w="33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(4,389)</w:t>
            </w:r>
          </w:p>
        </w:tc>
        <w:tc>
          <w:tcPr>
            <w:tcW w:w="2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(3,909)</w:t>
            </w: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Other</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9,625</w:t>
            </w: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8,514</w:t>
            </w:r>
          </w:p>
        </w:tc>
        <w:tc>
          <w:tcPr>
            <w:tcW w:w="160" w:type="dxa"/>
            <w:vAlign w:val="bottom"/>
            <w:shd w:val="clear" w:color="auto" w:fill="CCEEFF"/>
          </w:tcPr>
          <w:p>
            <w:pPr>
              <w:spacing w:after="0"/>
              <w:rPr>
                <w:sz w:val="14"/>
                <w:szCs w:val="14"/>
                <w:color w:val="auto"/>
              </w:rPr>
            </w:pPr>
          </w:p>
        </w:tc>
      </w:tr>
      <w:tr>
        <w:trPr>
          <w:trHeight w:val="27"/>
        </w:trPr>
        <w:tc>
          <w:tcPr>
            <w:tcW w:w="5940" w:type="dxa"/>
            <w:vAlign w:val="bottom"/>
            <w:gridSpan w:val="2"/>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59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3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67,815</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66,083</w:t>
            </w:r>
          </w:p>
        </w:tc>
        <w:tc>
          <w:tcPr>
            <w:tcW w:w="1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Valuation allowance</w:t>
            </w:r>
          </w:p>
        </w:tc>
        <w:tc>
          <w:tcPr>
            <w:tcW w:w="33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(6,781)</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(4,928)</w:t>
            </w:r>
          </w:p>
        </w:tc>
      </w:tr>
      <w:tr>
        <w:trPr>
          <w:trHeight w:val="27"/>
        </w:trPr>
        <w:tc>
          <w:tcPr>
            <w:tcW w:w="5940" w:type="dxa"/>
            <w:vAlign w:val="bottom"/>
            <w:gridSpan w:val="2"/>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3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61,034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61,155</w:t>
            </w:r>
          </w:p>
        </w:tc>
        <w:tc>
          <w:tcPr>
            <w:tcW w:w="160" w:type="dxa"/>
            <w:vAlign w:val="bottom"/>
          </w:tcPr>
          <w:p>
            <w:pPr>
              <w:spacing w:after="0"/>
              <w:rPr>
                <w:sz w:val="15"/>
                <w:szCs w:val="15"/>
                <w:color w:val="auto"/>
              </w:rPr>
            </w:pPr>
          </w:p>
        </w:tc>
      </w:tr>
    </w:tbl>
    <w:p>
      <w:pPr>
        <w:spacing w:after="0" w:line="219" w:lineRule="exact"/>
        <w:rPr>
          <w:sz w:val="20"/>
          <w:szCs w:val="20"/>
          <w:color w:val="auto"/>
        </w:rPr>
      </w:pPr>
    </w:p>
    <w:p>
      <w:pPr>
        <w:ind w:right="620" w:firstLine="143"/>
        <w:spacing w:after="0" w:line="239" w:lineRule="auto"/>
        <w:rPr>
          <w:sz w:val="20"/>
          <w:szCs w:val="20"/>
          <w:color w:val="auto"/>
        </w:rPr>
      </w:pPr>
      <w:r>
        <w:rPr>
          <w:rFonts w:ascii="Arial" w:cs="Arial" w:eastAsia="Arial" w:hAnsi="Arial"/>
          <w:sz w:val="18"/>
          <w:szCs w:val="18"/>
          <w:color w:val="auto"/>
        </w:rPr>
        <w:t>The valuation allowance as of October 31, 2012 and 2011 principally applies to capital loss carryforwards and foreign net operating loss carryforwards that are expected to expire prior to utilization.</w:t>
      </w:r>
    </w:p>
    <w:p>
      <w:pPr>
        <w:spacing w:after="0" w:line="209" w:lineRule="exact"/>
        <w:rPr>
          <w:sz w:val="20"/>
          <w:szCs w:val="20"/>
          <w:color w:val="auto"/>
        </w:rPr>
      </w:pPr>
    </w:p>
    <w:p>
      <w:pPr>
        <w:ind w:right="220" w:firstLine="137"/>
        <w:spacing w:after="0" w:line="239" w:lineRule="auto"/>
        <w:rPr>
          <w:sz w:val="20"/>
          <w:szCs w:val="20"/>
          <w:color w:val="auto"/>
        </w:rPr>
      </w:pPr>
      <w:r>
        <w:rPr>
          <w:rFonts w:ascii="Arial" w:cs="Arial" w:eastAsia="Arial" w:hAnsi="Arial"/>
          <w:sz w:val="18"/>
          <w:szCs w:val="18"/>
          <w:color w:val="auto"/>
        </w:rPr>
        <w:t>As of October 31, 2012, the company had approximately $45,635 of accumulated undistributed earnings from subsidiaries outside the United States that are considered to be reinvested indefinitely. No deferred tax liability has been provided for such earnings.</w:t>
      </w:r>
    </w:p>
    <w:p>
      <w:pPr>
        <w:sectPr>
          <w:pgSz w:w="11900" w:h="16838" w:orient="portrait"/>
          <w:cols w:equalWidth="0" w:num="1">
            <w:col w:w="11300"/>
          </w:cols>
          <w:pgMar w:left="240" w:top="143" w:right="359" w:bottom="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144780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3" w:right="1440" w:bottom="1440" w:gutter="0" w:footer="0" w:header="0"/>
        </w:sectPr>
      </w:pPr>
    </w:p>
    <w:bookmarkStart w:id="58" w:name="page59"/>
    <w:bookmarkEnd w:id="58"/>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October 31, 2011</w:t>
            </w: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$ 5,329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b w:val="1"/>
                <w:bCs w:val="1"/>
                <w:color w:val="auto"/>
              </w:rPr>
              <w:t>Decrease as a result of tax positions taken during a prior period</w:t>
            </w:r>
          </w:p>
        </w:tc>
        <w:tc>
          <w:tcPr>
            <w:tcW w:w="3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(52)</w:t>
            </w:r>
          </w:p>
        </w:tc>
      </w:tr>
      <w:tr>
        <w:trPr>
          <w:trHeight w:val="162"/>
        </w:trPr>
        <w:tc>
          <w:tcPr>
            <w:tcW w:w="20" w:type="dxa"/>
            <w:vAlign w:val="bottom"/>
          </w:tcPr>
          <w:p>
            <w:pPr>
              <w:spacing w:after="0"/>
              <w:rPr>
                <w:sz w:val="14"/>
                <w:szCs w:val="14"/>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Increase as a result of tax positions taken during the current period</w:t>
            </w:r>
          </w:p>
        </w:tc>
        <w:tc>
          <w:tcPr>
            <w:tcW w:w="3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753</w:t>
            </w: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b w:val="1"/>
                <w:bCs w:val="1"/>
                <w:color w:val="auto"/>
              </w:rPr>
              <w:t>Decrease relating to settlements with taxing authorities</w:t>
            </w:r>
          </w:p>
        </w:tc>
        <w:tc>
          <w:tcPr>
            <w:tcW w:w="3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(261)</w:t>
            </w:r>
          </w:p>
        </w:tc>
      </w:tr>
      <w:tr>
        <w:trPr>
          <w:trHeight w:val="162"/>
        </w:trPr>
        <w:tc>
          <w:tcPr>
            <w:tcW w:w="20" w:type="dxa"/>
            <w:vAlign w:val="bottom"/>
          </w:tcPr>
          <w:p>
            <w:pPr>
              <w:spacing w:after="0"/>
              <w:rPr>
                <w:sz w:val="14"/>
                <w:szCs w:val="14"/>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Reduction as a result of a lapse of the applicable statute of limitations</w:t>
            </w:r>
          </w:p>
        </w:tc>
        <w:tc>
          <w:tcPr>
            <w:tcW w:w="36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(1,348)</w:t>
            </w:r>
          </w:p>
        </w:tc>
      </w:tr>
      <w:tr>
        <w:trPr>
          <w:trHeight w:val="27"/>
        </w:trPr>
        <w:tc>
          <w:tcPr>
            <w:tcW w:w="7780" w:type="dxa"/>
            <w:vAlign w:val="bottom"/>
            <w:gridSpan w:val="2"/>
          </w:tcPr>
          <w:p>
            <w:pPr>
              <w:spacing w:after="0"/>
              <w:rPr>
                <w:sz w:val="2"/>
                <w:szCs w:val="2"/>
                <w:color w:val="auto"/>
              </w:rPr>
            </w:pPr>
          </w:p>
        </w:tc>
        <w:tc>
          <w:tcPr>
            <w:tcW w:w="3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2012</w:t>
            </w:r>
          </w:p>
        </w:tc>
        <w:tc>
          <w:tcPr>
            <w:tcW w:w="3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$ 4,421</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219" w:lineRule="exact"/>
        <w:rPr>
          <w:sz w:val="20"/>
          <w:szCs w:val="20"/>
          <w:color w:val="auto"/>
        </w:rPr>
      </w:pPr>
    </w:p>
    <w:p>
      <w:pPr>
        <w:ind w:right="160" w:firstLine="146"/>
        <w:spacing w:after="0" w:line="239" w:lineRule="auto"/>
        <w:rPr>
          <w:sz w:val="20"/>
          <w:szCs w:val="20"/>
          <w:color w:val="auto"/>
        </w:rPr>
      </w:pPr>
      <w:r>
        <w:rPr>
          <w:rFonts w:ascii="Arial" w:cs="Arial" w:eastAsia="Arial" w:hAnsi="Arial"/>
          <w:sz w:val="18"/>
          <w:szCs w:val="18"/>
          <w:color w:val="auto"/>
        </w:rPr>
        <w:t>Included in the balance of unrecognized tax benefits as of October 31, 2012 are potential benefits of $3,122 that, if recognized, would affect the effective tax rate from continuing operations.</w:t>
      </w:r>
    </w:p>
    <w:p>
      <w:pPr>
        <w:spacing w:after="0" w:line="209" w:lineRule="exact"/>
        <w:rPr>
          <w:sz w:val="20"/>
          <w:szCs w:val="20"/>
          <w:color w:val="auto"/>
        </w:rPr>
      </w:pPr>
    </w:p>
    <w:p>
      <w:pPr>
        <w:ind w:right="140" w:firstLine="143"/>
        <w:spacing w:after="0" w:line="237"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as a component of the provision for income taxes. In addition to the liability of $4,421 for unrecognized tax benefits as of October 31, 2012 was an amount of approximately $219 for accrued interest and penalties. To the extent interest and penalties are not assessed with respect to uncertain tax positions, the amounts accrued will be revised and reflected as an adjustment to the provision for income taxes.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anticipates that total unrecognized tax benefits will not change significantly within the next 12 months.</w:t>
      </w:r>
    </w:p>
    <w:p>
      <w:pPr>
        <w:spacing w:after="0" w:line="212" w:lineRule="exact"/>
        <w:rPr>
          <w:sz w:val="20"/>
          <w:szCs w:val="20"/>
          <w:color w:val="auto"/>
        </w:rPr>
      </w:pPr>
    </w:p>
    <w:p>
      <w:pPr>
        <w:ind w:right="200" w:firstLine="143"/>
        <w:spacing w:after="0" w:line="238" w:lineRule="auto"/>
        <w:rPr>
          <w:sz w:val="20"/>
          <w:szCs w:val="20"/>
          <w:color w:val="auto"/>
        </w:rPr>
      </w:pPr>
      <w:r>
        <w:rPr>
          <w:rFonts w:ascii="Arial" w:cs="Arial" w:eastAsia="Arial" w:hAnsi="Arial"/>
          <w:sz w:val="18"/>
          <w:szCs w:val="18"/>
          <w:color w:val="auto"/>
        </w:rPr>
        <w:t>The company is subject to U.S. federal income tax as well as income tax of numerous state and foreign jurisdictions. The company is generally no longer subject to U.S. federal tax examinations for taxable years before fiscal 2009 and with limited exceptions, state and foreign income tax examinations for fiscal years before 2007.</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10</w:t>
      </w:r>
      <w:r>
        <w:rPr>
          <w:sz w:val="20"/>
          <w:szCs w:val="20"/>
          <w:color w:val="auto"/>
        </w:rPr>
        <w:tab/>
      </w:r>
      <w:r>
        <w:rPr>
          <w:rFonts w:ascii="Arial" w:cs="Arial" w:eastAsia="Arial" w:hAnsi="Arial"/>
          <w:sz w:val="21"/>
          <w:szCs w:val="21"/>
          <w:b w:val="1"/>
          <w:bCs w:val="1"/>
          <w:color w:val="auto"/>
        </w:rPr>
        <w:t>STOCK-BASED COMPENSATION PLANS</w:t>
      </w:r>
    </w:p>
    <w:p>
      <w:pPr>
        <w:spacing w:after="0" w:line="27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maintains The Toro Company 2010 Equity and Incentive Plan, as amended, for officers, other employees, and non-employee members of the company's Board of Directors. The company's incentive plan allows it to grant equity-based compensation awards, including stock options, restricted stock and restricted stock unit awards, and performance share awards.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compensation costs related to stock-based awards were as follows:</w:t>
      </w:r>
    </w:p>
    <w:p>
      <w:pPr>
        <w:spacing w:after="0" w:line="216"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4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6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 option awards</w:t>
            </w:r>
          </w:p>
        </w:tc>
        <w:tc>
          <w:tcPr>
            <w:tcW w:w="2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4,200</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$ 4,654</w:t>
            </w:r>
          </w:p>
        </w:tc>
        <w:tc>
          <w:tcPr>
            <w:tcW w:w="7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$ 4,117</w:t>
            </w:r>
          </w:p>
        </w:tc>
      </w:tr>
      <w:tr>
        <w:trPr>
          <w:trHeight w:val="162"/>
        </w:trPr>
        <w:tc>
          <w:tcPr>
            <w:tcW w:w="6760" w:type="dxa"/>
            <w:vAlign w:val="bottom"/>
          </w:tcPr>
          <w:p>
            <w:pPr>
              <w:spacing w:after="0"/>
              <w:rPr>
                <w:sz w:val="20"/>
                <w:szCs w:val="20"/>
                <w:color w:val="auto"/>
              </w:rPr>
            </w:pPr>
            <w:r>
              <w:rPr>
                <w:rFonts w:ascii="Arial" w:cs="Arial" w:eastAsia="Arial" w:hAnsi="Arial"/>
                <w:sz w:val="14"/>
                <w:szCs w:val="14"/>
                <w:b w:val="1"/>
                <w:bCs w:val="1"/>
                <w:color w:val="auto"/>
              </w:rPr>
              <w:t>Restricted stock awards</w:t>
            </w:r>
          </w:p>
        </w:tc>
        <w:tc>
          <w:tcPr>
            <w:tcW w:w="24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1,721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699</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68</w:t>
            </w:r>
          </w:p>
        </w:tc>
      </w:tr>
      <w:tr>
        <w:trPr>
          <w:trHeight w:val="162"/>
        </w:trPr>
        <w:tc>
          <w:tcPr>
            <w:tcW w:w="6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Performance share awards</w:t>
            </w:r>
          </w:p>
        </w:tc>
        <w:tc>
          <w:tcPr>
            <w:tcW w:w="24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3,582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2,257</w:t>
            </w:r>
          </w:p>
        </w:tc>
      </w:tr>
      <w:tr>
        <w:trPr>
          <w:trHeight w:val="27"/>
        </w:trPr>
        <w:tc>
          <w:tcPr>
            <w:tcW w:w="67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83"/>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compensation cost for stock-based awards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9,503</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$ 8,533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$ 6,442</w:t>
            </w:r>
          </w:p>
        </w:tc>
        <w:tc>
          <w:tcPr>
            <w:tcW w:w="160" w:type="dxa"/>
            <w:vAlign w:val="bottom"/>
          </w:tcPr>
          <w:p>
            <w:pPr>
              <w:spacing w:after="0"/>
              <w:rPr>
                <w:sz w:val="15"/>
                <w:szCs w:val="15"/>
                <w:color w:val="auto"/>
              </w:rPr>
            </w:pPr>
          </w:p>
        </w:tc>
      </w:tr>
      <w:tr>
        <w:trPr>
          <w:trHeight w:val="156"/>
        </w:trPr>
        <w:tc>
          <w:tcPr>
            <w:tcW w:w="67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Tax benefit realized for tax deductions from stock-based awards</w:t>
            </w:r>
          </w:p>
        </w:tc>
        <w:tc>
          <w:tcPr>
            <w:tcW w:w="2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13,266</w:t>
            </w: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$ 4,469</w:t>
            </w:r>
          </w:p>
        </w:tc>
        <w:tc>
          <w:tcPr>
            <w:tcW w:w="70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$ 4,933</w:t>
            </w:r>
          </w:p>
        </w:tc>
      </w:tr>
      <w:tr>
        <w:trPr>
          <w:trHeight w:val="27"/>
        </w:trPr>
        <w:tc>
          <w:tcPr>
            <w:tcW w:w="67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00" w:firstLine="143"/>
        <w:spacing w:after="0" w:line="239" w:lineRule="auto"/>
        <w:rPr>
          <w:sz w:val="20"/>
          <w:szCs w:val="20"/>
          <w:color w:val="auto"/>
        </w:rPr>
      </w:pPr>
      <w:r>
        <w:rPr>
          <w:rFonts w:ascii="Arial" w:cs="Arial" w:eastAsia="Arial" w:hAnsi="Arial"/>
          <w:sz w:val="18"/>
          <w:szCs w:val="18"/>
          <w:color w:val="auto"/>
        </w:rPr>
        <w:t>The number of unissued shares of common stock available for future equity-based grants under the company's equity-based compensation plan was 4,448,174 as of October 31, 2012.</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Stock Option Awards. </w:t>
      </w:r>
      <w:r>
        <w:rPr>
          <w:rFonts w:ascii="Arial" w:cs="Arial" w:eastAsia="Arial" w:hAnsi="Arial"/>
          <w:sz w:val="18"/>
          <w:szCs w:val="18"/>
          <w:color w:val="auto"/>
        </w:rPr>
        <w:t>Under the company's incentive plan, stock options are granted with an exercise price equal to the closing price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presents stock option activity for fiscal 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0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7"/>
              </w:rPr>
              <w:t>Weighted</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Weighted</w:t>
            </w: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Average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Option</w:t>
            </w:r>
          </w:p>
        </w:tc>
        <w:tc>
          <w:tcPr>
            <w:tcW w:w="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Exercise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Contractual</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Intrinsic</w:t>
            </w:r>
          </w:p>
        </w:tc>
      </w:tr>
      <w:tr>
        <w:trPr>
          <w:trHeight w:val="178"/>
        </w:trPr>
        <w:tc>
          <w:tcPr>
            <w:tcW w:w="20" w:type="dxa"/>
            <w:vAlign w:val="bottom"/>
          </w:tcPr>
          <w:p>
            <w:pPr>
              <w:spacing w:after="0"/>
              <w:rPr>
                <w:sz w:val="15"/>
                <w:szCs w:val="15"/>
                <w:color w:val="auto"/>
              </w:rPr>
            </w:pPr>
          </w:p>
        </w:tc>
        <w:tc>
          <w:tcPr>
            <w:tcW w:w="80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Awards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Price</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Life(years)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140" w:type="dxa"/>
            <w:vAlign w:val="bottom"/>
            <w:gridSpan w:val="2"/>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 as of October 31, 2011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3,763,384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20.92</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$ 25,117</w:t>
            </w:r>
          </w:p>
        </w:tc>
        <w:tc>
          <w:tcPr>
            <w:tcW w:w="12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493,088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28.14</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(1,032,742)</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19.21</w:t>
            </w: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8000" w:type="dxa"/>
            <w:vAlign w:val="bottom"/>
          </w:tcPr>
          <w:p>
            <w:pPr>
              <w:spacing w:after="0"/>
              <w:rPr>
                <w:sz w:val="20"/>
                <w:szCs w:val="20"/>
                <w:color w:val="auto"/>
              </w:rPr>
            </w:pPr>
            <w:r>
              <w:rPr>
                <w:rFonts w:ascii="Arial" w:cs="Arial" w:eastAsia="Arial" w:hAnsi="Arial"/>
                <w:sz w:val="14"/>
                <w:szCs w:val="14"/>
                <w:b w:val="1"/>
                <w:bCs w:val="1"/>
                <w:color w:val="auto"/>
              </w:rPr>
              <w:t>Cancelled</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(23,914)</w:t>
            </w: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26.37</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Outstanding as of October 31, 2012</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3,199,816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22.54</w:t>
            </w:r>
          </w:p>
        </w:tc>
        <w:tc>
          <w:tcPr>
            <w:tcW w:w="9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6.0</w:t>
            </w:r>
          </w:p>
        </w:tc>
        <w:tc>
          <w:tcPr>
            <w:tcW w:w="6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$ 62,982</w:t>
            </w:r>
          </w:p>
        </w:tc>
        <w:tc>
          <w:tcPr>
            <w:tcW w:w="120" w:type="dxa"/>
            <w:vAlign w:val="bottom"/>
            <w:shd w:val="clear" w:color="auto" w:fill="CCEEFF"/>
          </w:tcPr>
          <w:p>
            <w:pPr>
              <w:spacing w:after="0"/>
              <w:rPr>
                <w:sz w:val="13"/>
                <w:szCs w:val="13"/>
                <w:color w:val="auto"/>
              </w:rPr>
            </w:pPr>
          </w:p>
        </w:tc>
      </w:tr>
      <w:tr>
        <w:trPr>
          <w:trHeight w:val="27"/>
        </w:trPr>
        <w:tc>
          <w:tcPr>
            <w:tcW w:w="80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8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Exercisable as of October 31, 2012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2,177,910</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20.38</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$ 47,561</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bl>
    <w:p>
      <w:pPr>
        <w:spacing w:after="0" w:line="219"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2012, there was $1,459 of total unrecognized compensation expense related to unvested stock options. That cost is expected to be recognized over a weighted-average period of 1.9 years.</w:t>
      </w:r>
    </w:p>
    <w:p>
      <w:pPr>
        <w:spacing w:after="0" w:line="209" w:lineRule="exact"/>
        <w:rPr>
          <w:sz w:val="20"/>
          <w:szCs w:val="20"/>
          <w:color w:val="auto"/>
        </w:rPr>
      </w:pPr>
    </w:p>
    <w:p>
      <w:pPr>
        <w:ind w:right="720" w:firstLine="143"/>
        <w:spacing w:after="0" w:line="239" w:lineRule="auto"/>
        <w:rPr>
          <w:sz w:val="20"/>
          <w:szCs w:val="20"/>
          <w:color w:val="auto"/>
        </w:rPr>
      </w:pPr>
      <w:r>
        <w:rPr>
          <w:rFonts w:ascii="Arial" w:cs="Arial" w:eastAsia="Arial" w:hAnsi="Arial"/>
          <w:sz w:val="18"/>
          <w:szCs w:val="18"/>
          <w:color w:val="auto"/>
        </w:rPr>
        <w:t>The following table presents the total market value of stock options exercised and the total intrinsic value of options exercised during the following fiscal years: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57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Market value of stock options exercised</w:t>
            </w:r>
          </w:p>
        </w:tc>
        <w:tc>
          <w:tcPr>
            <w:tcW w:w="36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$ 35,901</w:t>
            </w:r>
          </w:p>
        </w:tc>
        <w:tc>
          <w:tcPr>
            <w:tcW w:w="7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$ 25,592</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$ 24,588</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Intrinsic value of options exercised</w:t>
            </w:r>
          </w:p>
        </w:tc>
        <w:tc>
          <w:tcPr>
            <w:tcW w:w="3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16,061</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11,434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8,198</w:t>
            </w:r>
          </w:p>
        </w:tc>
        <w:tc>
          <w:tcPr>
            <w:tcW w:w="1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591"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591" w:gutter="0" w:footer="0" w:header="0"/>
          <w:type w:val="continuous"/>
        </w:sectPr>
      </w:pPr>
    </w:p>
    <w:bookmarkStart w:id="59" w:name="page60"/>
    <w:bookmarkEnd w:id="59"/>
    <w:p>
      <w:pPr>
        <w:ind w:right="60" w:firstLine="143"/>
        <w:spacing w:after="0" w:line="235" w:lineRule="auto"/>
        <w:rPr>
          <w:sz w:val="20"/>
          <w:szCs w:val="20"/>
          <w:color w:val="auto"/>
        </w:rPr>
      </w:pPr>
      <w:r>
        <w:rPr>
          <w:rFonts w:ascii="Arial" w:cs="Arial" w:eastAsia="Arial" w:hAnsi="Arial"/>
          <w:sz w:val="18"/>
          <w:szCs w:val="18"/>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that officers, other employees, and non-employee members of the Board of Directors are expected to exercise their stock options, which is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illustrates the valuation assumptions of stock-based compensation for the following fiscal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3460" w:type="dxa"/>
            <w:vAlign w:val="bottom"/>
            <w:tcBorders>
              <w:top w:val="single" w:sz="8" w:color="auto"/>
            </w:tcBorders>
          </w:tcPr>
          <w:p>
            <w:pPr>
              <w:jc w:val="center"/>
              <w:ind w:left="2428"/>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rPr>
              <w:t>2011</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2010</w:t>
            </w:r>
          </w:p>
        </w:tc>
      </w:tr>
      <w:tr>
        <w:trPr>
          <w:trHeight w:val="156"/>
        </w:trPr>
        <w:tc>
          <w:tcPr>
            <w:tcW w:w="20" w:type="dxa"/>
            <w:vAlign w:val="bottom"/>
          </w:tcPr>
          <w:p>
            <w:pPr>
              <w:spacing w:after="0"/>
              <w:rPr>
                <w:sz w:val="13"/>
                <w:szCs w:val="13"/>
                <w:color w:val="auto"/>
              </w:rPr>
            </w:pPr>
          </w:p>
        </w:tc>
        <w:tc>
          <w:tcPr>
            <w:tcW w:w="56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Expected life of option in years</w:t>
            </w:r>
          </w:p>
        </w:tc>
        <w:tc>
          <w:tcPr>
            <w:tcW w:w="3460" w:type="dxa"/>
            <w:vAlign w:val="bottom"/>
            <w:tcBorders>
              <w:top w:val="single" w:sz="8" w:color="auto"/>
            </w:tcBorders>
            <w:shd w:val="clear" w:color="auto" w:fill="CCEEFF"/>
          </w:tcPr>
          <w:p>
            <w:pPr>
              <w:jc w:val="center"/>
              <w:ind w:left="2428"/>
              <w:spacing w:after="0" w:line="155" w:lineRule="exact"/>
              <w:rPr>
                <w:sz w:val="20"/>
                <w:szCs w:val="20"/>
                <w:color w:val="auto"/>
              </w:rPr>
            </w:pPr>
            <w:r>
              <w:rPr>
                <w:rFonts w:ascii="Arial" w:cs="Arial" w:eastAsia="Arial" w:hAnsi="Arial"/>
                <w:sz w:val="14"/>
                <w:szCs w:val="14"/>
                <w:b w:val="1"/>
                <w:bCs w:val="1"/>
                <w:color w:val="auto"/>
              </w:rPr>
              <w:t>6</w:t>
            </w:r>
          </w:p>
        </w:tc>
        <w:tc>
          <w:tcPr>
            <w:tcW w:w="1240" w:type="dxa"/>
            <w:vAlign w:val="bottom"/>
            <w:tcBorders>
              <w:top w:val="single" w:sz="8" w:color="auto"/>
            </w:tcBorders>
            <w:shd w:val="clear" w:color="auto" w:fill="CCEEFF"/>
          </w:tcPr>
          <w:p>
            <w:pPr>
              <w:jc w:val="center"/>
              <w:ind w:left="8"/>
              <w:spacing w:after="0" w:line="155" w:lineRule="exact"/>
              <w:rPr>
                <w:sz w:val="20"/>
                <w:szCs w:val="20"/>
                <w:color w:val="auto"/>
              </w:rPr>
            </w:pPr>
            <w:r>
              <w:rPr>
                <w:rFonts w:ascii="Arial" w:cs="Arial" w:eastAsia="Arial" w:hAnsi="Arial"/>
                <w:sz w:val="14"/>
                <w:szCs w:val="14"/>
                <w:color w:val="auto"/>
              </w:rPr>
              <w:t>6</w:t>
            </w:r>
          </w:p>
        </w:tc>
        <w:tc>
          <w:tcPr>
            <w:tcW w:w="10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460" w:type="dxa"/>
            <w:vAlign w:val="bottom"/>
          </w:tcPr>
          <w:p>
            <w:pPr>
              <w:jc w:val="center"/>
              <w:ind w:left="2428"/>
              <w:spacing w:after="0" w:line="149" w:lineRule="exact"/>
              <w:rPr>
                <w:sz w:val="20"/>
                <w:szCs w:val="20"/>
                <w:color w:val="auto"/>
              </w:rPr>
            </w:pPr>
            <w:r>
              <w:rPr>
                <w:rFonts w:ascii="Arial" w:cs="Arial" w:eastAsia="Arial" w:hAnsi="Arial"/>
                <w:sz w:val="14"/>
                <w:szCs w:val="14"/>
                <w:b w:val="1"/>
                <w:bCs w:val="1"/>
                <w:color w:val="auto"/>
              </w:rPr>
              <w:t>34.87% –</w:t>
            </w:r>
          </w:p>
        </w:tc>
        <w:tc>
          <w:tcPr>
            <w:tcW w:w="1240" w:type="dxa"/>
            <w:vAlign w:val="bottom"/>
          </w:tcPr>
          <w:p>
            <w:pPr>
              <w:jc w:val="center"/>
              <w:ind w:left="8"/>
              <w:spacing w:after="0" w:line="149" w:lineRule="exact"/>
              <w:rPr>
                <w:sz w:val="20"/>
                <w:szCs w:val="20"/>
                <w:color w:val="auto"/>
              </w:rPr>
            </w:pPr>
            <w:r>
              <w:rPr>
                <w:rFonts w:ascii="Arial" w:cs="Arial" w:eastAsia="Arial" w:hAnsi="Arial"/>
                <w:sz w:val="14"/>
                <w:szCs w:val="14"/>
                <w:color w:val="auto"/>
              </w:rPr>
              <w:t>33.34% –</w:t>
            </w:r>
          </w:p>
        </w:tc>
        <w:tc>
          <w:tcPr>
            <w:tcW w:w="1060" w:type="dxa"/>
            <w:vAlign w:val="bottom"/>
          </w:tcPr>
          <w:p>
            <w:pPr>
              <w:jc w:val="center"/>
              <w:ind w:left="8"/>
              <w:spacing w:after="0" w:line="149" w:lineRule="exact"/>
              <w:rPr>
                <w:sz w:val="20"/>
                <w:szCs w:val="20"/>
                <w:color w:val="auto"/>
              </w:rPr>
            </w:pPr>
            <w:r>
              <w:rPr>
                <w:rFonts w:ascii="Arial" w:cs="Arial" w:eastAsia="Arial" w:hAnsi="Arial"/>
                <w:sz w:val="14"/>
                <w:szCs w:val="14"/>
                <w:color w:val="auto"/>
              </w:rPr>
              <w:t>33.00% –</w:t>
            </w:r>
          </w:p>
        </w:tc>
      </w:tr>
      <w:tr>
        <w:trPr>
          <w:trHeight w:val="17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Expected volatility</w:t>
            </w:r>
          </w:p>
        </w:tc>
        <w:tc>
          <w:tcPr>
            <w:tcW w:w="3460" w:type="dxa"/>
            <w:vAlign w:val="bottom"/>
          </w:tcPr>
          <w:p>
            <w:pPr>
              <w:jc w:val="center"/>
              <w:ind w:left="2428"/>
              <w:spacing w:after="0"/>
              <w:rPr>
                <w:sz w:val="20"/>
                <w:szCs w:val="20"/>
                <w:color w:val="auto"/>
              </w:rPr>
            </w:pPr>
            <w:r>
              <w:rPr>
                <w:rFonts w:ascii="Arial" w:cs="Arial" w:eastAsia="Arial" w:hAnsi="Arial"/>
                <w:sz w:val="14"/>
                <w:szCs w:val="14"/>
                <w:b w:val="1"/>
                <w:bCs w:val="1"/>
                <w:color w:val="auto"/>
              </w:rPr>
              <w:t>35.02%</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33.43%</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rPr>
              <w:t>33.10%</w:t>
            </w: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volatility</w:t>
            </w:r>
          </w:p>
        </w:tc>
        <w:tc>
          <w:tcPr>
            <w:tcW w:w="3460" w:type="dxa"/>
            <w:vAlign w:val="bottom"/>
            <w:shd w:val="clear" w:color="auto" w:fill="CCEEFF"/>
          </w:tcPr>
          <w:p>
            <w:pPr>
              <w:jc w:val="center"/>
              <w:ind w:left="2428"/>
              <w:spacing w:after="0"/>
              <w:rPr>
                <w:sz w:val="20"/>
                <w:szCs w:val="20"/>
                <w:color w:val="auto"/>
              </w:rPr>
            </w:pPr>
            <w:r>
              <w:rPr>
                <w:rFonts w:ascii="Arial" w:cs="Arial" w:eastAsia="Arial" w:hAnsi="Arial"/>
                <w:sz w:val="14"/>
                <w:szCs w:val="14"/>
                <w:b w:val="1"/>
                <w:bCs w:val="1"/>
                <w:color w:val="auto"/>
              </w:rPr>
              <w:t>35.01%</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33.42%</w:t>
            </w:r>
          </w:p>
        </w:tc>
        <w:tc>
          <w:tcPr>
            <w:tcW w:w="10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33.00%</w:t>
            </w:r>
          </w:p>
        </w:tc>
      </w:tr>
      <w:tr>
        <w:trPr>
          <w:trHeight w:val="16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b w:val="1"/>
                <w:bCs w:val="1"/>
                <w:color w:val="auto"/>
              </w:rPr>
              <w:t>Risk-free interest rate</w:t>
            </w:r>
          </w:p>
        </w:tc>
        <w:tc>
          <w:tcPr>
            <w:tcW w:w="3460" w:type="dxa"/>
            <w:vAlign w:val="bottom"/>
          </w:tcPr>
          <w:p>
            <w:pPr>
              <w:jc w:val="center"/>
              <w:ind w:left="2428"/>
              <w:spacing w:after="0"/>
              <w:rPr>
                <w:sz w:val="20"/>
                <w:szCs w:val="20"/>
                <w:color w:val="auto"/>
              </w:rPr>
            </w:pPr>
            <w:r>
              <w:rPr>
                <w:rFonts w:ascii="Arial" w:cs="Arial" w:eastAsia="Arial" w:hAnsi="Arial"/>
                <w:sz w:val="14"/>
                <w:szCs w:val="14"/>
                <w:b w:val="1"/>
                <w:bCs w:val="1"/>
                <w:color w:val="auto"/>
              </w:rPr>
              <w:t>1.20%</w:t>
            </w:r>
          </w:p>
        </w:tc>
        <w:tc>
          <w:tcPr>
            <w:tcW w:w="1240" w:type="dxa"/>
            <w:vAlign w:val="bottom"/>
          </w:tcPr>
          <w:p>
            <w:pPr>
              <w:jc w:val="center"/>
              <w:ind w:left="8"/>
              <w:spacing w:after="0"/>
              <w:rPr>
                <w:sz w:val="20"/>
                <w:szCs w:val="20"/>
                <w:color w:val="auto"/>
              </w:rPr>
            </w:pPr>
            <w:r>
              <w:rPr>
                <w:rFonts w:ascii="Arial" w:cs="Arial" w:eastAsia="Arial" w:hAnsi="Arial"/>
                <w:sz w:val="14"/>
                <w:szCs w:val="14"/>
                <w:color w:val="auto"/>
              </w:rPr>
              <w:t>1.72% – 2.36%</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rPr>
              <w:t>2.51% – 2.87%</w:t>
            </w: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3460" w:type="dxa"/>
            <w:vAlign w:val="bottom"/>
            <w:shd w:val="clear" w:color="auto" w:fill="CCEEFF"/>
          </w:tcPr>
          <w:p>
            <w:pPr>
              <w:jc w:val="center"/>
              <w:ind w:left="2428"/>
              <w:spacing w:after="0" w:line="149" w:lineRule="exact"/>
              <w:rPr>
                <w:sz w:val="20"/>
                <w:szCs w:val="20"/>
                <w:color w:val="auto"/>
              </w:rPr>
            </w:pPr>
            <w:r>
              <w:rPr>
                <w:rFonts w:ascii="Arial" w:cs="Arial" w:eastAsia="Arial" w:hAnsi="Arial"/>
                <w:sz w:val="14"/>
                <w:szCs w:val="14"/>
                <w:b w:val="1"/>
                <w:bCs w:val="1"/>
                <w:color w:val="auto"/>
              </w:rPr>
              <w:t>1.31% –</w:t>
            </w:r>
          </w:p>
        </w:tc>
        <w:tc>
          <w:tcPr>
            <w:tcW w:w="1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Expected dividend yield</w:t>
            </w:r>
          </w:p>
        </w:tc>
        <w:tc>
          <w:tcPr>
            <w:tcW w:w="3460" w:type="dxa"/>
            <w:vAlign w:val="bottom"/>
            <w:shd w:val="clear" w:color="auto" w:fill="CCEEFF"/>
          </w:tcPr>
          <w:p>
            <w:pPr>
              <w:jc w:val="center"/>
              <w:ind w:left="2428"/>
              <w:spacing w:after="0"/>
              <w:rPr>
                <w:sz w:val="20"/>
                <w:szCs w:val="20"/>
                <w:color w:val="auto"/>
              </w:rPr>
            </w:pPr>
            <w:r>
              <w:rPr>
                <w:rFonts w:ascii="Arial" w:cs="Arial" w:eastAsia="Arial" w:hAnsi="Arial"/>
                <w:sz w:val="14"/>
                <w:szCs w:val="14"/>
                <w:b w:val="1"/>
                <w:bCs w:val="1"/>
                <w:color w:val="auto"/>
              </w:rPr>
              <w:t>1.40%</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1.04% – 1.16%</w:t>
            </w:r>
          </w:p>
        </w:tc>
        <w:tc>
          <w:tcPr>
            <w:tcW w:w="106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1.52% – 1.68%</w:t>
            </w:r>
          </w:p>
        </w:tc>
      </w:tr>
      <w:tr>
        <w:trPr>
          <w:trHeight w:val="189"/>
        </w:trPr>
        <w:tc>
          <w:tcPr>
            <w:tcW w:w="20" w:type="dxa"/>
            <w:vAlign w:val="bottom"/>
          </w:tcPr>
          <w:p>
            <w:pPr>
              <w:spacing w:after="0"/>
              <w:rPr>
                <w:sz w:val="16"/>
                <w:szCs w:val="16"/>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Weighted-average dividend yield</w:t>
            </w:r>
          </w:p>
        </w:tc>
        <w:tc>
          <w:tcPr>
            <w:tcW w:w="3460" w:type="dxa"/>
            <w:vAlign w:val="bottom"/>
            <w:tcBorders>
              <w:bottom w:val="single" w:sz="8" w:color="auto"/>
            </w:tcBorders>
          </w:tcPr>
          <w:p>
            <w:pPr>
              <w:jc w:val="center"/>
              <w:ind w:left="2428"/>
              <w:spacing w:after="0"/>
              <w:rPr>
                <w:sz w:val="20"/>
                <w:szCs w:val="20"/>
                <w:color w:val="auto"/>
              </w:rPr>
            </w:pPr>
            <w:r>
              <w:rPr>
                <w:rFonts w:ascii="Arial" w:cs="Arial" w:eastAsia="Arial" w:hAnsi="Arial"/>
                <w:sz w:val="14"/>
                <w:szCs w:val="14"/>
                <w:b w:val="1"/>
                <w:bCs w:val="1"/>
                <w:color w:val="auto"/>
              </w:rPr>
              <w:t>1.32%</w:t>
            </w:r>
          </w:p>
        </w:tc>
        <w:tc>
          <w:tcPr>
            <w:tcW w:w="12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1.05%</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1.54%</w:t>
            </w:r>
          </w:p>
        </w:tc>
      </w:tr>
      <w:tr>
        <w:trPr>
          <w:trHeight w:val="156"/>
        </w:trPr>
        <w:tc>
          <w:tcPr>
            <w:tcW w:w="20" w:type="dxa"/>
            <w:vAlign w:val="bottom"/>
          </w:tcPr>
          <w:p>
            <w:pPr>
              <w:spacing w:after="0"/>
              <w:rPr>
                <w:sz w:val="13"/>
                <w:szCs w:val="13"/>
                <w:color w:val="auto"/>
              </w:rPr>
            </w:pPr>
          </w:p>
        </w:tc>
        <w:tc>
          <w:tcPr>
            <w:tcW w:w="56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3460" w:type="dxa"/>
            <w:vAlign w:val="bottom"/>
            <w:shd w:val="clear" w:color="auto" w:fill="CCEEFF"/>
          </w:tcPr>
          <w:p>
            <w:pPr>
              <w:jc w:val="center"/>
              <w:ind w:left="2428"/>
              <w:spacing w:after="0" w:line="155" w:lineRule="exact"/>
              <w:rPr>
                <w:sz w:val="20"/>
                <w:szCs w:val="20"/>
                <w:color w:val="auto"/>
              </w:rPr>
            </w:pPr>
            <w:r>
              <w:rPr>
                <w:rFonts w:ascii="Arial" w:cs="Arial" w:eastAsia="Arial" w:hAnsi="Arial"/>
                <w:sz w:val="14"/>
                <w:szCs w:val="14"/>
                <w:b w:val="1"/>
                <w:bCs w:val="1"/>
                <w:color w:val="auto"/>
              </w:rPr>
              <w:t>$8.56</w:t>
            </w:r>
          </w:p>
        </w:tc>
        <w:tc>
          <w:tcPr>
            <w:tcW w:w="1240" w:type="dxa"/>
            <w:vAlign w:val="bottom"/>
            <w:shd w:val="clear" w:color="auto" w:fill="CCEEFF"/>
          </w:tcPr>
          <w:p>
            <w:pPr>
              <w:jc w:val="center"/>
              <w:ind w:left="8"/>
              <w:spacing w:after="0" w:line="155" w:lineRule="exact"/>
              <w:rPr>
                <w:sz w:val="20"/>
                <w:szCs w:val="20"/>
                <w:color w:val="auto"/>
              </w:rPr>
            </w:pPr>
            <w:r>
              <w:rPr>
                <w:rFonts w:ascii="Arial" w:cs="Arial" w:eastAsia="Arial" w:hAnsi="Arial"/>
                <w:sz w:val="14"/>
                <w:szCs w:val="14"/>
                <w:color w:val="auto"/>
              </w:rPr>
              <w:t>$10.15</w:t>
            </w:r>
          </w:p>
        </w:tc>
        <w:tc>
          <w:tcPr>
            <w:tcW w:w="10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$6.16</w:t>
            </w:r>
          </w:p>
        </w:tc>
      </w:tr>
      <w:tr>
        <w:trPr>
          <w:trHeight w:val="27"/>
        </w:trPr>
        <w:tc>
          <w:tcPr>
            <w:tcW w:w="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Under the company's incentive plan, restricted stock awards are generally granted to certain non-officer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awards vest one-third each year over a three-year period or vest in full on the three-year anniversary of the date of grant, or longer. Compensation expense equal to the grant date fair value, which is equal to the closing price of the company's common stock on the date of grant multiplied by the number of shares subject to the restricted stock award, is recognized for these awards over the vesting period.</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restricted stock awards during the following fiscal years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49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26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33.61</w:t>
            </w:r>
          </w:p>
        </w:tc>
        <w:tc>
          <w:tcPr>
            <w:tcW w:w="7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27.17</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28.25</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restricted stock awards vested</w:t>
            </w:r>
          </w:p>
        </w:tc>
        <w:tc>
          <w:tcPr>
            <w:tcW w:w="2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967</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activity during fiscal 2012 for unvested restricted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Average</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Fair</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Restricted</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Date</w:t>
            </w:r>
          </w:p>
        </w:tc>
      </w:tr>
      <w:tr>
        <w:trPr>
          <w:trHeight w:val="178"/>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of Grant</w:t>
            </w:r>
          </w:p>
        </w:tc>
      </w:tr>
      <w:tr>
        <w:trPr>
          <w:trHeight w:val="162"/>
        </w:trPr>
        <w:tc>
          <w:tcPr>
            <w:tcW w:w="20" w:type="dxa"/>
            <w:vAlign w:val="bottom"/>
          </w:tcPr>
          <w:p>
            <w:pPr>
              <w:spacing w:after="0"/>
              <w:rPr>
                <w:sz w:val="14"/>
                <w:szCs w:val="14"/>
                <w:color w:val="auto"/>
              </w:rPr>
            </w:pPr>
          </w:p>
        </w:tc>
        <w:tc>
          <w:tcPr>
            <w:tcW w:w="9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Unvested as of October 31, 2011</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107,438</w:t>
            </w:r>
          </w:p>
        </w:tc>
        <w:tc>
          <w:tcPr>
            <w:tcW w:w="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26.52</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48,524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33.61</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(38,950)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24.84</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500" w:type="dxa"/>
            <w:vAlign w:val="bottom"/>
          </w:tcPr>
          <w:p>
            <w:pPr>
              <w:spacing w:after="0"/>
              <w:rPr>
                <w:sz w:val="20"/>
                <w:szCs w:val="20"/>
                <w:color w:val="auto"/>
              </w:rPr>
            </w:pPr>
            <w:r>
              <w:rPr>
                <w:rFonts w:ascii="Arial" w:cs="Arial" w:eastAsia="Arial" w:hAnsi="Arial"/>
                <w:sz w:val="14"/>
                <w:szCs w:val="14"/>
                <w:b w:val="1"/>
                <w:bCs w:val="1"/>
                <w:color w:val="auto"/>
              </w:rPr>
              <w:t>Forfeited</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(2,098)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29.81</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95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2012</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114,914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30.02</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120" w:firstLine="137"/>
        <w:spacing w:after="0" w:line="239" w:lineRule="auto"/>
        <w:rPr>
          <w:sz w:val="20"/>
          <w:szCs w:val="20"/>
          <w:color w:val="auto"/>
        </w:rPr>
      </w:pPr>
      <w:r>
        <w:rPr>
          <w:rFonts w:ascii="Arial" w:cs="Arial" w:eastAsia="Arial" w:hAnsi="Arial"/>
          <w:sz w:val="18"/>
          <w:szCs w:val="18"/>
          <w:color w:val="auto"/>
        </w:rPr>
        <w:t>As of October 31, 2012, there was $1,742 of total unrecognized compensation expense related to unvested restricted stock awards. That cost is expected to be recognized over a weighted-average period of 2.2 years.</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The company grants performance share awards to executive officers and other employees under which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granted on an annual basis in the first quarter of the company's fiscal year. Compensation expense is recognized for these awards on a straight-line basis over the vesting period based on the per share fair value as of the date of grant and the probability of achieving performance goals.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granted performance share awards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50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fair value at date of grant</w:t>
            </w:r>
          </w:p>
        </w:tc>
        <w:tc>
          <w:tcPr>
            <w:tcW w:w="25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28.24</w:t>
            </w:r>
          </w:p>
        </w:tc>
        <w:tc>
          <w:tcPr>
            <w:tcW w:w="72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31.76</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20.37</w:t>
            </w:r>
          </w:p>
        </w:tc>
        <w:tc>
          <w:tcPr>
            <w:tcW w:w="160" w:type="dxa"/>
            <w:vAlign w:val="bottom"/>
            <w:shd w:val="clear" w:color="auto" w:fill="CCEEFF"/>
          </w:tcPr>
          <w:p>
            <w:pPr>
              <w:spacing w:after="0"/>
              <w:rPr>
                <w:sz w:val="13"/>
                <w:szCs w:val="13"/>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performance share awards vested</w:t>
            </w:r>
          </w:p>
        </w:tc>
        <w:tc>
          <w:tcPr>
            <w:tcW w:w="2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1,828</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60" w:type="dxa"/>
            <w:vAlign w:val="bottom"/>
          </w:tcPr>
          <w:p>
            <w:pPr>
              <w:spacing w:after="0"/>
              <w:rPr>
                <w:sz w:val="16"/>
                <w:szCs w:val="16"/>
                <w:color w:val="auto"/>
              </w:rPr>
            </w:pP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activity during fiscal 2012 for unvested performance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16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Average Fair</w:t>
            </w: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Value at</w:t>
            </w: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Date</w:t>
            </w:r>
          </w:p>
        </w:tc>
      </w:tr>
      <w:tr>
        <w:trPr>
          <w:trHeight w:val="178"/>
        </w:trPr>
        <w:tc>
          <w:tcPr>
            <w:tcW w:w="20" w:type="dxa"/>
            <w:vAlign w:val="bottom"/>
          </w:tcPr>
          <w:p>
            <w:pPr>
              <w:spacing w:after="0"/>
              <w:rPr>
                <w:sz w:val="15"/>
                <w:szCs w:val="15"/>
                <w:color w:val="auto"/>
              </w:rPr>
            </w:pPr>
          </w:p>
        </w:tc>
        <w:tc>
          <w:tcPr>
            <w:tcW w:w="9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of Grant</w:t>
            </w:r>
          </w:p>
        </w:tc>
      </w:tr>
      <w:tr>
        <w:trPr>
          <w:trHeight w:val="162"/>
        </w:trPr>
        <w:tc>
          <w:tcPr>
            <w:tcW w:w="20" w:type="dxa"/>
            <w:vAlign w:val="bottom"/>
          </w:tcPr>
          <w:p>
            <w:pPr>
              <w:spacing w:after="0"/>
              <w:rPr>
                <w:sz w:val="14"/>
                <w:szCs w:val="14"/>
                <w:color w:val="auto"/>
              </w:rPr>
            </w:pPr>
          </w:p>
        </w:tc>
        <w:tc>
          <w:tcPr>
            <w:tcW w:w="9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Unvested as of October 31, 2011</w:t>
            </w: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637,996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20.88</w:t>
            </w:r>
          </w:p>
        </w:tc>
        <w:tc>
          <w:tcPr>
            <w:tcW w:w="1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8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202,400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28.24</w:t>
            </w: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(64,268)</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14.31</w:t>
            </w:r>
          </w:p>
        </w:tc>
        <w:tc>
          <w:tcPr>
            <w:tcW w:w="1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280" w:type="dxa"/>
            <w:vAlign w:val="bottom"/>
          </w:tcPr>
          <w:p>
            <w:pPr>
              <w:spacing w:after="0"/>
              <w:rPr>
                <w:sz w:val="20"/>
                <w:szCs w:val="20"/>
                <w:color w:val="auto"/>
              </w:rPr>
            </w:pPr>
            <w:r>
              <w:rPr>
                <w:rFonts w:ascii="Arial" w:cs="Arial" w:eastAsia="Arial" w:hAnsi="Arial"/>
                <w:sz w:val="14"/>
                <w:szCs w:val="14"/>
                <w:b w:val="1"/>
                <w:bCs w:val="1"/>
                <w:color w:val="auto"/>
              </w:rPr>
              <w:t>Forfeited</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(192,796)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14.31</w:t>
            </w:r>
          </w:p>
        </w:tc>
        <w:tc>
          <w:tcPr>
            <w:tcW w:w="1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9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Unvested as of October 31, 2012</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583,332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26.33</w:t>
            </w:r>
          </w:p>
        </w:tc>
        <w:tc>
          <w:tcPr>
            <w:tcW w:w="1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19" w:lineRule="exact"/>
        <w:rPr>
          <w:sz w:val="20"/>
          <w:szCs w:val="20"/>
          <w:color w:val="auto"/>
        </w:rPr>
      </w:pPr>
    </w:p>
    <w:p>
      <w:pPr>
        <w:ind w:right="360" w:firstLine="137"/>
        <w:spacing w:after="0" w:line="239" w:lineRule="auto"/>
        <w:rPr>
          <w:sz w:val="20"/>
          <w:szCs w:val="20"/>
          <w:color w:val="auto"/>
        </w:rPr>
      </w:pPr>
      <w:r>
        <w:rPr>
          <w:rFonts w:ascii="Arial" w:cs="Arial" w:eastAsia="Arial" w:hAnsi="Arial"/>
          <w:sz w:val="18"/>
          <w:szCs w:val="18"/>
          <w:color w:val="auto"/>
        </w:rPr>
        <w:t>As of October 31, 2012, there was $3,222 of total unrecognized compensation expense related to unvested performance share awards. That cost is expected to be recognized over a weighted-average period of 1.6 years.</w:t>
      </w:r>
    </w:p>
    <w:p>
      <w:pPr>
        <w:sectPr>
          <w:pgSz w:w="11900" w:h="16838" w:orient="portrait"/>
          <w:cols w:equalWidth="0" w:num="1">
            <w:col w:w="11420"/>
          </w:cols>
          <w:pgMar w:left="240" w:top="143" w:right="239" w:bottom="105"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05" w:gutter="0" w:footer="0" w:header="0"/>
          <w:type w:val="continuous"/>
        </w:sectPr>
      </w:pPr>
    </w:p>
    <w:bookmarkStart w:id="60" w:name="page61"/>
    <w:bookmarkEnd w:id="60"/>
    <w:p>
      <w:pPr>
        <w:spacing w:after="0"/>
        <w:tabs>
          <w:tab w:leader="none" w:pos="900" w:val="left"/>
        </w:tabs>
        <w:rPr>
          <w:sz w:val="20"/>
          <w:szCs w:val="20"/>
          <w:color w:val="auto"/>
        </w:rPr>
      </w:pPr>
      <w:r>
        <w:rPr>
          <w:rFonts w:ascii="Arial" w:cs="Arial" w:eastAsia="Arial" w:hAnsi="Arial"/>
          <w:sz w:val="43"/>
          <w:szCs w:val="43"/>
          <w:b w:val="1"/>
          <w:bCs w:val="1"/>
          <w:color w:val="auto"/>
        </w:rPr>
        <w:t>11</w:t>
      </w:r>
      <w:r>
        <w:rPr>
          <w:sz w:val="20"/>
          <w:szCs w:val="20"/>
          <w:color w:val="auto"/>
        </w:rPr>
        <w:tab/>
      </w:r>
      <w:r>
        <w:rPr>
          <w:rFonts w:ascii="Arial" w:cs="Arial" w:eastAsia="Arial" w:hAnsi="Arial"/>
          <w:sz w:val="21"/>
          <w:szCs w:val="21"/>
          <w:b w:val="1"/>
          <w:bCs w:val="1"/>
          <w:color w:val="auto"/>
        </w:rPr>
        <w:t>EMPLOYEE RETIREMENT PLANS</w:t>
      </w:r>
    </w:p>
    <w:p>
      <w:pPr>
        <w:spacing w:after="0" w:line="27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$14,304, $12,686, and $15,500 for the fiscal years ended October 31, 2012, 2011, and 2010, respectively.</w:t>
      </w:r>
    </w:p>
    <w:p>
      <w:pPr>
        <w:spacing w:after="0" w:line="163" w:lineRule="exact"/>
        <w:rPr>
          <w:sz w:val="20"/>
          <w:szCs w:val="20"/>
          <w:color w:val="auto"/>
        </w:rPr>
      </w:pPr>
    </w:p>
    <w:p>
      <w:pPr>
        <w:ind w:right="40" w:firstLine="146"/>
        <w:spacing w:after="0" w:line="236" w:lineRule="auto"/>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 the U.S. and the United Kingdom. The projected benefit obligation of these plans as of October 31, 2012 and 2011 was $41,701 and $40,989, respectively, and the net liability amount recognized in the consolidated balance sheets as of October 31, 2012 and 2011 was $3,881 and $4,467, respectively. The accumulated benefit obligation of these plans as of October 31, 2012 and 2011 was $39,612 and $38,446, respectively. The funded status of these plans as of October 31, 2012 and 2011 was $10,510 and $10,847, respectively. The fair value of the plan assets as of October 31, 2012 and 2011 was $31,191 and $30,141, respectively. The net expense recognized in the consolidated financial statements for these plans was $703, $1,520, and $326 for the fiscal years ended October 31, 2012, 2011, and 2010, respectively.</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0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Defined</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Benefit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720" w:type="dxa"/>
            <w:vAlign w:val="bottom"/>
            <w:gridSpan w:val="2"/>
          </w:tcPr>
          <w:p>
            <w:pPr>
              <w:spacing w:after="0"/>
              <w:rPr>
                <w:sz w:val="20"/>
                <w:szCs w:val="20"/>
                <w:color w:val="auto"/>
              </w:rPr>
            </w:pPr>
            <w:r>
              <w:rPr>
                <w:rFonts w:ascii="Arial" w:cs="Arial" w:eastAsia="Arial" w:hAnsi="Arial"/>
                <w:sz w:val="14"/>
                <w:szCs w:val="14"/>
                <w:color w:val="auto"/>
              </w:rPr>
              <w:t>Fiscal years ended</w:t>
            </w:r>
          </w:p>
        </w:tc>
        <w:tc>
          <w:tcPr>
            <w:tcW w:w="3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Pension</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572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3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Plans</w:t>
            </w:r>
          </w:p>
        </w:tc>
        <w:tc>
          <w:tcPr>
            <w:tcW w:w="18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Benefit Plans</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2012</w:t>
            </w:r>
          </w:p>
        </w:tc>
        <w:tc>
          <w:tcPr>
            <w:tcW w:w="3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b w:val="1"/>
                <w:bCs w:val="1"/>
                <w:color w:val="auto"/>
              </w:rPr>
              <w:t>Net actuarial loss</w:t>
            </w: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3,316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926</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$ 4,242</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 (credit)</w:t>
            </w:r>
          </w:p>
        </w:tc>
        <w:tc>
          <w:tcPr>
            <w:tcW w:w="3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324</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86</w:t>
            </w:r>
          </w:p>
        </w:tc>
        <w:tc>
          <w:tcPr>
            <w:tcW w:w="140" w:type="dxa"/>
            <w:vAlign w:val="bottom"/>
            <w:shd w:val="clear" w:color="auto" w:fill="CCEEFF"/>
          </w:tcPr>
          <w:p>
            <w:pPr>
              <w:spacing w:after="0"/>
              <w:rPr>
                <w:sz w:val="14"/>
                <w:szCs w:val="14"/>
                <w:color w:val="auto"/>
              </w:rPr>
            </w:pPr>
          </w:p>
        </w:tc>
      </w:tr>
      <w:tr>
        <w:trPr>
          <w:trHeight w:val="27"/>
        </w:trPr>
        <w:tc>
          <w:tcPr>
            <w:tcW w:w="5720" w:type="dxa"/>
            <w:vAlign w:val="bottom"/>
            <w:gridSpan w:val="2"/>
          </w:tcPr>
          <w:p>
            <w:pPr>
              <w:spacing w:after="0"/>
              <w:rPr>
                <w:sz w:val="2"/>
                <w:szCs w:val="2"/>
                <w:color w:val="auto"/>
              </w:rPr>
            </w:pPr>
          </w:p>
        </w:tc>
        <w:tc>
          <w:tcPr>
            <w:tcW w:w="3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Accumulated other comprehensive loss</w:t>
            </w:r>
          </w:p>
        </w:tc>
        <w:tc>
          <w:tcPr>
            <w:tcW w:w="3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3,640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688</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$ 4,328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2011</w:t>
            </w:r>
          </w:p>
        </w:tc>
        <w:tc>
          <w:tcPr>
            <w:tcW w:w="3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572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3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2,164</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$ 3,952</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3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(152)</w:t>
            </w:r>
          </w:p>
        </w:tc>
      </w:tr>
      <w:tr>
        <w:trPr>
          <w:trHeight w:val="27"/>
        </w:trPr>
        <w:tc>
          <w:tcPr>
            <w:tcW w:w="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1,820</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$ 3,800</w:t>
            </w:r>
          </w:p>
        </w:tc>
        <w:tc>
          <w:tcPr>
            <w:tcW w:w="140" w:type="dxa"/>
            <w:vAlign w:val="bottom"/>
          </w:tcPr>
          <w:p>
            <w:pPr>
              <w:spacing w:after="0"/>
              <w:rPr>
                <w:sz w:val="15"/>
                <w:szCs w:val="15"/>
                <w:color w:val="auto"/>
              </w:rPr>
            </w:pPr>
          </w:p>
        </w:tc>
      </w:tr>
    </w:tbl>
    <w:p>
      <w:pPr>
        <w:spacing w:after="0" w:line="219" w:lineRule="exact"/>
        <w:rPr>
          <w:sz w:val="20"/>
          <w:szCs w:val="20"/>
          <w:color w:val="auto"/>
        </w:rPr>
      </w:pPr>
    </w:p>
    <w:p>
      <w:pPr>
        <w:ind w:right="400" w:firstLine="143"/>
        <w:spacing w:after="0" w:line="239" w:lineRule="auto"/>
        <w:rPr>
          <w:sz w:val="20"/>
          <w:szCs w:val="20"/>
          <w:color w:val="auto"/>
        </w:rPr>
      </w:pPr>
      <w:r>
        <w:rPr>
          <w:rFonts w:ascii="Arial" w:cs="Arial" w:eastAsia="Arial" w:hAnsi="Arial"/>
          <w:sz w:val="18"/>
          <w:szCs w:val="18"/>
          <w:color w:val="auto"/>
        </w:rPr>
        <w:t>The following amounts are included in accumulated other comprehensive loss as of October 31, 2012 and are expected to be recognized as components of net periodic benefit cost during fiscal 2013.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9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Defined</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Other</w:t>
            </w: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Benefit</w:t>
            </w:r>
          </w:p>
        </w:tc>
        <w:tc>
          <w:tcPr>
            <w:tcW w:w="2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7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Pension Plans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Benefit Plans</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gridSpan w:val="2"/>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actuarial loss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$ 574</w:t>
            </w:r>
          </w:p>
        </w:tc>
        <w:tc>
          <w:tcPr>
            <w:tcW w:w="1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4"/>
                <w:szCs w:val="14"/>
                <w:b w:val="1"/>
                <w:bCs w:val="1"/>
                <w:color w:val="auto"/>
              </w:rPr>
              <w:t>Net prior service cost (credit)</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(168)</w:t>
            </w:r>
          </w:p>
        </w:tc>
        <w:tc>
          <w:tcPr>
            <w:tcW w:w="140" w:type="dxa"/>
            <w:vAlign w:val="bottom"/>
          </w:tcPr>
          <w:p>
            <w:pPr>
              <w:spacing w:after="0"/>
              <w:rPr>
                <w:sz w:val="16"/>
                <w:szCs w:val="16"/>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(114)</w:t>
            </w:r>
          </w:p>
        </w:tc>
      </w:tr>
      <w:tr>
        <w:trPr>
          <w:trHeight w:val="156"/>
        </w:trPr>
        <w:tc>
          <w:tcPr>
            <w:tcW w:w="20" w:type="dxa"/>
            <w:vAlign w:val="bottom"/>
          </w:tcPr>
          <w:p>
            <w:pPr>
              <w:spacing w:after="0"/>
              <w:rPr>
                <w:sz w:val="13"/>
                <w:szCs w:val="13"/>
                <w:color w:val="auto"/>
              </w:rPr>
            </w:pPr>
          </w:p>
        </w:tc>
        <w:tc>
          <w:tcPr>
            <w:tcW w:w="7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577</w:t>
            </w:r>
          </w:p>
        </w:tc>
        <w:tc>
          <w:tcPr>
            <w:tcW w:w="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w:t>
            </w:r>
          </w:p>
        </w:tc>
        <w:tc>
          <w:tcPr>
            <w:tcW w:w="4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$ 460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424"/>
        </w:trPr>
        <w:tc>
          <w:tcPr>
            <w:tcW w:w="20" w:type="dxa"/>
            <w:vAlign w:val="bottom"/>
          </w:tcPr>
          <w:p>
            <w:pPr>
              <w:spacing w:after="0"/>
              <w:rPr>
                <w:sz w:val="24"/>
                <w:szCs w:val="24"/>
                <w:color w:val="auto"/>
              </w:rPr>
            </w:pPr>
          </w:p>
        </w:tc>
        <w:tc>
          <w:tcPr>
            <w:tcW w:w="7920" w:type="dxa"/>
            <w:vAlign w:val="bottom"/>
          </w:tcPr>
          <w:p>
            <w:pPr>
              <w:ind w:left="120"/>
              <w:spacing w:after="0"/>
              <w:rPr>
                <w:sz w:val="20"/>
                <w:szCs w:val="20"/>
                <w:color w:val="auto"/>
              </w:rPr>
            </w:pPr>
            <w:r>
              <w:rPr>
                <w:rFonts w:ascii="Arial" w:cs="Arial" w:eastAsia="Arial" w:hAnsi="Arial"/>
                <w:sz w:val="18"/>
                <w:szCs w:val="18"/>
                <w:color w:val="auto"/>
              </w:rPr>
              <w:t>Amounts recognized in net periodic benefit cost and other comprehensive income consisted of:</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7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60"/>
        </w:trPr>
        <w:tc>
          <w:tcPr>
            <w:tcW w:w="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7940" w:type="dxa"/>
            <w:vAlign w:val="bottom"/>
            <w:gridSpan w:val="2"/>
          </w:tcPr>
          <w:p>
            <w:pPr>
              <w:spacing w:after="0"/>
              <w:rPr>
                <w:sz w:val="20"/>
                <w:szCs w:val="20"/>
                <w:color w:val="auto"/>
              </w:rPr>
            </w:pPr>
            <w:r>
              <w:rPr>
                <w:rFonts w:ascii="Arial" w:cs="Arial" w:eastAsia="Arial" w:hAnsi="Arial"/>
                <w:sz w:val="14"/>
                <w:szCs w:val="14"/>
                <w:color w:val="auto"/>
              </w:rPr>
              <w:t>Fiscal years ended</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Defined Benefit</w:t>
            </w: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8"/>
        </w:trPr>
        <w:tc>
          <w:tcPr>
            <w:tcW w:w="794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Pension Plans</w:t>
            </w:r>
          </w:p>
        </w:tc>
        <w:tc>
          <w:tcPr>
            <w:tcW w:w="200" w:type="dxa"/>
            <w:vAlign w:val="bottom"/>
          </w:tcPr>
          <w:p>
            <w:pPr>
              <w:spacing w:after="0"/>
              <w:rPr>
                <w:sz w:val="15"/>
                <w:szCs w:val="15"/>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Benefit Plans</w:t>
            </w:r>
          </w:p>
        </w:tc>
        <w:tc>
          <w:tcPr>
            <w:tcW w:w="14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Pr>
          <w:p>
            <w:pPr>
              <w:spacing w:after="0"/>
              <w:rPr>
                <w:sz w:val="14"/>
                <w:szCs w:val="14"/>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b w:val="1"/>
                <w:bCs w:val="1"/>
                <w:color w:val="auto"/>
              </w:rPr>
              <w:t>Net actuarial loss (gain)</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298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(1,130</w:t>
            </w: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(832</w:t>
            </w: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Curtailment loss</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311</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311</w:t>
            </w:r>
          </w:p>
        </w:tc>
        <w:tc>
          <w:tcPr>
            <w:tcW w:w="1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b w:val="1"/>
                <w:bCs w:val="1"/>
                <w:color w:val="auto"/>
              </w:rPr>
              <w:t>Prior service cost</w:t>
            </w:r>
          </w:p>
        </w:tc>
        <w:tc>
          <w:tcPr>
            <w:tcW w:w="6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186</w:t>
            </w:r>
          </w:p>
        </w:tc>
        <w:tc>
          <w:tcPr>
            <w:tcW w:w="2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186</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unrecognized prior service (credit) cost</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106</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51</w:t>
            </w:r>
          </w:p>
        </w:tc>
        <w:tc>
          <w:tcPr>
            <w:tcW w:w="1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 of unrecognized actuarial loss (gain)</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919</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recognized in other comprehensive loss (income)</w:t>
            </w:r>
          </w:p>
        </w:tc>
        <w:tc>
          <w:tcPr>
            <w:tcW w:w="6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1,659</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(1,131</w:t>
            </w:r>
            <w:r>
              <w:rPr>
                <w:rFonts w:ascii="Arial" w:cs="Arial" w:eastAsia="Arial" w:hAnsi="Arial"/>
                <w:sz w:val="14"/>
                <w:szCs w:val="14"/>
                <w:color w:val="auto"/>
              </w:rPr>
              <w:t>)</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528</w:t>
            </w:r>
          </w:p>
        </w:tc>
        <w:tc>
          <w:tcPr>
            <w:tcW w:w="140" w:type="dxa"/>
            <w:vAlign w:val="bottom"/>
            <w:shd w:val="clear" w:color="auto" w:fill="CCEEFF"/>
          </w:tcPr>
          <w:p>
            <w:pPr>
              <w:spacing w:after="0"/>
              <w:rPr>
                <w:sz w:val="13"/>
                <w:szCs w:val="13"/>
                <w:color w:val="auto"/>
              </w:rPr>
            </w:pPr>
          </w:p>
        </w:tc>
      </w:tr>
      <w:tr>
        <w:trPr>
          <w:trHeight w:val="27"/>
        </w:trPr>
        <w:tc>
          <w:tcPr>
            <w:tcW w:w="79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recognized in net periodic benefit cost and other comprehensive loss (income)</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(291</w:t>
            </w:r>
            <w:r>
              <w:rPr>
                <w:rFonts w:ascii="Arial" w:cs="Arial" w:eastAsia="Arial" w:hAnsi="Arial"/>
                <w:sz w:val="14"/>
                <w:szCs w:val="14"/>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$ 1,231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2011</w:t>
            </w: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62"/>
        </w:trPr>
        <w:tc>
          <w:tcPr>
            <w:tcW w:w="794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431</w:t>
            </w: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unrecognized prior service (credit) cost</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4"/>
                <w:szCs w:val="14"/>
                <w:color w:val="auto"/>
              </w:rPr>
            </w:pPr>
          </w:p>
        </w:tc>
      </w:tr>
      <w:tr>
        <w:trPr>
          <w:trHeight w:val="183"/>
        </w:trPr>
        <w:tc>
          <w:tcPr>
            <w:tcW w:w="7940" w:type="dxa"/>
            <w:vAlign w:val="bottom"/>
            <w:gridSpan w:val="2"/>
          </w:tcPr>
          <w:p>
            <w:pPr>
              <w:spacing w:after="0"/>
              <w:rPr>
                <w:sz w:val="20"/>
                <w:szCs w:val="20"/>
                <w:color w:val="auto"/>
              </w:rPr>
            </w:pPr>
            <w:r>
              <w:rPr>
                <w:rFonts w:ascii="Arial" w:cs="Arial" w:eastAsia="Arial" w:hAnsi="Arial"/>
                <w:sz w:val="14"/>
                <w:szCs w:val="14"/>
                <w:color w:val="auto"/>
              </w:rPr>
              <w:t>Amortization of unrecognized actuarial loss (gain)</w:t>
            </w:r>
          </w:p>
        </w:tc>
        <w:tc>
          <w:tcPr>
            <w:tcW w:w="64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2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4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r>
      <w:tr>
        <w:trPr>
          <w:trHeight w:val="162"/>
        </w:trPr>
        <w:tc>
          <w:tcPr>
            <w:tcW w:w="20" w:type="dxa"/>
            <w:vAlign w:val="bottom"/>
          </w:tcPr>
          <w:p>
            <w:pPr>
              <w:spacing w:after="0"/>
              <w:rPr>
                <w:sz w:val="14"/>
                <w:szCs w:val="14"/>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recognized in other comprehensive loss (income)</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7"/>
        </w:trPr>
        <w:tc>
          <w:tcPr>
            <w:tcW w:w="7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recognized in net periodic benefit cost and other comprehensive loss (income)</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1,345</w:t>
            </w: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8"/>
              </w:rPr>
              <w:t>$ 2,059</w:t>
            </w:r>
          </w:p>
        </w:tc>
        <w:tc>
          <w:tcPr>
            <w:tcW w:w="140" w:type="dxa"/>
            <w:vAlign w:val="bottom"/>
          </w:tcPr>
          <w:p>
            <w:pPr>
              <w:spacing w:after="0"/>
              <w:rPr>
                <w:sz w:val="15"/>
                <w:szCs w:val="15"/>
                <w:color w:val="auto"/>
              </w:rPr>
            </w:pPr>
          </w:p>
        </w:tc>
      </w:tr>
    </w:tbl>
    <w:p>
      <w:pPr>
        <w:spacing w:after="0" w:line="219" w:lineRule="exact"/>
        <w:rPr>
          <w:sz w:val="20"/>
          <w:szCs w:val="20"/>
          <w:color w:val="auto"/>
        </w:rPr>
      </w:pPr>
    </w:p>
    <w:p>
      <w:pPr>
        <w:ind w:right="440" w:firstLine="143"/>
        <w:spacing w:after="0" w:line="239" w:lineRule="auto"/>
        <w:rPr>
          <w:sz w:val="20"/>
          <w:szCs w:val="20"/>
          <w:color w:val="auto"/>
        </w:rPr>
      </w:pPr>
      <w:r>
        <w:rPr>
          <w:rFonts w:ascii="Arial" w:cs="Arial" w:eastAsia="Arial" w:hAnsi="Arial"/>
          <w:sz w:val="18"/>
          <w:szCs w:val="18"/>
          <w:color w:val="auto"/>
        </w:rPr>
        <w:t>The company has omitted the remaining disclosures for its defined benefit plans and postretirement healthcare plan as the company deems these plans to be immaterial to its consolidated financial position and results of operations.</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12</w:t>
      </w:r>
      <w:r>
        <w:rPr>
          <w:sz w:val="20"/>
          <w:szCs w:val="20"/>
          <w:color w:val="auto"/>
        </w:rPr>
        <w:tab/>
      </w:r>
      <w:r>
        <w:rPr>
          <w:rFonts w:ascii="Arial" w:cs="Arial" w:eastAsia="Arial" w:hAnsi="Arial"/>
          <w:sz w:val="19"/>
          <w:szCs w:val="19"/>
          <w:b w:val="1"/>
          <w:bCs w:val="1"/>
          <w:color w:val="auto"/>
        </w:rPr>
        <w:t>SEGMENT DATA</w:t>
      </w:r>
    </w:p>
    <w:p>
      <w:pPr>
        <w:spacing w:after="0" w:line="27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company's businesses are organized, managed, and internally grouped into segments based on differences in products and services. Segment selection was based on the manner in which management organizes segments for making operating decisions and assessing performance. The company has identified eight operating segments and has aggregated those segments into three reportable segments: Professional, Residential, and Distribution. The aggregation of the company's segments is based on the segments having the following similarities: economic characteristics, types of products and services, types of production processes, type or class of customers, and method of distribution. The company's Distribution segment, which consists of company-owned domestic distributorships, has been combined with the company's corporate activities and elimination of intersegment revenues and expenses and is shown as "Other" due to the insignificance of the segment.</w:t>
      </w:r>
    </w:p>
    <w:p>
      <w:pPr>
        <w:sectPr>
          <w:pgSz w:w="11900" w:h="16838" w:orient="portrait"/>
          <w:cols w:equalWidth="0" w:num="1">
            <w:col w:w="11420"/>
          </w:cols>
          <w:pgMar w:left="240" w:top="86" w:right="2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 w:right="239" w:bottom="1440" w:gutter="0" w:footer="0" w:header="0"/>
          <w:type w:val="continuous"/>
        </w:sectPr>
      </w:pPr>
    </w:p>
    <w:bookmarkStart w:id="61" w:name="page62"/>
    <w:bookmarkEnd w:id="61"/>
    <w:p>
      <w:pPr>
        <w:ind w:right="260" w:firstLine="143"/>
        <w:spacing w:after="0" w:line="236" w:lineRule="auto"/>
        <w:rPr>
          <w:sz w:val="20"/>
          <w:szCs w:val="20"/>
          <w:color w:val="auto"/>
        </w:rPr>
      </w:pPr>
      <w:r>
        <w:rPr>
          <w:rFonts w:ascii="Arial" w:cs="Arial" w:eastAsia="Arial" w:hAnsi="Arial"/>
          <w:sz w:val="18"/>
          <w:szCs w:val="18"/>
          <w:color w:val="auto"/>
        </w:rPr>
        <w:t>The Professional business segment consists of turf and landscape equipment and irrigation products. Turf and landscape equipment products include sports fields and grounds maintenance equipment, golf course mowing and maintenance equipment, landscape contractor mowing equipment, landscape creation and renovation equipment, rental and construction equipment, and other maintenance equipment. Irrigation and lighting products consist of sprinkler heads, electric and hydraulic valves, controllers, computer irrigation central control systems, and micro-irrigation drip tape and hose products, as well as professionally installed lighting products offered through distributors and landscape contractors that also purchase irrigation products. Professional business segment products are sold mainly through a network of distributors and dealers to professional users engaged in maintaining golf courses, sports fields, municipal properties, agricultural fields, and residential and commercial landscapes, as well as directly to government customers, rental companies, and large retailers.</w:t>
      </w:r>
    </w:p>
    <w:p>
      <w:pPr>
        <w:spacing w:after="0" w:line="208" w:lineRule="exact"/>
        <w:rPr>
          <w:sz w:val="20"/>
          <w:szCs w:val="20"/>
          <w:color w:val="auto"/>
        </w:rPr>
      </w:pPr>
    </w:p>
    <w:p>
      <w:pPr>
        <w:ind w:right="340" w:firstLine="143"/>
        <w:spacing w:after="0" w:line="237" w:lineRule="auto"/>
        <w:rPr>
          <w:sz w:val="20"/>
          <w:szCs w:val="20"/>
          <w:color w:val="auto"/>
        </w:rPr>
      </w:pPr>
      <w:r>
        <w:rPr>
          <w:rFonts w:ascii="Arial" w:cs="Arial" w:eastAsia="Arial" w:hAnsi="Arial"/>
          <w:sz w:val="18"/>
          <w:szCs w:val="18"/>
          <w:color w:val="auto"/>
        </w:rPr>
        <w:t>The Residential business segment consists of walk power mowers, riding mowers, snow throwers, replacement parts, and home solutions products, including trimmers, blowers, blower-vacuums, and underground and hose-end retail irrigation products sold in Australia. Residential business segment products are sold to homeowners through a network of distributors and dealers, and through a broad array of home centers, hardware retailers, and mass retailers, as well as over the Internet.</w:t>
      </w:r>
    </w:p>
    <w:p>
      <w:pPr>
        <w:spacing w:after="0" w:line="209" w:lineRule="exact"/>
        <w:rPr>
          <w:sz w:val="20"/>
          <w:szCs w:val="20"/>
          <w:color w:val="auto"/>
        </w:rPr>
      </w:pPr>
    </w:p>
    <w:p>
      <w:pPr>
        <w:ind w:right="60" w:firstLine="143"/>
        <w:spacing w:after="0" w:line="281" w:lineRule="auto"/>
        <w:rPr>
          <w:sz w:val="20"/>
          <w:szCs w:val="20"/>
          <w:color w:val="auto"/>
        </w:rPr>
      </w:pPr>
      <w:r>
        <w:rPr>
          <w:rFonts w:ascii="Arial" w:cs="Arial" w:eastAsia="Arial" w:hAnsi="Arial"/>
          <w:sz w:val="16"/>
          <w:szCs w:val="16"/>
          <w:color w:val="auto"/>
        </w:rPr>
        <w:t>The Other segment consists of the company's distribution segment and corporate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parts inventory, and deferred tax assets.</w:t>
      </w:r>
    </w:p>
    <w:p>
      <w:pPr>
        <w:spacing w:after="0" w:line="178" w:lineRule="exact"/>
        <w:rPr>
          <w:sz w:val="20"/>
          <w:szCs w:val="20"/>
          <w:color w:val="auto"/>
        </w:rPr>
      </w:pPr>
    </w:p>
    <w:p>
      <w:pPr>
        <w:ind w:right="260" w:firstLine="143"/>
        <w:spacing w:after="0" w:line="236"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Operating loss for the Other segment includes earnings (loss) from domestic wholly owned distribution companies,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 w:type="dxa"/>
            <w:vAlign w:val="bottom"/>
          </w:tcPr>
          <w:p>
            <w:pPr>
              <w:spacing w:after="0"/>
              <w:rPr>
                <w:sz w:val="17"/>
                <w:szCs w:val="17"/>
                <w:color w:val="auto"/>
              </w:rPr>
            </w:pPr>
          </w:p>
        </w:tc>
        <w:tc>
          <w:tcPr>
            <w:tcW w:w="756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Professional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8"/>
              </w:rPr>
              <w:t>Residential</w:t>
            </w: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Other</w:t>
            </w: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1,329,504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607,435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21,751</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$1,958,690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37,324</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(37,350)</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232,104</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57,889</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(93,731)</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196,262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527,159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169,899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238,141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935,199</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Capital expenditures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29,313</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4,164</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9,765</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43,242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34,876</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10,919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7,839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53,634</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7560" w:type="dxa"/>
            <w:vAlign w:val="bottom"/>
            <w:gridSpan w:val="5"/>
          </w:tcPr>
          <w:p>
            <w:pPr>
              <w:spacing w:after="0" w:line="155"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1,239,068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623,889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20,996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$1,883,953</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Intersegment gross sales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35,539</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3,560</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(39,099)</w:t>
            </w:r>
          </w:p>
        </w:tc>
        <w:tc>
          <w:tcPr>
            <w:tcW w:w="620" w:type="dxa"/>
            <w:vAlign w:val="bottom"/>
          </w:tcPr>
          <w:p>
            <w:pPr>
              <w:spacing w:after="0"/>
              <w:rPr>
                <w:sz w:val="14"/>
                <w:szCs w:val="1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205,009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54,410</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(84,593)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174,826</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497,388</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202,222</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8"/>
              </w:rPr>
              <w:t>171,053</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870,663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43,933</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5,615</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7,899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57,447</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31,380</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9,846</w:t>
            </w:r>
          </w:p>
        </w:tc>
        <w:tc>
          <w:tcPr>
            <w:tcW w:w="200" w:type="dxa"/>
            <w:vAlign w:val="bottom"/>
          </w:tcPr>
          <w:p>
            <w:pPr>
              <w:spacing w:after="0"/>
              <w:rPr>
                <w:sz w:val="15"/>
                <w:szCs w:val="15"/>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7,280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48,506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4"/>
                <w:szCs w:val="14"/>
                <w:color w:val="auto"/>
              </w:rPr>
              <w:t>2010</w:t>
            </w: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Net sales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1,085,457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589,677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15,244</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$1,690,378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Intersegment gross sales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17,271</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(17,758)</w:t>
            </w:r>
          </w:p>
        </w:tc>
        <w:tc>
          <w:tcPr>
            <w:tcW w:w="62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Earnings (loss) before income taxes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173,752</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57,956</w:t>
            </w:r>
          </w:p>
        </w:tc>
        <w:tc>
          <w:tcPr>
            <w:tcW w:w="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(90,440)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141,268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437,987</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173,919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8"/>
              </w:rPr>
              <w:t>273,716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885,622</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560" w:type="dxa"/>
            <w:vAlign w:val="bottom"/>
            <w:gridSpan w:val="5"/>
          </w:tcPr>
          <w:p>
            <w:pPr>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34,017</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8,599</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rPr>
              <w:t>6,083</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48,699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27,261</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10,259</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7,491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45,011</w:t>
            </w:r>
          </w:p>
        </w:tc>
        <w:tc>
          <w:tcPr>
            <w:tcW w:w="1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gridSpan w:val="4"/>
          </w:tcPr>
          <w:p>
            <w:pPr>
              <w:ind w:left="40"/>
              <w:spacing w:after="0"/>
              <w:rPr>
                <w:sz w:val="20"/>
                <w:szCs w:val="20"/>
                <w:color w:val="auto"/>
              </w:rPr>
            </w:pPr>
            <w:r>
              <w:rPr>
                <w:rFonts w:ascii="Arial" w:cs="Arial" w:eastAsia="Arial" w:hAnsi="Arial"/>
                <w:sz w:val="18"/>
                <w:szCs w:val="18"/>
                <w:color w:val="auto"/>
                <w:w w:val="97"/>
              </w:rPr>
              <w:t>The following table presents the details of the other segment operating loss before income taxes: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8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$(81,376)</w:t>
            </w:r>
          </w:p>
        </w:tc>
        <w:tc>
          <w:tcPr>
            <w:tcW w:w="800" w:type="dxa"/>
            <w:vAlign w:val="bottom"/>
            <w:gridSpan w:val="3"/>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$(72,726)</w:t>
            </w:r>
          </w:p>
        </w:tc>
        <w:tc>
          <w:tcPr>
            <w:tcW w:w="78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$(74,758)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(16,906)</w:t>
            </w:r>
          </w:p>
        </w:tc>
        <w:tc>
          <w:tcPr>
            <w:tcW w:w="200" w:type="dxa"/>
            <w:vAlign w:val="bottom"/>
          </w:tcPr>
          <w:p>
            <w:pPr>
              <w:spacing w:after="0"/>
              <w:rPr>
                <w:sz w:val="14"/>
                <w:szCs w:val="14"/>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color w:val="auto"/>
                <w:w w:val="95"/>
              </w:rPr>
              <w:t>(16,970)</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(17,113)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4,551</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160" w:type="dxa"/>
            <w:vAlign w:val="bottom"/>
            <w:tcBorders>
              <w:lef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$(93,731)</w:t>
            </w:r>
          </w:p>
        </w:tc>
        <w:tc>
          <w:tcPr>
            <w:tcW w:w="800" w:type="dxa"/>
            <w:vAlign w:val="bottom"/>
            <w:gridSpan w:val="3"/>
          </w:tcPr>
          <w:p>
            <w:pPr>
              <w:jc w:val="right"/>
              <w:ind w:right="8"/>
              <w:spacing w:after="0"/>
              <w:rPr>
                <w:sz w:val="20"/>
                <w:szCs w:val="20"/>
                <w:color w:val="auto"/>
              </w:rPr>
            </w:pPr>
            <w:r>
              <w:rPr>
                <w:rFonts w:ascii="Arial" w:cs="Arial" w:eastAsia="Arial" w:hAnsi="Arial"/>
                <w:sz w:val="14"/>
                <w:szCs w:val="14"/>
                <w:color w:val="auto"/>
              </w:rPr>
              <w:t>$(84,593)</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$(90,440)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gridSpan w:val="4"/>
          </w:tcPr>
          <w:p>
            <w:pPr>
              <w:ind w:left="40"/>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0" w:type="dxa"/>
            <w:vAlign w:val="bottom"/>
            <w:tcBorders>
              <w:bottom w:val="single" w:sz="8" w:color="auto"/>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Arial" w:cs="Arial" w:eastAsia="Arial" w:hAnsi="Arial"/>
                <w:sz w:val="14"/>
                <w:szCs w:val="14"/>
                <w:color w:val="auto"/>
              </w:rPr>
              <w:t>Fiscal years ended October 31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Equipment</w:t>
            </w:r>
          </w:p>
        </w:tc>
        <w:tc>
          <w:tcPr>
            <w:tcW w:w="10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$1,586,864</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$1,529,470</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$1,371,615</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Irrigation and lighting</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371,826</w:t>
            </w:r>
          </w:p>
        </w:tc>
        <w:tc>
          <w:tcPr>
            <w:tcW w:w="320" w:type="dxa"/>
            <w:vAlign w:val="bottom"/>
          </w:tcPr>
          <w:p>
            <w:pPr>
              <w:spacing w:after="0"/>
              <w:rPr>
                <w:sz w:val="16"/>
                <w:szCs w:val="16"/>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354,483</w:t>
            </w:r>
          </w:p>
        </w:tc>
        <w:tc>
          <w:tcPr>
            <w:tcW w:w="100" w:type="dxa"/>
            <w:vAlign w:val="bottom"/>
          </w:tcPr>
          <w:p>
            <w:pPr>
              <w:spacing w:after="0"/>
              <w:rPr>
                <w:sz w:val="16"/>
                <w:szCs w:val="16"/>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318,763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3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$1,958,690</w:t>
            </w:r>
          </w:p>
        </w:tc>
        <w:tc>
          <w:tcPr>
            <w:tcW w:w="102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$1,883,953</w:t>
            </w:r>
          </w:p>
        </w:tc>
        <w:tc>
          <w:tcPr>
            <w:tcW w:w="880" w:type="dxa"/>
            <w:vAlign w:val="bottom"/>
            <w:gridSpan w:val="3"/>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$1,690,378</w:t>
            </w:r>
          </w:p>
        </w:tc>
        <w:tc>
          <w:tcPr>
            <w:tcW w:w="40" w:type="dxa"/>
            <w:vAlign w:val="bottom"/>
            <w:tcBorders>
              <w:left w:val="single" w:sz="8" w:color="CCEE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7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100" w:type="dxa"/>
            <w:vAlign w:val="bottom"/>
          </w:tcPr>
          <w:p>
            <w:pPr>
              <w:spacing w:after="0"/>
              <w:rPr>
                <w:sz w:val="24"/>
                <w:szCs w:val="24"/>
                <w:color w:val="auto"/>
              </w:rPr>
            </w:pPr>
          </w:p>
        </w:tc>
        <w:tc>
          <w:tcPr>
            <w:tcW w:w="7560" w:type="dxa"/>
            <w:vAlign w:val="bottom"/>
            <w:gridSpan w:val="5"/>
          </w:tcPr>
          <w:p>
            <w:pPr>
              <w:ind w:left="55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ind w:left="160"/>
        <w:spacing w:after="0"/>
        <w:rPr>
          <w:sz w:val="20"/>
          <w:szCs w:val="20"/>
          <w:color w:val="auto"/>
        </w:rPr>
      </w:pPr>
      <w:r>
        <w:rPr>
          <w:rFonts w:ascii="Arial" w:cs="Arial" w:eastAsia="Arial" w:hAnsi="Arial"/>
          <w:sz w:val="18"/>
          <w:szCs w:val="18"/>
          <w:color w:val="auto"/>
        </w:rPr>
        <w:t>Sales to one customer accounted for 11 percent of consolidated net sales in both fiscal 2012 and 2011, and 13 percent in fiscal 2010.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net property, plant, and equipment, which is determined based on physical location in addition to allocated capital tooling from U.S. plant facilities.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46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8"/>
        </w:trPr>
        <w:tc>
          <w:tcPr>
            <w:tcW w:w="7280" w:type="dxa"/>
            <w:vAlign w:val="bottom"/>
            <w:gridSpan w:val="3"/>
          </w:tcPr>
          <w:p>
            <w:pPr>
              <w:ind w:left="100"/>
              <w:spacing w:after="0"/>
              <w:rPr>
                <w:sz w:val="20"/>
                <w:szCs w:val="20"/>
                <w:color w:val="auto"/>
              </w:rPr>
            </w:pPr>
            <w:r>
              <w:rPr>
                <w:rFonts w:ascii="Arial" w:cs="Arial" w:eastAsia="Arial" w:hAnsi="Arial"/>
                <w:sz w:val="14"/>
                <w:szCs w:val="14"/>
                <w:color w:val="auto"/>
              </w:rPr>
              <w:t>Fiscal years ended October 31</w:t>
            </w: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States</w:t>
            </w: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Countries</w:t>
            </w:r>
          </w:p>
        </w:tc>
        <w:tc>
          <w:tcPr>
            <w:tcW w:w="980" w:type="dxa"/>
            <w:vAlign w:val="bottom"/>
            <w:gridSpan w:val="2"/>
          </w:tcPr>
          <w:p>
            <w:pPr>
              <w:ind w:left="500"/>
              <w:spacing w:after="0"/>
              <w:rPr>
                <w:sz w:val="20"/>
                <w:szCs w:val="20"/>
                <w:color w:val="auto"/>
              </w:rPr>
            </w:pPr>
            <w:r>
              <w:rPr>
                <w:rFonts w:ascii="Arial" w:cs="Arial" w:eastAsia="Arial" w:hAnsi="Arial"/>
                <w:sz w:val="14"/>
                <w:szCs w:val="14"/>
                <w:color w:val="auto"/>
              </w:rPr>
              <w:t>Total</w:t>
            </w:r>
          </w:p>
        </w:tc>
      </w:tr>
      <w:tr>
        <w:trPr>
          <w:trHeight w:val="162"/>
        </w:trPr>
        <w:tc>
          <w:tcPr>
            <w:tcW w:w="10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2012</w:t>
            </w:r>
          </w:p>
        </w:tc>
        <w:tc>
          <w:tcPr>
            <w:tcW w:w="646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6460" w:type="dxa"/>
            <w:vAlign w:val="bottom"/>
          </w:tcPr>
          <w:p>
            <w:pPr>
              <w:spacing w:after="0"/>
              <w:rPr>
                <w:sz w:val="14"/>
                <w:szCs w:val="14"/>
                <w:color w:val="auto"/>
              </w:rPr>
            </w:pPr>
          </w:p>
        </w:tc>
        <w:tc>
          <w:tcPr>
            <w:tcW w:w="2220" w:type="dxa"/>
            <w:vAlign w:val="bottom"/>
          </w:tcPr>
          <w:p>
            <w:pPr>
              <w:jc w:val="right"/>
              <w:ind w:right="8"/>
              <w:spacing w:after="0"/>
              <w:rPr>
                <w:sz w:val="20"/>
                <w:szCs w:val="20"/>
                <w:color w:val="auto"/>
              </w:rPr>
            </w:pPr>
            <w:r>
              <w:rPr>
                <w:rFonts w:ascii="Arial" w:cs="Arial" w:eastAsia="Arial" w:hAnsi="Arial"/>
                <w:sz w:val="14"/>
                <w:szCs w:val="14"/>
                <w:b w:val="1"/>
                <w:bCs w:val="1"/>
                <w:color w:val="auto"/>
              </w:rPr>
              <w:t>$1,364,377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594,313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$1,958,690</w:t>
            </w:r>
          </w:p>
        </w:tc>
        <w:tc>
          <w:tcPr>
            <w:tcW w:w="1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137,708</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180,523</w:t>
            </w:r>
          </w:p>
        </w:tc>
        <w:tc>
          <w:tcPr>
            <w:tcW w:w="160" w:type="dxa"/>
            <w:vAlign w:val="bottom"/>
            <w:shd w:val="clear" w:color="auto" w:fill="CCEEFF"/>
          </w:tcPr>
          <w:p>
            <w:pPr>
              <w:spacing w:after="0"/>
              <w:rPr>
                <w:sz w:val="14"/>
                <w:szCs w:val="14"/>
                <w:color w:val="auto"/>
              </w:rPr>
            </w:pPr>
          </w:p>
        </w:tc>
      </w:tr>
      <w:tr>
        <w:trPr>
          <w:trHeight w:val="27"/>
        </w:trPr>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8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2011</w:t>
            </w:r>
          </w:p>
        </w:tc>
        <w:tc>
          <w:tcPr>
            <w:tcW w:w="64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0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46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$1,276,038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607,915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$1,883,953</w:t>
            </w:r>
          </w:p>
        </w:tc>
        <w:tc>
          <w:tcPr>
            <w:tcW w:w="160" w:type="dxa"/>
            <w:vAlign w:val="bottom"/>
            <w:shd w:val="clear" w:color="auto" w:fill="CCEEFF"/>
          </w:tcPr>
          <w:p>
            <w:pPr>
              <w:spacing w:after="0"/>
              <w:rPr>
                <w:sz w:val="14"/>
                <w:szCs w:val="14"/>
                <w:color w:val="auto"/>
              </w:rPr>
            </w:pPr>
          </w:p>
        </w:tc>
      </w:tr>
      <w:tr>
        <w:trPr>
          <w:trHeight w:val="183"/>
        </w:trPr>
        <w:tc>
          <w:tcPr>
            <w:tcW w:w="7280" w:type="dxa"/>
            <w:vAlign w:val="bottom"/>
            <w:gridSpan w:val="3"/>
          </w:tcPr>
          <w:p>
            <w:pPr>
              <w:ind w:left="100"/>
              <w:spacing w:after="0"/>
              <w:rPr>
                <w:sz w:val="20"/>
                <w:szCs w:val="20"/>
                <w:color w:val="auto"/>
              </w:rPr>
            </w:pPr>
            <w:r>
              <w:rPr>
                <w:rFonts w:ascii="Arial" w:cs="Arial" w:eastAsia="Arial" w:hAnsi="Arial"/>
                <w:sz w:val="14"/>
                <w:szCs w:val="14"/>
                <w:color w:val="auto"/>
              </w:rPr>
              <w:t>Long-lived assets</w:t>
            </w: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145,169</w:t>
            </w:r>
          </w:p>
        </w:tc>
        <w:tc>
          <w:tcPr>
            <w:tcW w:w="16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45,971</w:t>
            </w:r>
          </w:p>
        </w:tc>
        <w:tc>
          <w:tcPr>
            <w:tcW w:w="820" w:type="dxa"/>
            <w:vAlign w:val="bottom"/>
          </w:tcPr>
          <w:p>
            <w:pPr>
              <w:jc w:val="right"/>
              <w:spacing w:after="0"/>
              <w:rPr>
                <w:sz w:val="20"/>
                <w:szCs w:val="20"/>
                <w:color w:val="auto"/>
              </w:rPr>
            </w:pPr>
            <w:r>
              <w:rPr>
                <w:rFonts w:ascii="Arial" w:cs="Arial" w:eastAsia="Arial" w:hAnsi="Arial"/>
                <w:sz w:val="14"/>
                <w:szCs w:val="14"/>
                <w:color w:val="auto"/>
              </w:rPr>
              <w:t>191,140</w:t>
            </w:r>
          </w:p>
        </w:tc>
        <w:tc>
          <w:tcPr>
            <w:tcW w:w="160" w:type="dxa"/>
            <w:vAlign w:val="bottom"/>
          </w:tcPr>
          <w:p>
            <w:pPr>
              <w:spacing w:after="0"/>
              <w:rPr>
                <w:sz w:val="15"/>
                <w:szCs w:val="15"/>
                <w:color w:val="auto"/>
              </w:rPr>
            </w:pPr>
          </w:p>
        </w:tc>
      </w:tr>
      <w:tr>
        <w:trPr>
          <w:trHeight w:val="162"/>
        </w:trPr>
        <w:tc>
          <w:tcPr>
            <w:tcW w:w="10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2010</w:t>
            </w:r>
          </w:p>
        </w:tc>
        <w:tc>
          <w:tcPr>
            <w:tcW w:w="6460" w:type="dxa"/>
            <w:vAlign w:val="bottom"/>
            <w:tcBorders>
              <w:top w:val="single" w:sz="8" w:color="auto"/>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820" w:type="dxa"/>
            <w:vAlign w:val="bottom"/>
            <w:gridSpan w:val="2"/>
          </w:tcPr>
          <w:p>
            <w:pPr>
              <w:ind w:left="100"/>
              <w:spacing w:after="0"/>
              <w:rPr>
                <w:sz w:val="20"/>
                <w:szCs w:val="20"/>
                <w:color w:val="auto"/>
              </w:rPr>
            </w:pPr>
            <w:r>
              <w:rPr>
                <w:rFonts w:ascii="Arial" w:cs="Arial" w:eastAsia="Arial" w:hAnsi="Arial"/>
                <w:sz w:val="14"/>
                <w:szCs w:val="14"/>
                <w:color w:val="auto"/>
              </w:rPr>
              <w:t>Net sales</w:t>
            </w:r>
          </w:p>
        </w:tc>
        <w:tc>
          <w:tcPr>
            <w:tcW w:w="6460" w:type="dxa"/>
            <w:vAlign w:val="bottom"/>
          </w:tcPr>
          <w:p>
            <w:pPr>
              <w:spacing w:after="0"/>
              <w:rPr>
                <w:sz w:val="14"/>
                <w:szCs w:val="14"/>
                <w:color w:val="auto"/>
              </w:rPr>
            </w:pPr>
          </w:p>
        </w:tc>
        <w:tc>
          <w:tcPr>
            <w:tcW w:w="2220" w:type="dxa"/>
            <w:vAlign w:val="bottom"/>
          </w:tcPr>
          <w:p>
            <w:pPr>
              <w:jc w:val="right"/>
              <w:ind w:right="8"/>
              <w:spacing w:after="0"/>
              <w:rPr>
                <w:sz w:val="20"/>
                <w:szCs w:val="20"/>
                <w:color w:val="auto"/>
              </w:rPr>
            </w:pPr>
            <w:r>
              <w:rPr>
                <w:rFonts w:ascii="Arial" w:cs="Arial" w:eastAsia="Arial" w:hAnsi="Arial"/>
                <w:sz w:val="14"/>
                <w:szCs w:val="14"/>
                <w:color w:val="auto"/>
              </w:rPr>
              <w:t>$1,152,790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537,588</w:t>
            </w:r>
          </w:p>
        </w:tc>
        <w:tc>
          <w:tcPr>
            <w:tcW w:w="820" w:type="dxa"/>
            <w:vAlign w:val="bottom"/>
          </w:tcPr>
          <w:p>
            <w:pPr>
              <w:jc w:val="right"/>
              <w:spacing w:after="0"/>
              <w:rPr>
                <w:sz w:val="20"/>
                <w:szCs w:val="20"/>
                <w:color w:val="auto"/>
              </w:rPr>
            </w:pPr>
            <w:r>
              <w:rPr>
                <w:rFonts w:ascii="Arial" w:cs="Arial" w:eastAsia="Arial" w:hAnsi="Arial"/>
                <w:sz w:val="14"/>
                <w:szCs w:val="14"/>
                <w:color w:val="auto"/>
              </w:rPr>
              <w:t>$1,690,378</w:t>
            </w:r>
          </w:p>
        </w:tc>
        <w:tc>
          <w:tcPr>
            <w:tcW w:w="1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145,409</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27,998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173,407</w:t>
            </w:r>
          </w:p>
        </w:tc>
        <w:tc>
          <w:tcPr>
            <w:tcW w:w="160" w:type="dxa"/>
            <w:vAlign w:val="bottom"/>
            <w:shd w:val="clear" w:color="auto" w:fill="CCEEFF"/>
          </w:tcPr>
          <w:p>
            <w:pPr>
              <w:spacing w:after="0"/>
              <w:rPr>
                <w:sz w:val="14"/>
                <w:szCs w:val="14"/>
                <w:color w:val="auto"/>
              </w:rPr>
            </w:pPr>
          </w:p>
        </w:tc>
      </w:tr>
      <w:tr>
        <w:trPr>
          <w:trHeight w:val="27"/>
        </w:trPr>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731"/>
        </w:trPr>
        <w:tc>
          <w:tcPr>
            <w:tcW w:w="820" w:type="dxa"/>
            <w:vAlign w:val="bottom"/>
            <w:gridSpan w:val="2"/>
          </w:tcPr>
          <w:p>
            <w:pPr>
              <w:spacing w:after="0"/>
              <w:rPr>
                <w:sz w:val="20"/>
                <w:szCs w:val="20"/>
                <w:color w:val="auto"/>
              </w:rPr>
            </w:pPr>
            <w:r>
              <w:rPr>
                <w:rFonts w:ascii="Arial" w:cs="Arial" w:eastAsia="Arial" w:hAnsi="Arial"/>
                <w:sz w:val="43"/>
                <w:szCs w:val="43"/>
                <w:b w:val="1"/>
                <w:bCs w:val="1"/>
                <w:color w:val="auto"/>
              </w:rPr>
              <w:t>13</w:t>
            </w:r>
          </w:p>
        </w:tc>
        <w:tc>
          <w:tcPr>
            <w:tcW w:w="6460" w:type="dxa"/>
            <w:vAlign w:val="bottom"/>
          </w:tcPr>
          <w:p>
            <w:pPr>
              <w:ind w:left="100"/>
              <w:spacing w:after="0"/>
              <w:rPr>
                <w:sz w:val="20"/>
                <w:szCs w:val="20"/>
                <w:color w:val="auto"/>
              </w:rPr>
            </w:pPr>
            <w:r>
              <w:rPr>
                <w:rFonts w:ascii="Arial" w:cs="Arial" w:eastAsia="Arial" w:hAnsi="Arial"/>
                <w:sz w:val="22"/>
                <w:szCs w:val="22"/>
                <w:b w:val="1"/>
                <w:bCs w:val="1"/>
                <w:color w:val="auto"/>
              </w:rPr>
              <w:t>COMMITMENTS AND CONTINGENT LIABILITIES</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Total rental expense for operating leases was $22,166, $21,840, and $19,401 for the fiscal years ended October 31, 2012, 2011, and 2010, respectively. As of October 31, 2012, future minimum lease payments under noncancelable operating leases amounted to $74,543 as follows: 2013, $13,623; 2014, $10,690; 2015, $9,668; 2016, $6,277; 2017, $4,127 and after 2017, $30,158.</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w:t>
      </w:r>
    </w:p>
    <w:p>
      <w:pPr>
        <w:spacing w:after="0" w:line="21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Wholesale Financing. </w:t>
      </w:r>
      <w:r>
        <w:rPr>
          <w:rFonts w:ascii="Arial" w:cs="Arial" w:eastAsia="Arial" w:hAnsi="Arial"/>
          <w:sz w:val="18"/>
          <w:szCs w:val="18"/>
          <w:color w:val="auto"/>
        </w:rPr>
        <w:t>In fiscal 2009, Toro Credit Company sold its receivable portfolio to Red Iron, the company's joint venture with TCFIF.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3 for additional information related to Red Iron. Some products sold to independent dealers in Australia finance their products with a third party finance company. This third party financing company purchased $23,727 of receivables from the company during fiscal 2012. As of October 31, 2012, $9,754 of receivables financed by the third party financing company, excluding Red Iron, was outstanding, and also includes outstanding receivables that were financed by third party sources before the establishment of Red Iron.</w:t>
      </w:r>
    </w:p>
    <w:p>
      <w:pPr>
        <w:spacing w:after="0" w:line="210" w:lineRule="exact"/>
        <w:rPr>
          <w:sz w:val="20"/>
          <w:szCs w:val="20"/>
          <w:color w:val="auto"/>
        </w:rPr>
      </w:pPr>
    </w:p>
    <w:p>
      <w:pPr>
        <w:ind w:right="440" w:firstLine="143"/>
        <w:spacing w:after="0" w:line="237" w:lineRule="auto"/>
        <w:rPr>
          <w:sz w:val="20"/>
          <w:szCs w:val="20"/>
          <w:color w:val="auto"/>
        </w:rPr>
      </w:pPr>
      <w:r>
        <w:rPr>
          <w:rFonts w:ascii="Arial" w:cs="Arial" w:eastAsia="Arial" w:hAnsi="Arial"/>
          <w:sz w:val="18"/>
          <w:szCs w:val="18"/>
          <w:color w:val="auto"/>
        </w:rPr>
        <w:t>The company also enters into limited inventory repurchase agreements with third party financing companies and Red Iron for receivables financed by third party financing companies and Red Iron. As of October 31, 2012, the company was contingently liable to repurchase up to a maximum amount of $10,086 of inventory related to receivables under these financing arrangements. The company has repurchased only immaterial amounts of inventory under these repurchase agreements since inception.</w:t>
      </w:r>
    </w:p>
    <w:p>
      <w:pPr>
        <w:spacing w:after="0" w:line="18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End-User Financing. </w:t>
      </w:r>
      <w:r>
        <w:rPr>
          <w:rFonts w:ascii="Arial" w:cs="Arial" w:eastAsia="Arial" w:hAnsi="Arial"/>
          <w:sz w:val="18"/>
          <w:szCs w:val="18"/>
          <w:color w:val="auto"/>
        </w:rPr>
        <w:t>The company has agreements with third party financing companies to provide lease-financing options to golf course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sports fields and grounds equipment customers in the U.S. and Europe. The company has no contingent liabilities for residual value or credit collection risk under these agreements with third party financing companies.</w:t>
      </w:r>
    </w:p>
    <w:p>
      <w:pPr>
        <w:spacing w:after="0" w:line="202" w:lineRule="exact"/>
        <w:rPr>
          <w:sz w:val="20"/>
          <w:szCs w:val="20"/>
          <w:color w:val="auto"/>
        </w:rPr>
      </w:pPr>
    </w:p>
    <w:p>
      <w:pPr>
        <w:ind w:right="40" w:firstLine="146"/>
        <w:spacing w:after="0" w:line="238" w:lineRule="auto"/>
        <w:rPr>
          <w:sz w:val="20"/>
          <w:szCs w:val="20"/>
          <w:color w:val="auto"/>
        </w:rPr>
      </w:pPr>
      <w:r>
        <w:rPr>
          <w:rFonts w:ascii="Arial" w:cs="Arial" w:eastAsia="Arial" w:hAnsi="Arial"/>
          <w:sz w:val="18"/>
          <w:szCs w:val="18"/>
          <w:color w:val="auto"/>
        </w:rPr>
        <w:t>From time to time, the company enters into agreements where it provides recourse to third party finance companies in the event of default by the customer for lease payments to the third party finance company. The company's maximum exposure for credit collection as of October 31, 2012 was $2,937.</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October 31, 2012, the company had $14,537 of noncancelable purchase commitments with some suppliers for materials and supplies as part of the normal course of business.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2012 and 2011, the company had $12,963 and $16,444, respectively, in outstanding letters of credit.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1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company is party to litigation in the ordinary course of business. Litigation occasionally involves claims for punitive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ectPr>
          <w:pgSz w:w="11900" w:h="16838" w:orient="portrait"/>
          <w:cols w:equalWidth="0" w:num="1">
            <w:col w:w="11400"/>
          </w:cols>
          <w:pgMar w:left="240" w:top="143" w:right="259" w:bottom="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43" w:right="259" w:bottom="0" w:gutter="0" w:footer="0" w:header="0"/>
          <w:type w:val="continuous"/>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ind w:right="160"/>
        <w:spacing w:after="0" w:line="270" w:lineRule="auto"/>
        <w:rPr>
          <w:sz w:val="20"/>
          <w:szCs w:val="20"/>
          <w:color w:val="auto"/>
        </w:rPr>
      </w:pPr>
      <w:r>
        <w:rPr>
          <w:rFonts w:ascii="Arial" w:cs="Arial" w:eastAsia="Arial" w:hAnsi="Arial"/>
          <w:sz w:val="16"/>
          <w:szCs w:val="16"/>
          <w:b w:val="1"/>
          <w:bCs w:val="1"/>
          <w:i w:val="1"/>
          <w:iCs w:val="1"/>
          <w:color w:val="auto"/>
        </w:rPr>
        <w:t xml:space="preserve">Canadian Lawnmower Engine Horsepower Marketing and Sales Practices Litigation. </w:t>
      </w:r>
      <w:r>
        <w:rPr>
          <w:rFonts w:ascii="Arial" w:cs="Arial" w:eastAsia="Arial" w:hAnsi="Arial"/>
          <w:sz w:val="16"/>
          <w:szCs w:val="16"/>
          <w:color w:val="auto"/>
        </w:rPr>
        <w:t>In March 2010, individuals who claim to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lawnmowers in Canada filed class action litigation against the company and other defendants that, similar to the class action litigation previously filed by plaintiffs in the United States and settled by the company pursuant to a settlement agreement that became final in February 2011, (i) contains allegations under applicable Canadian law that the horsepower labels on the products the plaintiffs purchased were inaccurate,</w:t>
      </w:r>
    </w:p>
    <w:p>
      <w:pPr>
        <w:spacing w:after="0" w:line="2" w:lineRule="exact"/>
        <w:rPr>
          <w:sz w:val="20"/>
          <w:szCs w:val="20"/>
          <w:color w:val="auto"/>
        </w:rPr>
      </w:pPr>
    </w:p>
    <w:p>
      <w:pPr>
        <w:jc w:val="both"/>
        <w:ind w:right="180" w:firstLine="8"/>
        <w:spacing w:after="0" w:line="238"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208" w:lineRule="exact"/>
        <w:rPr>
          <w:sz w:val="20"/>
          <w:szCs w:val="20"/>
          <w:color w:val="auto"/>
        </w:rPr>
      </w:pPr>
    </w:p>
    <w:p>
      <w:pPr>
        <w:ind w:right="240" w:firstLine="146"/>
        <w:spacing w:after="0" w:line="237" w:lineRule="auto"/>
        <w:rPr>
          <w:sz w:val="20"/>
          <w:szCs w:val="20"/>
          <w:color w:val="auto"/>
        </w:rPr>
      </w:pPr>
      <w:r>
        <w:rPr>
          <w:rFonts w:ascii="Arial" w:cs="Arial" w:eastAsia="Arial" w:hAnsi="Arial"/>
          <w:sz w:val="18"/>
          <w:szCs w:val="18"/>
          <w:color w:val="auto"/>
        </w:rPr>
        <w:t>Management continues to evaluate this Canadian litigation and, in the event the company is unable to favorably resolve this litigation, while management does not currently believe that this litigation would have a material adverse effect on the company's annual consolidated operating results or financial condition, an unfavorable resolution or outcome could be material to the company's consolidated operating results for a particular period.</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14</w:t>
      </w:r>
      <w:r>
        <w:rPr>
          <w:sz w:val="20"/>
          <w:szCs w:val="20"/>
          <w:color w:val="auto"/>
        </w:rPr>
        <w:tab/>
      </w:r>
      <w:r>
        <w:rPr>
          <w:rFonts w:ascii="Arial" w:cs="Arial" w:eastAsia="Arial" w:hAnsi="Arial"/>
          <w:sz w:val="21"/>
          <w:szCs w:val="21"/>
          <w:b w:val="1"/>
          <w:bCs w:val="1"/>
          <w:color w:val="auto"/>
        </w:rPr>
        <w:t>FINANCIAL INSTRUMENTS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the Professional and Residential business segments.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as well as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made an accounting policy election to use the portfolio exception permitted in ASU No. 2011-04 with respect to measuring counterparty credit risk for derivative instruments, and to measure the fair value of a portfolio of financial assets and financial liabilities on the basis of the net open risk position with each counterparty. The company's primary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Cash Flow Hedges. </w:t>
      </w:r>
      <w:r>
        <w:rPr>
          <w:rFonts w:ascii="Arial" w:cs="Arial" w:eastAsia="Arial" w:hAnsi="Arial"/>
          <w:sz w:val="18"/>
          <w:szCs w:val="18"/>
          <w:color w:val="auto"/>
        </w:rPr>
        <w:t>The company recognizes all derivative instruments as either assets or liabilities at fair value on the consolidated 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sheet and 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216" w:lineRule="exact"/>
        <w:rPr>
          <w:sz w:val="20"/>
          <w:szCs w:val="20"/>
          <w:color w:val="auto"/>
        </w:rPr>
      </w:pPr>
    </w:p>
    <w:p>
      <w:pPr>
        <w:ind w:right="120" w:firstLine="143"/>
        <w:spacing w:after="0" w:line="236" w:lineRule="auto"/>
        <w:rPr>
          <w:sz w:val="20"/>
          <w:szCs w:val="20"/>
          <w:color w:val="auto"/>
        </w:rPr>
      </w:pPr>
      <w:r>
        <w:rPr>
          <w:rFonts w:ascii="Arial" w:cs="Arial" w:eastAsia="Arial" w:hAnsi="Arial"/>
          <w:sz w:val="18"/>
          <w:szCs w:val="18"/>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65" w:name="page66"/>
    <w:bookmarkEnd w:id="65"/>
    <w:p>
      <w:pPr>
        <w:ind w:right="40"/>
        <w:spacing w:after="0" w:line="268" w:lineRule="auto"/>
        <w:rPr>
          <w:sz w:val="20"/>
          <w:szCs w:val="20"/>
          <w:color w:val="auto"/>
        </w:rPr>
      </w:pPr>
      <w:r>
        <w:rPr>
          <w:rFonts w:ascii="Arial" w:cs="Arial" w:eastAsia="Arial" w:hAnsi="Arial"/>
          <w:sz w:val="16"/>
          <w:szCs w:val="16"/>
          <w:color w:val="auto"/>
        </w:rPr>
        <w:t>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fiscal years ended October 31, 2012 and 2011, there were no gains or losses on contracts reclassified into earnings as a result of the discontinuance of cash flow hedges. As of October 31, 2012, the notional amount of outstanding forward contracts designated as cash flow hedges was $85,725. Additionally, the company has one cross currency interest rate swap instrument outstanding as of October 31, 2012 for a fixed pay notional of 36,593 Romanian New Leu and receive floating notional of 8,500 Euro.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Derivatives Not Designated as Hedging Instruments. </w:t>
      </w:r>
      <w:r>
        <w:rPr>
          <w:rFonts w:ascii="Arial" w:cs="Arial" w:eastAsia="Arial" w:hAnsi="Arial"/>
          <w:sz w:val="18"/>
          <w:szCs w:val="18"/>
          <w:color w:val="auto"/>
        </w:rPr>
        <w:t>The company also enters into foreign currency contracts that include forward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149860</wp:posOffset>
            </wp:positionV>
            <wp:extent cx="57632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Asset Derivatives</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Liability Derivatives</w:t>
            </w: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October 31, 2011</w:t>
            </w:r>
          </w:p>
        </w:tc>
        <w:tc>
          <w:tcPr>
            <w:tcW w:w="16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October 31, 2012</w:t>
            </w:r>
          </w:p>
        </w:tc>
        <w:tc>
          <w:tcPr>
            <w:tcW w:w="16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October 31, 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Balance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Balance</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Sheet</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Fair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Fair</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3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Fair</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Sheet</w:t>
            </w:r>
          </w:p>
        </w:tc>
        <w:tc>
          <w:tcPr>
            <w:tcW w:w="2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Location</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Value</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4"/>
              </w:rPr>
              <w:t>Value</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3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Value</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Location</w:t>
            </w:r>
          </w:p>
        </w:tc>
        <w:tc>
          <w:tcPr>
            <w:tcW w:w="2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Designated as Hedging</w:t>
            </w: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Instruments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635</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1,359</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620" w:type="dxa"/>
            <w:vAlign w:val="bottom"/>
            <w:gridSpan w:val="2"/>
          </w:tcPr>
          <w:p>
            <w:pPr>
              <w:spacing w:after="0" w:line="157" w:lineRule="exact"/>
              <w:rPr>
                <w:sz w:val="20"/>
                <w:szCs w:val="20"/>
                <w:color w:val="auto"/>
              </w:rPr>
            </w:pPr>
            <w:r>
              <w:rPr>
                <w:rFonts w:ascii="Arial" w:cs="Arial" w:eastAsia="Arial" w:hAnsi="Arial"/>
                <w:sz w:val="14"/>
                <w:szCs w:val="14"/>
                <w:color w:val="auto"/>
              </w:rPr>
              <w:t>Forward currency contracts</w:t>
            </w:r>
          </w:p>
        </w:tc>
        <w:tc>
          <w:tcPr>
            <w:tcW w:w="100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expenses</w:t>
            </w:r>
          </w:p>
        </w:tc>
        <w:tc>
          <w:tcPr>
            <w:tcW w:w="3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expenses</w:t>
            </w: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liabilities</w:t>
            </w:r>
          </w:p>
        </w:tc>
        <w:tc>
          <w:tcPr>
            <w:tcW w:w="36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liabilities</w:t>
            </w: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563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Cross currency swaps</w:t>
            </w:r>
          </w:p>
        </w:tc>
        <w:tc>
          <w:tcPr>
            <w:tcW w:w="1000" w:type="dxa"/>
            <w:vAlign w:val="bottom"/>
            <w:gridSpan w:val="2"/>
            <w:shd w:val="clear" w:color="auto" w:fill="CCEEFF"/>
          </w:tcPr>
          <w:p>
            <w:pPr>
              <w:ind w:left="220"/>
              <w:spacing w:after="0" w:line="157" w:lineRule="exact"/>
              <w:rPr>
                <w:sz w:val="20"/>
                <w:szCs w:val="20"/>
                <w:color w:val="auto"/>
              </w:rPr>
            </w:pPr>
            <w:r>
              <w:rPr>
                <w:rFonts w:ascii="Arial" w:cs="Arial" w:eastAsia="Arial" w:hAnsi="Arial"/>
                <w:sz w:val="14"/>
                <w:szCs w:val="14"/>
                <w:color w:val="auto"/>
              </w:rPr>
              <w:t>expenses</w:t>
            </w:r>
          </w:p>
        </w:tc>
        <w:tc>
          <w:tcPr>
            <w:tcW w:w="32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98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expenses</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liabilities</w:t>
            </w:r>
          </w:p>
        </w:tc>
        <w:tc>
          <w:tcPr>
            <w:tcW w:w="36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liabilities</w:t>
            </w:r>
          </w:p>
        </w:tc>
        <w:tc>
          <w:tcPr>
            <w:tcW w:w="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Hedging Instruments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360</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Forward currency contracts</w:t>
            </w:r>
          </w:p>
        </w:tc>
        <w:tc>
          <w:tcPr>
            <w:tcW w:w="1000" w:type="dxa"/>
            <w:vAlign w:val="bottom"/>
            <w:gridSpan w:val="2"/>
            <w:shd w:val="clear" w:color="auto" w:fill="CCEEFF"/>
          </w:tcPr>
          <w:p>
            <w:pPr>
              <w:ind w:left="220"/>
              <w:spacing w:after="0" w:line="157" w:lineRule="exact"/>
              <w:rPr>
                <w:sz w:val="20"/>
                <w:szCs w:val="20"/>
                <w:color w:val="auto"/>
              </w:rPr>
            </w:pPr>
            <w:r>
              <w:rPr>
                <w:rFonts w:ascii="Arial" w:cs="Arial" w:eastAsia="Arial" w:hAnsi="Arial"/>
                <w:sz w:val="14"/>
                <w:szCs w:val="14"/>
                <w:color w:val="auto"/>
              </w:rPr>
              <w:t>expenses</w:t>
            </w:r>
          </w:p>
        </w:tc>
        <w:tc>
          <w:tcPr>
            <w:tcW w:w="32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98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expenses</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liabilities</w:t>
            </w:r>
          </w:p>
        </w:tc>
        <w:tc>
          <w:tcPr>
            <w:tcW w:w="36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liabilities</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2,587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32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385</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Prepaid</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36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Accrued</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620" w:type="dxa"/>
            <w:vAlign w:val="bottom"/>
            <w:gridSpan w:val="2"/>
          </w:tcPr>
          <w:p>
            <w:pPr>
              <w:spacing w:after="0"/>
              <w:rPr>
                <w:sz w:val="20"/>
                <w:szCs w:val="20"/>
                <w:color w:val="auto"/>
              </w:rPr>
            </w:pPr>
            <w:r>
              <w:rPr>
                <w:rFonts w:ascii="Arial" w:cs="Arial" w:eastAsia="Arial" w:hAnsi="Arial"/>
                <w:sz w:val="14"/>
                <w:szCs w:val="14"/>
                <w:color w:val="auto"/>
              </w:rPr>
              <w:t>Cross currency swaps</w:t>
            </w:r>
          </w:p>
        </w:tc>
        <w:tc>
          <w:tcPr>
            <w:tcW w:w="1000" w:type="dxa"/>
            <w:vAlign w:val="bottom"/>
            <w:gridSpan w:val="2"/>
          </w:tcPr>
          <w:p>
            <w:pPr>
              <w:ind w:left="220"/>
              <w:spacing w:after="0"/>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60"/>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 Derivatives</w:t>
            </w: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2,114</w:t>
            </w: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3,150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firstLine="143"/>
        <w:spacing w:after="0" w:line="238"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and the consolidated statements of comprehensive income for the company's derivatives designated as cash flow hedging instruments for the fiscal years ended October 31, 2012 and 2011, respectively.</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color w:val="auto"/>
              </w:rPr>
              <w:t>Location of Gain</w:t>
            </w:r>
          </w:p>
        </w:tc>
        <w:tc>
          <w:tcPr>
            <w:tcW w:w="9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color w:val="auto"/>
              </w:rPr>
              <w:t>(Loss) Recognized</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in</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Location of Gain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Income on</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Derivatives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Reclassified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(Ineffective</w:t>
            </w:r>
          </w:p>
        </w:tc>
        <w:tc>
          <w:tcPr>
            <w:tcW w:w="1740" w:type="dxa"/>
            <w:vAlign w:val="bottom"/>
            <w:gridSpan w:val="3"/>
          </w:tcPr>
          <w:p>
            <w:pPr>
              <w:jc w:val="center"/>
              <w:ind w:right="160"/>
              <w:spacing w:after="0"/>
              <w:rPr>
                <w:sz w:val="20"/>
                <w:szCs w:val="20"/>
                <w:color w:val="auto"/>
              </w:rPr>
            </w:pPr>
            <w:r>
              <w:rPr>
                <w:rFonts w:ascii="Arial" w:cs="Arial" w:eastAsia="Arial" w:hAnsi="Arial"/>
                <w:sz w:val="14"/>
                <w:szCs w:val="14"/>
                <w:color w:val="auto"/>
              </w:rPr>
              <w:t>Gain (Loss) Recognized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color w:val="auto"/>
              </w:rPr>
              <w:t>Gain (Loss)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from AOCL into</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Portion and</w:t>
            </w:r>
          </w:p>
        </w:tc>
        <w:tc>
          <w:tcPr>
            <w:tcW w:w="1740" w:type="dxa"/>
            <w:vAlign w:val="bottom"/>
            <w:gridSpan w:val="3"/>
          </w:tcPr>
          <w:p>
            <w:pPr>
              <w:jc w:val="center"/>
              <w:ind w:right="160"/>
              <w:spacing w:after="0"/>
              <w:rPr>
                <w:sz w:val="20"/>
                <w:szCs w:val="20"/>
                <w:color w:val="auto"/>
              </w:rPr>
            </w:pPr>
            <w:r>
              <w:rPr>
                <w:rFonts w:ascii="Arial" w:cs="Arial" w:eastAsia="Arial" w:hAnsi="Arial"/>
                <w:sz w:val="14"/>
                <w:szCs w:val="14"/>
                <w:color w:val="auto"/>
              </w:rPr>
              <w:t>in Income on Derivatives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
              <w:spacing w:after="0"/>
              <w:rPr>
                <w:sz w:val="20"/>
                <w:szCs w:val="20"/>
                <w:color w:val="auto"/>
              </w:rPr>
            </w:pPr>
            <w:r>
              <w:rPr>
                <w:rFonts w:ascii="Arial" w:cs="Arial" w:eastAsia="Arial" w:hAnsi="Arial"/>
                <w:sz w:val="14"/>
                <w:szCs w:val="14"/>
                <w:color w:val="auto"/>
              </w:rPr>
              <w:t>Recognized in OCI on</w:t>
            </w: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Gain (Loss) Reclassified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excluded from</w:t>
            </w:r>
          </w:p>
        </w:tc>
        <w:tc>
          <w:tcPr>
            <w:tcW w:w="1740" w:type="dxa"/>
            <w:vAlign w:val="bottom"/>
            <w:gridSpan w:val="3"/>
          </w:tcPr>
          <w:p>
            <w:pPr>
              <w:jc w:val="center"/>
              <w:ind w:right="140"/>
              <w:spacing w:after="0"/>
              <w:rPr>
                <w:sz w:val="20"/>
                <w:szCs w:val="20"/>
                <w:color w:val="auto"/>
              </w:rPr>
            </w:pPr>
            <w:r>
              <w:rPr>
                <w:rFonts w:ascii="Arial" w:cs="Arial" w:eastAsia="Arial" w:hAnsi="Arial"/>
                <w:sz w:val="14"/>
                <w:szCs w:val="14"/>
                <w:color w:val="auto"/>
              </w:rPr>
              <w:t>(Ineffective Portion and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left="308"/>
              <w:spacing w:after="0"/>
              <w:rPr>
                <w:sz w:val="20"/>
                <w:szCs w:val="20"/>
                <w:color w:val="auto"/>
              </w:rPr>
            </w:pPr>
            <w:r>
              <w:rPr>
                <w:rFonts w:ascii="Arial" w:cs="Arial" w:eastAsia="Arial" w:hAnsi="Arial"/>
                <w:sz w:val="14"/>
                <w:szCs w:val="14"/>
                <w:color w:val="auto"/>
              </w:rPr>
              <w:t>Derivatives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4"/>
                <w:szCs w:val="14"/>
                <w:color w:val="auto"/>
              </w:rPr>
              <w:t>from AOCL into 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color w:val="auto"/>
              </w:rPr>
              <w:t>Effectiveness</w:t>
            </w:r>
          </w:p>
        </w:tc>
        <w:tc>
          <w:tcPr>
            <w:tcW w:w="1740" w:type="dxa"/>
            <w:vAlign w:val="bottom"/>
            <w:gridSpan w:val="3"/>
          </w:tcPr>
          <w:p>
            <w:pPr>
              <w:jc w:val="center"/>
              <w:ind w:right="140"/>
              <w:spacing w:after="0"/>
              <w:rPr>
                <w:sz w:val="20"/>
                <w:szCs w:val="20"/>
                <w:color w:val="auto"/>
              </w:rPr>
            </w:pPr>
            <w:r>
              <w:rPr>
                <w:rFonts w:ascii="Arial" w:cs="Arial" w:eastAsia="Arial" w:hAnsi="Arial"/>
                <w:sz w:val="14"/>
                <w:szCs w:val="14"/>
                <w:color w:val="auto"/>
              </w:rPr>
              <w:t>Excluded from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(Effective Portion)</w:t>
            </w:r>
          </w:p>
        </w:tc>
        <w:tc>
          <w:tcPr>
            <w:tcW w:w="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(Effective Portion)</w:t>
            </w:r>
          </w:p>
        </w:tc>
        <w:tc>
          <w:tcPr>
            <w:tcW w:w="40" w:type="dxa"/>
            <w:vAlign w:val="bottom"/>
          </w:tcPr>
          <w:p>
            <w:pPr>
              <w:spacing w:after="0"/>
              <w:rPr>
                <w:sz w:val="19"/>
                <w:szCs w:val="19"/>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Testing)</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Effectiveness Testing)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Fiscal years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xml:space="preserve">October 31,  </w:t>
            </w:r>
            <w:r>
              <w:rPr>
                <w:rFonts w:ascii="Arial" w:cs="Arial" w:eastAsia="Arial" w:hAnsi="Arial"/>
                <w:sz w:val="14"/>
                <w:szCs w:val="14"/>
                <w:color w:val="auto"/>
              </w:rPr>
              <w:t>October 31,</w:t>
            </w: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October 31,</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October 31,</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October 31,</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rPr>
                <w:sz w:val="20"/>
                <w:szCs w:val="20"/>
                <w:color w:val="auto"/>
              </w:rPr>
            </w:pPr>
            <w:r>
              <w:rPr>
                <w:rFonts w:ascii="Arial" w:cs="Arial" w:eastAsia="Arial" w:hAnsi="Arial"/>
                <w:sz w:val="14"/>
                <w:szCs w:val="14"/>
                <w:color w:val="auto"/>
              </w:rPr>
              <w:t>ended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jc w:val="right"/>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jc w:val="right"/>
              <w:spacing w:after="0"/>
              <w:rPr>
                <w:sz w:val="20"/>
                <w:szCs w:val="20"/>
                <w:color w:val="auto"/>
              </w:rPr>
            </w:pPr>
            <w:r>
              <w:rPr>
                <w:rFonts w:ascii="Arial" w:cs="Arial" w:eastAsia="Arial" w:hAnsi="Arial"/>
                <w:sz w:val="14"/>
                <w:szCs w:val="14"/>
                <w:color w:val="auto"/>
              </w:rPr>
              <w:t>2011</w:t>
            </w: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jc w:val="right"/>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Forward</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currency</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contracts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(1,751)</w:t>
            </w: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Net sales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(3,561)</w:t>
            </w:r>
            <w:r>
              <w:rPr>
                <w:rFonts w:ascii="Arial" w:cs="Arial" w:eastAsia="Arial" w:hAnsi="Arial"/>
                <w:sz w:val="14"/>
                <w:szCs w:val="14"/>
                <w:color w:val="auto"/>
              </w:rPr>
              <w:t>$</w:t>
            </w:r>
          </w:p>
        </w:tc>
        <w:tc>
          <w:tcPr>
            <w:tcW w:w="218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(6,254)</w:t>
            </w:r>
            <w:r>
              <w:rPr>
                <w:rFonts w:ascii="Arial" w:cs="Arial" w:eastAsia="Arial" w:hAnsi="Arial"/>
                <w:sz w:val="14"/>
                <w:szCs w:val="14"/>
                <w:b w:val="1"/>
                <w:bCs w:val="1"/>
                <w:color w:val="auto"/>
              </w:rPr>
              <w:t>Other income, net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930 </w:t>
            </w: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7"/>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Forward</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currency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contracts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1,194</w:t>
            </w:r>
          </w:p>
        </w:tc>
        <w:tc>
          <w:tcPr>
            <w:tcW w:w="1720" w:type="dxa"/>
            <w:vAlign w:val="bottom"/>
            <w:gridSpan w:val="3"/>
          </w:tcPr>
          <w:p>
            <w:pPr>
              <w:jc w:val="center"/>
              <w:ind w:right="188"/>
              <w:spacing w:after="0"/>
              <w:rPr>
                <w:sz w:val="20"/>
                <w:szCs w:val="20"/>
                <w:color w:val="auto"/>
              </w:rPr>
            </w:pPr>
            <w:r>
              <w:rPr>
                <w:rFonts w:ascii="Arial" w:cs="Arial" w:eastAsia="Arial" w:hAnsi="Arial"/>
                <w:sz w:val="14"/>
                <w:szCs w:val="14"/>
                <w:color w:val="auto"/>
              </w:rPr>
              <w:t>(1,335)</w:t>
            </w:r>
            <w:r>
              <w:rPr>
                <w:rFonts w:ascii="Arial" w:cs="Arial" w:eastAsia="Arial" w:hAnsi="Arial"/>
                <w:sz w:val="14"/>
                <w:szCs w:val="14"/>
                <w:b w:val="1"/>
                <w:bCs w:val="1"/>
                <w:color w:val="auto"/>
              </w:rPr>
              <w:t>Cost of sales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1,500</w:t>
            </w:r>
          </w:p>
        </w:tc>
        <w:tc>
          <w:tcPr>
            <w:tcW w:w="760" w:type="dxa"/>
            <w:vAlign w:val="bottom"/>
          </w:tcPr>
          <w:p>
            <w:pPr>
              <w:jc w:val="right"/>
              <w:spacing w:after="0"/>
              <w:rPr>
                <w:sz w:val="20"/>
                <w:szCs w:val="20"/>
                <w:color w:val="auto"/>
              </w:rPr>
            </w:pPr>
            <w:r>
              <w:rPr>
                <w:rFonts w:ascii="Arial" w:cs="Arial" w:eastAsia="Arial" w:hAnsi="Arial"/>
                <w:sz w:val="14"/>
                <w:szCs w:val="14"/>
                <w:color w:val="auto"/>
              </w:rPr>
              <w:t>919</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Cross currency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Other income,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contracts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463</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708"/>
              <w:spacing w:after="0"/>
              <w:rPr>
                <w:sz w:val="20"/>
                <w:szCs w:val="20"/>
                <w:color w:val="auto"/>
              </w:rPr>
            </w:pPr>
            <w:r>
              <w:rPr>
                <w:rFonts w:ascii="Arial" w:cs="Arial" w:eastAsia="Arial" w:hAnsi="Arial"/>
                <w:sz w:val="14"/>
                <w:szCs w:val="14"/>
                <w:b w:val="1"/>
                <w:bCs w:val="1"/>
                <w:color w:val="auto"/>
              </w:rPr>
              <w:t>net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(94)</w:t>
            </w: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2,666</w:t>
            </w:r>
          </w:p>
        </w:tc>
        <w:tc>
          <w:tcPr>
            <w:tcW w:w="6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(1,928)</w:t>
            </w: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(5,335)</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6" w:name="page67"/>
    <w:bookmarkEnd w:id="66"/>
    <w:p>
      <w:pPr>
        <w:ind w:right="580" w:firstLine="137"/>
        <w:spacing w:after="0" w:line="239" w:lineRule="auto"/>
        <w:rPr>
          <w:sz w:val="20"/>
          <w:szCs w:val="20"/>
          <w:color w:val="auto"/>
        </w:rPr>
      </w:pPr>
      <w:r>
        <w:rPr>
          <w:rFonts w:ascii="Arial" w:cs="Arial" w:eastAsia="Arial" w:hAnsi="Arial"/>
          <w:sz w:val="18"/>
          <w:szCs w:val="18"/>
          <w:color w:val="auto"/>
        </w:rPr>
        <w:t>As of October 31, 2012, the company anticipates to reclassify approximately $444 of losses from AOCL to earnings during the next twelve months.</w:t>
      </w:r>
    </w:p>
    <w:p>
      <w:pPr>
        <w:spacing w:after="0" w:line="209" w:lineRule="exact"/>
        <w:rPr>
          <w:sz w:val="20"/>
          <w:szCs w:val="20"/>
          <w:color w:val="auto"/>
        </w:rPr>
      </w:pPr>
    </w:p>
    <w:p>
      <w:pPr>
        <w:ind w:right="260" w:firstLine="143"/>
        <w:spacing w:after="0" w:line="239"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020" w:type="dxa"/>
            <w:vAlign w:val="bottom"/>
            <w:tcBorders>
              <w:top w:val="single" w:sz="8" w:color="auto"/>
            </w:tcBorders>
          </w:tcPr>
          <w:p>
            <w:pPr>
              <w:spacing w:after="0"/>
              <w:rPr>
                <w:sz w:val="15"/>
                <w:szCs w:val="15"/>
                <w:color w:val="auto"/>
              </w:rPr>
            </w:pPr>
          </w:p>
        </w:tc>
        <w:tc>
          <w:tcPr>
            <w:tcW w:w="4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Gain (Loss) Recognized</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color w:val="auto"/>
              </w:rPr>
              <w:t>in Net Earnings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color w:val="auto"/>
              </w:rPr>
              <w:t>Fiscal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Location of Gain</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60" w:type="dxa"/>
            <w:vAlign w:val="bottom"/>
          </w:tcPr>
          <w:p>
            <w:pPr>
              <w:ind w:left="3120"/>
              <w:spacing w:after="0" w:line="144" w:lineRule="exact"/>
              <w:rPr>
                <w:sz w:val="20"/>
                <w:szCs w:val="20"/>
                <w:color w:val="auto"/>
              </w:rPr>
            </w:pPr>
            <w:r>
              <w:rPr>
                <w:rFonts w:ascii="Arial" w:cs="Arial" w:eastAsia="Arial" w:hAnsi="Arial"/>
                <w:sz w:val="14"/>
                <w:szCs w:val="14"/>
                <w:color w:val="auto"/>
              </w:rPr>
              <w:t>Recognized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60"/>
              <w:spacing w:after="0" w:line="144" w:lineRule="exact"/>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260" w:type="dxa"/>
            <w:vAlign w:val="bottom"/>
          </w:tcPr>
          <w:p>
            <w:pPr>
              <w:ind w:left="3120"/>
              <w:spacing w:after="0"/>
              <w:rPr>
                <w:sz w:val="20"/>
                <w:szCs w:val="20"/>
                <w:color w:val="auto"/>
              </w:rPr>
            </w:pPr>
            <w:r>
              <w:rPr>
                <w:rFonts w:ascii="Arial" w:cs="Arial" w:eastAsia="Arial" w:hAnsi="Arial"/>
                <w:sz w:val="14"/>
                <w:szCs w:val="14"/>
                <w:color w:val="auto"/>
              </w:rPr>
              <w:t>Net 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rPr>
                <w:sz w:val="12"/>
                <w:szCs w:val="12"/>
                <w:color w:val="auto"/>
              </w:rPr>
            </w:pPr>
          </w:p>
        </w:tc>
        <w:tc>
          <w:tcPr>
            <w:tcW w:w="4260" w:type="dxa"/>
            <w:vAlign w:val="bottom"/>
            <w:tcBorders>
              <w:top w:val="single" w:sz="8" w:color="auto"/>
            </w:tcBorders>
            <w:shd w:val="clear" w:color="auto" w:fill="CCEEFF"/>
          </w:tcPr>
          <w:p>
            <w:pPr>
              <w:ind w:left="3120"/>
              <w:spacing w:after="0" w:line="149" w:lineRule="exact"/>
              <w:rPr>
                <w:sz w:val="20"/>
                <w:szCs w:val="20"/>
                <w:color w:val="auto"/>
              </w:rPr>
            </w:pPr>
            <w:r>
              <w:rPr>
                <w:rFonts w:ascii="Arial" w:cs="Arial" w:eastAsia="Arial" w:hAnsi="Arial"/>
                <w:sz w:val="14"/>
                <w:szCs w:val="14"/>
                <w:b w:val="1"/>
                <w:bCs w:val="1"/>
                <w:color w:val="auto"/>
              </w:rPr>
              <w:t>Other income,</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Forward currency contracts</w:t>
            </w:r>
          </w:p>
        </w:tc>
        <w:tc>
          <w:tcPr>
            <w:tcW w:w="4260" w:type="dxa"/>
            <w:vAlign w:val="bottom"/>
            <w:shd w:val="clear" w:color="auto" w:fill="CCEEFF"/>
          </w:tcPr>
          <w:p>
            <w:pPr>
              <w:ind w:left="3120"/>
              <w:spacing w:after="0"/>
              <w:rPr>
                <w:sz w:val="20"/>
                <w:szCs w:val="20"/>
                <w:color w:val="auto"/>
              </w:rPr>
            </w:pPr>
            <w:r>
              <w:rPr>
                <w:rFonts w:ascii="Arial" w:cs="Arial" w:eastAsia="Arial" w:hAnsi="Arial"/>
                <w:sz w:val="14"/>
                <w:szCs w:val="14"/>
                <w:b w:val="1"/>
                <w:bCs w:val="1"/>
                <w:color w:val="auto"/>
              </w:rPr>
              <w:t>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60" w:type="dxa"/>
            <w:vAlign w:val="bottom"/>
          </w:tcPr>
          <w:p>
            <w:pPr>
              <w:ind w:left="3120"/>
              <w:spacing w:after="0" w:line="149" w:lineRule="exact"/>
              <w:rPr>
                <w:sz w:val="20"/>
                <w:szCs w:val="20"/>
                <w:color w:val="auto"/>
              </w:rPr>
            </w:pPr>
            <w:r>
              <w:rPr>
                <w:rFonts w:ascii="Arial" w:cs="Arial" w:eastAsia="Arial" w:hAnsi="Arial"/>
                <w:sz w:val="14"/>
                <w:szCs w:val="14"/>
                <w:b w:val="1"/>
                <w:bCs w:val="1"/>
                <w:color w:val="auto"/>
              </w:rPr>
              <w:t>Other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Cross currency swaps</w:t>
            </w:r>
          </w:p>
        </w:tc>
        <w:tc>
          <w:tcPr>
            <w:tcW w:w="4260" w:type="dxa"/>
            <w:vAlign w:val="bottom"/>
          </w:tcPr>
          <w:p>
            <w:pPr>
              <w:ind w:left="312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379</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4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4,544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firstLine="146"/>
        <w:spacing w:after="0" w:line="236"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$30,000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AOCL, and will be amortized to interest expense over the 30-year term of the senior notes. The unrecognized loss portion of the fair value of these agreements in AOCL as of October 31, 2012 and 2011 was $149 and $155, respectively.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12" w:lineRule="exact"/>
        <w:rPr>
          <w:sz w:val="20"/>
          <w:szCs w:val="20"/>
          <w:color w:val="auto"/>
        </w:rPr>
      </w:pPr>
    </w:p>
    <w:p>
      <w:pPr>
        <w:ind w:right="20" w:firstLine="146"/>
        <w:spacing w:after="0" w:line="238"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12" w:lineRule="exact"/>
        <w:rPr>
          <w:sz w:val="20"/>
          <w:szCs w:val="20"/>
          <w:color w:val="auto"/>
        </w:rPr>
      </w:pPr>
    </w:p>
    <w:p>
      <w:pPr>
        <w:ind w:right="40" w:firstLine="146"/>
        <w:spacing w:after="0" w:line="235"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short-term maturities.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Assets and liabilities measured at fair value on a recurring basis, as of October 31, 2012 and 2011, respectively,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 w:type="dxa"/>
            <w:vAlign w:val="bottom"/>
          </w:tcPr>
          <w:p>
            <w:pPr>
              <w:spacing w:after="0"/>
              <w:rPr>
                <w:sz w:val="15"/>
                <w:szCs w:val="15"/>
                <w:color w:val="auto"/>
              </w:rPr>
            </w:pPr>
          </w:p>
        </w:tc>
        <w:tc>
          <w:tcPr>
            <w:tcW w:w="536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Fair</w:t>
            </w: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8"/>
        </w:trPr>
        <w:tc>
          <w:tcPr>
            <w:tcW w:w="5420" w:type="dxa"/>
            <w:vAlign w:val="bottom"/>
            <w:gridSpan w:val="2"/>
          </w:tcPr>
          <w:p>
            <w:pPr>
              <w:spacing w:after="0"/>
              <w:rPr>
                <w:sz w:val="20"/>
                <w:szCs w:val="20"/>
                <w:color w:val="auto"/>
              </w:rPr>
            </w:pPr>
            <w:r>
              <w:rPr>
                <w:rFonts w:ascii="Arial" w:cs="Arial" w:eastAsia="Arial" w:hAnsi="Arial"/>
                <w:sz w:val="14"/>
                <w:szCs w:val="14"/>
                <w:color w:val="auto"/>
              </w:rPr>
              <w:t>October 31, 2012</w:t>
            </w:r>
          </w:p>
        </w:tc>
        <w:tc>
          <w:tcPr>
            <w:tcW w:w="314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Value</w:t>
            </w:r>
          </w:p>
        </w:tc>
        <w:tc>
          <w:tcPr>
            <w:tcW w:w="740" w:type="dxa"/>
            <w:vAlign w:val="bottom"/>
          </w:tcPr>
          <w:p>
            <w:pPr>
              <w:jc w:val="right"/>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7"/>
              </w:rPr>
              <w:t>Level 2</w:t>
            </w:r>
          </w:p>
        </w:tc>
        <w:tc>
          <w:tcPr>
            <w:tcW w:w="760" w:type="dxa"/>
            <w:vAlign w:val="bottom"/>
            <w:gridSpan w:val="4"/>
          </w:tcPr>
          <w:p>
            <w:pPr>
              <w:jc w:val="right"/>
              <w:ind w:right="160"/>
              <w:spacing w:after="0"/>
              <w:rPr>
                <w:sz w:val="20"/>
                <w:szCs w:val="20"/>
                <w:color w:val="auto"/>
              </w:rPr>
            </w:pPr>
            <w:r>
              <w:rPr>
                <w:rFonts w:ascii="Arial" w:cs="Arial" w:eastAsia="Arial" w:hAnsi="Arial"/>
                <w:sz w:val="14"/>
                <w:szCs w:val="14"/>
                <w:color w:val="auto"/>
              </w:rPr>
              <w:t>Level 3</w:t>
            </w:r>
          </w:p>
        </w:tc>
      </w:tr>
      <w:tr>
        <w:trPr>
          <w:trHeight w:val="162"/>
        </w:trPr>
        <w:tc>
          <w:tcPr>
            <w:tcW w:w="60" w:type="dxa"/>
            <w:vAlign w:val="bottom"/>
            <w:tcBorders>
              <w:right w:val="single" w:sz="8" w:color="CCEEFF"/>
            </w:tcBorders>
          </w:tcPr>
          <w:p>
            <w:pPr>
              <w:spacing w:after="0"/>
              <w:rPr>
                <w:sz w:val="14"/>
                <w:szCs w:val="14"/>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36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125,856</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$125,856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w:t>
            </w:r>
          </w:p>
        </w:tc>
      </w:tr>
      <w:tr>
        <w:trPr>
          <w:trHeight w:val="162"/>
        </w:trPr>
        <w:tc>
          <w:tcPr>
            <w:tcW w:w="60" w:type="dxa"/>
            <w:vAlign w:val="bottom"/>
            <w:tcBorders>
              <w:right w:val="single" w:sz="8" w:color="CCEEFF"/>
            </w:tcBorders>
          </w:tcPr>
          <w:p>
            <w:pPr>
              <w:spacing w:after="0"/>
              <w:rPr>
                <w:sz w:val="14"/>
                <w:szCs w:val="14"/>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Forward currency contracts</w:t>
            </w:r>
          </w:p>
        </w:tc>
        <w:tc>
          <w:tcPr>
            <w:tcW w:w="3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995</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r>
      <w:tr>
        <w:trPr>
          <w:trHeight w:val="189"/>
        </w:trPr>
        <w:tc>
          <w:tcPr>
            <w:tcW w:w="60" w:type="dxa"/>
            <w:vAlign w:val="bottom"/>
          </w:tcPr>
          <w:p>
            <w:pPr>
              <w:spacing w:after="0"/>
              <w:rPr>
                <w:sz w:val="16"/>
                <w:szCs w:val="16"/>
                <w:color w:val="auto"/>
              </w:rPr>
            </w:pP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Cross currency contracts</w:t>
            </w:r>
          </w:p>
        </w:tc>
        <w:tc>
          <w:tcPr>
            <w:tcW w:w="3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1,046</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6"/>
                <w:szCs w:val="16"/>
                <w:color w:val="auto"/>
              </w:rPr>
            </w:pPr>
          </w:p>
        </w:tc>
      </w:tr>
      <w:tr>
        <w:trPr>
          <w:trHeight w:val="156"/>
        </w:trPr>
        <w:tc>
          <w:tcPr>
            <w:tcW w:w="60" w:type="dxa"/>
            <w:vAlign w:val="bottom"/>
            <w:tcBorders>
              <w:right w:val="single" w:sz="8" w:color="CCEEFF"/>
            </w:tcBorders>
          </w:tcPr>
          <w:p>
            <w:pPr>
              <w:spacing w:after="0"/>
              <w:rPr>
                <w:sz w:val="13"/>
                <w:szCs w:val="13"/>
                <w:color w:val="auto"/>
              </w:rPr>
            </w:pPr>
          </w:p>
        </w:tc>
        <w:tc>
          <w:tcPr>
            <w:tcW w:w="536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b w:val="1"/>
                <w:bCs w:val="1"/>
                <w:color w:val="auto"/>
              </w:rPr>
              <w:t>Total assets</w:t>
            </w:r>
          </w:p>
        </w:tc>
        <w:tc>
          <w:tcPr>
            <w:tcW w:w="3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127,897</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$125,856</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2,041</w:t>
            </w:r>
          </w:p>
        </w:tc>
        <w:tc>
          <w:tcPr>
            <w:tcW w:w="76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r>
      <w:tr>
        <w:trPr>
          <w:trHeight w:val="27"/>
        </w:trPr>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60" w:type="dxa"/>
            <w:vAlign w:val="bottom"/>
          </w:tcPr>
          <w:p>
            <w:pPr>
              <w:spacing w:after="0"/>
              <w:rPr>
                <w:sz w:val="13"/>
                <w:szCs w:val="13"/>
                <w:color w:val="auto"/>
              </w:rPr>
            </w:pPr>
          </w:p>
        </w:tc>
        <w:tc>
          <w:tcPr>
            <w:tcW w:w="53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3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Forward currency contracts</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2,114</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r>
      <w:tr>
        <w:trPr>
          <w:trHeight w:val="189"/>
        </w:trPr>
        <w:tc>
          <w:tcPr>
            <w:tcW w:w="60" w:type="dxa"/>
            <w:vAlign w:val="bottom"/>
          </w:tcPr>
          <w:p>
            <w:pPr>
              <w:spacing w:after="0"/>
              <w:rPr>
                <w:sz w:val="16"/>
                <w:szCs w:val="16"/>
                <w:color w:val="auto"/>
              </w:rPr>
            </w:pP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Deferred compensation liabilities</w:t>
            </w:r>
          </w:p>
        </w:tc>
        <w:tc>
          <w:tcPr>
            <w:tcW w:w="3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3,547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3,547</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6"/>
                <w:szCs w:val="16"/>
                <w:color w:val="auto"/>
              </w:rPr>
            </w:pPr>
          </w:p>
        </w:tc>
      </w:tr>
      <w:tr>
        <w:trPr>
          <w:trHeight w:val="156"/>
        </w:trPr>
        <w:tc>
          <w:tcPr>
            <w:tcW w:w="60" w:type="dxa"/>
            <w:vAlign w:val="bottom"/>
            <w:tcBorders>
              <w:right w:val="single" w:sz="8" w:color="CCEEFF"/>
            </w:tcBorders>
          </w:tcPr>
          <w:p>
            <w:pPr>
              <w:spacing w:after="0"/>
              <w:rPr>
                <w:sz w:val="13"/>
                <w:szCs w:val="13"/>
                <w:color w:val="auto"/>
              </w:rPr>
            </w:pPr>
          </w:p>
        </w:tc>
        <w:tc>
          <w:tcPr>
            <w:tcW w:w="536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b w:val="1"/>
                <w:bCs w:val="1"/>
                <w:color w:val="auto"/>
              </w:rPr>
              <w:t>Total liabilities</w:t>
            </w:r>
          </w:p>
        </w:tc>
        <w:tc>
          <w:tcPr>
            <w:tcW w:w="3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5,661</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5,661</w:t>
            </w:r>
          </w:p>
        </w:tc>
        <w:tc>
          <w:tcPr>
            <w:tcW w:w="760" w:type="dxa"/>
            <w:vAlign w:val="bottom"/>
            <w:gridSpan w:val="4"/>
            <w:shd w:val="clear" w:color="auto" w:fill="CCEEFF"/>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r>
      <w:tr>
        <w:trPr>
          <w:trHeight w:val="27"/>
        </w:trPr>
        <w:tc>
          <w:tcPr>
            <w:tcW w:w="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615"/>
        </w:trPr>
        <w:tc>
          <w:tcPr>
            <w:tcW w:w="6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Fair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6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October 31, 2011</w:t>
            </w:r>
          </w:p>
        </w:tc>
        <w:tc>
          <w:tcPr>
            <w:tcW w:w="314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Value</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Level 1</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Level 2</w:t>
            </w:r>
          </w:p>
        </w:tc>
        <w:tc>
          <w:tcPr>
            <w:tcW w:w="760" w:type="dxa"/>
            <w:vAlign w:val="bottom"/>
            <w:gridSpan w:val="4"/>
          </w:tcPr>
          <w:p>
            <w:pPr>
              <w:jc w:val="right"/>
              <w:ind w:right="220"/>
              <w:spacing w:after="0"/>
              <w:rPr>
                <w:sz w:val="20"/>
                <w:szCs w:val="20"/>
                <w:color w:val="auto"/>
              </w:rPr>
            </w:pPr>
            <w:r>
              <w:rPr>
                <w:rFonts w:ascii="Arial" w:cs="Arial" w:eastAsia="Arial" w:hAnsi="Arial"/>
                <w:sz w:val="14"/>
                <w:szCs w:val="14"/>
                <w:color w:val="auto"/>
              </w:rPr>
              <w:t>Level 3</w:t>
            </w:r>
          </w:p>
        </w:tc>
      </w:tr>
      <w:tr>
        <w:trPr>
          <w:trHeight w:val="162"/>
        </w:trPr>
        <w:tc>
          <w:tcPr>
            <w:tcW w:w="60" w:type="dxa"/>
            <w:vAlign w:val="bottom"/>
          </w:tcPr>
          <w:p>
            <w:pPr>
              <w:spacing w:after="0"/>
              <w:rPr>
                <w:sz w:val="14"/>
                <w:szCs w:val="14"/>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3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60" w:type="dxa"/>
            <w:vAlign w:val="bottom"/>
          </w:tcPr>
          <w:p>
            <w:pPr>
              <w:spacing w:after="0"/>
              <w:rPr>
                <w:sz w:val="15"/>
                <w:szCs w:val="15"/>
                <w:color w:val="auto"/>
              </w:rPr>
            </w:pPr>
          </w:p>
        </w:tc>
        <w:tc>
          <w:tcPr>
            <w:tcW w:w="53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80,886</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$ 80,886</w:t>
            </w:r>
          </w:p>
        </w:tc>
        <w:tc>
          <w:tcPr>
            <w:tcW w:w="20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r>
      <w:tr>
        <w:trPr>
          <w:trHeight w:val="20"/>
        </w:trPr>
        <w:tc>
          <w:tcPr>
            <w:tcW w:w="6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60" w:type="dxa"/>
            <w:vAlign w:val="bottom"/>
          </w:tcPr>
          <w:p>
            <w:pPr>
              <w:spacing w:after="0"/>
              <w:rPr>
                <w:sz w:val="14"/>
                <w:szCs w:val="14"/>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80,886</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$ 80,886</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27"/>
        </w:trPr>
        <w:tc>
          <w:tcPr>
            <w:tcW w:w="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6"/>
        </w:trPr>
        <w:tc>
          <w:tcPr>
            <w:tcW w:w="60" w:type="dxa"/>
            <w:vAlign w:val="bottom"/>
          </w:tcPr>
          <w:p>
            <w:pPr>
              <w:spacing w:after="0"/>
              <w:rPr>
                <w:sz w:val="13"/>
                <w:szCs w:val="13"/>
                <w:color w:val="auto"/>
              </w:rPr>
            </w:pPr>
          </w:p>
        </w:tc>
        <w:tc>
          <w:tcPr>
            <w:tcW w:w="5360" w:type="dxa"/>
            <w:vAlign w:val="bottom"/>
          </w:tcPr>
          <w:p>
            <w:pPr>
              <w:spacing w:after="0" w:line="155" w:lineRule="exact"/>
              <w:rPr>
                <w:sz w:val="20"/>
                <w:szCs w:val="20"/>
                <w:color w:val="auto"/>
              </w:rPr>
            </w:pPr>
            <w:r>
              <w:rPr>
                <w:rFonts w:ascii="Arial" w:cs="Arial" w:eastAsia="Arial" w:hAnsi="Arial"/>
                <w:sz w:val="14"/>
                <w:szCs w:val="14"/>
                <w:color w:val="auto"/>
              </w:rPr>
              <w:t>Liabilities:</w:t>
            </w:r>
          </w:p>
        </w:tc>
        <w:tc>
          <w:tcPr>
            <w:tcW w:w="3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60" w:type="dxa"/>
            <w:vAlign w:val="bottom"/>
          </w:tcPr>
          <w:p>
            <w:pPr>
              <w:spacing w:after="0"/>
              <w:rPr>
                <w:sz w:val="14"/>
                <w:szCs w:val="14"/>
                <w:color w:val="auto"/>
              </w:rPr>
            </w:pPr>
          </w:p>
        </w:tc>
        <w:tc>
          <w:tcPr>
            <w:tcW w:w="5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Forward currency contracts</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3,150</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83"/>
        </w:trPr>
        <w:tc>
          <w:tcPr>
            <w:tcW w:w="60" w:type="dxa"/>
            <w:vAlign w:val="bottom"/>
          </w:tcPr>
          <w:p>
            <w:pPr>
              <w:spacing w:after="0"/>
              <w:rPr>
                <w:sz w:val="15"/>
                <w:szCs w:val="15"/>
                <w:color w:val="auto"/>
              </w:rPr>
            </w:pPr>
          </w:p>
        </w:tc>
        <w:tc>
          <w:tcPr>
            <w:tcW w:w="5360" w:type="dxa"/>
            <w:vAlign w:val="bottom"/>
          </w:tcPr>
          <w:p>
            <w:pPr>
              <w:ind w:left="120"/>
              <w:spacing w:after="0"/>
              <w:rPr>
                <w:sz w:val="20"/>
                <w:szCs w:val="20"/>
                <w:color w:val="auto"/>
              </w:rPr>
            </w:pPr>
            <w:r>
              <w:rPr>
                <w:rFonts w:ascii="Arial" w:cs="Arial" w:eastAsia="Arial" w:hAnsi="Arial"/>
                <w:sz w:val="14"/>
                <w:szCs w:val="14"/>
                <w:color w:val="auto"/>
              </w:rPr>
              <w:t>Deferred compensation liabilities</w:t>
            </w:r>
          </w:p>
        </w:tc>
        <w:tc>
          <w:tcPr>
            <w:tcW w:w="314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4,297</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4,297</w:t>
            </w:r>
          </w:p>
        </w:tc>
        <w:tc>
          <w:tcPr>
            <w:tcW w:w="7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r>
      <w:tr>
        <w:trPr>
          <w:trHeight w:val="20"/>
        </w:trPr>
        <w:tc>
          <w:tcPr>
            <w:tcW w:w="6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60" w:type="dxa"/>
            <w:vAlign w:val="bottom"/>
          </w:tcPr>
          <w:p>
            <w:pPr>
              <w:spacing w:after="0"/>
              <w:rPr>
                <w:sz w:val="14"/>
                <w:szCs w:val="14"/>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7,447</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7,447</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27"/>
        </w:trPr>
        <w:tc>
          <w:tcPr>
            <w:tcW w:w="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type w:val="continuous"/>
        </w:sectPr>
      </w:pPr>
    </w:p>
    <w:bookmarkStart w:id="67" w:name="page68"/>
    <w:bookmarkEnd w:id="67"/>
    <w:p>
      <w:pPr>
        <w:ind w:left="160"/>
        <w:spacing w:after="0"/>
        <w:rPr>
          <w:sz w:val="20"/>
          <w:szCs w:val="20"/>
          <w:color w:val="auto"/>
        </w:rPr>
      </w:pPr>
      <w:r>
        <w:rPr>
          <w:rFonts w:ascii="Arial" w:cs="Arial" w:eastAsia="Arial" w:hAnsi="Arial"/>
          <w:sz w:val="18"/>
          <w:szCs w:val="18"/>
          <w:color w:val="auto"/>
        </w:rPr>
        <w:t>There were no transfers between Level 1 and Level 2 during the fiscal years ended October 31, 2012 and 2011.</w:t>
      </w:r>
    </w:p>
    <w:p>
      <w:pPr>
        <w:spacing w:after="0" w:line="212" w:lineRule="exact"/>
        <w:rPr>
          <w:sz w:val="20"/>
          <w:szCs w:val="20"/>
          <w:color w:val="auto"/>
        </w:rPr>
      </w:pPr>
    </w:p>
    <w:p>
      <w:pPr>
        <w:ind w:right="320" w:firstLine="137"/>
        <w:spacing w:after="0" w:line="237" w:lineRule="auto"/>
        <w:rPr>
          <w:sz w:val="20"/>
          <w:szCs w:val="20"/>
          <w:color w:val="auto"/>
        </w:rPr>
      </w:pPr>
      <w:r>
        <w:rPr>
          <w:rFonts w:ascii="Arial" w:cs="Arial" w:eastAsia="Arial" w:hAnsi="Arial"/>
          <w:sz w:val="18"/>
          <w:szCs w:val="18"/>
          <w:color w:val="auto"/>
        </w:rPr>
        <w:t>As of October 31, 2012, the estimated fair value of long-term debt with fixed interest rates was $262,458 compared to its carrying amount of $226,858. As of October 31, 2011, the estimated fair value of long-term debt with fixed interest rates was $248,653 compared to its carrying amount of $228,735. The fair value is estimated by discounting the projected cash flows using the rate at which similar amounts of debt could currently be borrowed.</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43"/>
          <w:szCs w:val="43"/>
          <w:b w:val="1"/>
          <w:bCs w:val="1"/>
          <w:color w:val="auto"/>
        </w:rPr>
        <w:t>15</w:t>
      </w:r>
      <w:r>
        <w:rPr>
          <w:sz w:val="20"/>
          <w:szCs w:val="20"/>
          <w:color w:val="auto"/>
        </w:rPr>
        <w:tab/>
      </w:r>
      <w:r>
        <w:rPr>
          <w:rFonts w:ascii="Arial" w:cs="Arial" w:eastAsia="Arial" w:hAnsi="Arial"/>
          <w:sz w:val="21"/>
          <w:szCs w:val="21"/>
          <w:b w:val="1"/>
          <w:bCs w:val="1"/>
          <w:color w:val="auto"/>
        </w:rPr>
        <w:t>SUBSEQUENT EVENTS</w:t>
      </w:r>
    </w:p>
    <w:p>
      <w:pPr>
        <w:spacing w:after="0" w:line="278"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900" w:type="dxa"/>
            <w:vAlign w:val="bottom"/>
            <w:gridSpan w:val="2"/>
          </w:tcPr>
          <w:p>
            <w:pPr>
              <w:spacing w:after="0"/>
              <w:rPr>
                <w:sz w:val="20"/>
                <w:szCs w:val="20"/>
                <w:color w:val="auto"/>
              </w:rPr>
            </w:pPr>
            <w:r>
              <w:rPr>
                <w:rFonts w:ascii="Arial" w:cs="Arial" w:eastAsia="Arial" w:hAnsi="Arial"/>
                <w:sz w:val="43"/>
                <w:szCs w:val="43"/>
                <w:b w:val="1"/>
                <w:bCs w:val="1"/>
                <w:color w:val="auto"/>
              </w:rPr>
              <w:t>16</w:t>
            </w:r>
          </w:p>
        </w:tc>
        <w:tc>
          <w:tcPr>
            <w:tcW w:w="6160" w:type="dxa"/>
            <w:vAlign w:val="bottom"/>
          </w:tcPr>
          <w:p>
            <w:pPr>
              <w:ind w:left="20"/>
              <w:spacing w:after="0"/>
              <w:rPr>
                <w:sz w:val="20"/>
                <w:szCs w:val="20"/>
                <w:color w:val="auto"/>
              </w:rPr>
            </w:pPr>
            <w:r>
              <w:rPr>
                <w:rFonts w:ascii="Arial" w:cs="Arial" w:eastAsia="Arial" w:hAnsi="Arial"/>
                <w:sz w:val="22"/>
                <w:szCs w:val="22"/>
                <w:b w:val="1"/>
                <w:bCs w:val="1"/>
                <w:color w:val="auto"/>
              </w:rPr>
              <w:t>QUARTERLY FINANCIAL DATA (unaudited)</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7060" w:type="dxa"/>
            <w:vAlign w:val="bottom"/>
            <w:gridSpan w:val="3"/>
          </w:tcPr>
          <w:p>
            <w:pPr>
              <w:spacing w:after="0"/>
              <w:rPr>
                <w:sz w:val="20"/>
                <w:szCs w:val="20"/>
                <w:color w:val="auto"/>
              </w:rPr>
            </w:pPr>
            <w:r>
              <w:rPr>
                <w:rFonts w:ascii="Arial" w:cs="Arial" w:eastAsia="Arial" w:hAnsi="Arial"/>
                <w:sz w:val="18"/>
                <w:szCs w:val="18"/>
                <w:color w:val="auto"/>
              </w:rPr>
              <w:t>Summarized quarterly financial data for fiscal 2012 and 2011 are as follows:</w:t>
            </w: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2"/>
        </w:trPr>
        <w:tc>
          <w:tcPr>
            <w:tcW w:w="120" w:type="dxa"/>
            <w:vAlign w:val="bottom"/>
          </w:tcPr>
          <w:p>
            <w:pPr>
              <w:spacing w:after="0"/>
              <w:rPr>
                <w:sz w:val="20"/>
                <w:szCs w:val="20"/>
                <w:color w:val="auto"/>
              </w:rPr>
            </w:pPr>
          </w:p>
        </w:tc>
        <w:tc>
          <w:tcPr>
            <w:tcW w:w="6940" w:type="dxa"/>
            <w:vAlign w:val="bottom"/>
            <w:tcBorders>
              <w:bottom w:val="single" w:sz="8" w:color="auto"/>
            </w:tcBorders>
            <w:gridSpan w:val="2"/>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60"/>
        </w:trPr>
        <w:tc>
          <w:tcPr>
            <w:tcW w:w="120" w:type="dxa"/>
            <w:vAlign w:val="bottom"/>
          </w:tcPr>
          <w:p>
            <w:pPr>
              <w:spacing w:after="0"/>
              <w:rPr>
                <w:sz w:val="13"/>
                <w:szCs w:val="13"/>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October 31, 2012</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6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616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$423,835</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$691,485</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$504,076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$339,294</w:t>
            </w: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Gross profit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146,651</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235,422</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178,122</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112,899</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19,923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68,818</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40,549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251</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0.33</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1.15</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0.69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0.00</w:t>
            </w:r>
          </w:p>
        </w:tc>
      </w:tr>
      <w:tr>
        <w:trPr>
          <w:trHeight w:val="189"/>
        </w:trPr>
        <w:tc>
          <w:tcPr>
            <w:tcW w:w="1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0.33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0.00</w:t>
            </w:r>
          </w:p>
        </w:tc>
      </w:tr>
      <w:tr>
        <w:trPr>
          <w:trHeight w:val="27"/>
        </w:trPr>
        <w:tc>
          <w:tcPr>
            <w:tcW w:w="120" w:type="dxa"/>
            <w:vAlign w:val="bottom"/>
          </w:tcPr>
          <w:p>
            <w:pPr>
              <w:spacing w:after="0"/>
              <w:rPr>
                <w:sz w:val="2"/>
                <w:szCs w:val="2"/>
                <w:color w:val="auto"/>
              </w:rPr>
            </w:pPr>
          </w:p>
        </w:tc>
        <w:tc>
          <w:tcPr>
            <w:tcW w:w="69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615"/>
        </w:trPr>
        <w:tc>
          <w:tcPr>
            <w:tcW w:w="120" w:type="dxa"/>
            <w:vAlign w:val="bottom"/>
          </w:tcPr>
          <w:p>
            <w:pPr>
              <w:spacing w:after="0"/>
              <w:rPr>
                <w:sz w:val="24"/>
                <w:szCs w:val="24"/>
                <w:color w:val="auto"/>
              </w:rPr>
            </w:pPr>
          </w:p>
        </w:tc>
        <w:tc>
          <w:tcPr>
            <w:tcW w:w="69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120" w:type="dxa"/>
            <w:vAlign w:val="bottom"/>
          </w:tcPr>
          <w:p>
            <w:pPr>
              <w:spacing w:after="0"/>
              <w:rPr>
                <w:sz w:val="13"/>
                <w:szCs w:val="13"/>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Fiscal year ended</w:t>
            </w: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color w:val="auto"/>
              </w:rPr>
              <w:t>October 31, 2011</w:t>
            </w: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Quarter</w:t>
            </w:r>
          </w:p>
        </w:tc>
        <w:tc>
          <w:tcPr>
            <w:tcW w:w="6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First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Third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Fourth</w:t>
            </w:r>
          </w:p>
        </w:tc>
        <w:tc>
          <w:tcPr>
            <w:tcW w:w="160" w:type="dxa"/>
            <w:vAlign w:val="bottom"/>
          </w:tcPr>
          <w:p>
            <w:pPr>
              <w:spacing w:after="0"/>
              <w:rPr>
                <w:sz w:val="15"/>
                <w:szCs w:val="15"/>
                <w:color w:val="auto"/>
              </w:rPr>
            </w:pPr>
          </w:p>
        </w:tc>
      </w:tr>
      <w:tr>
        <w:trPr>
          <w:trHeight w:val="162"/>
        </w:trPr>
        <w:tc>
          <w:tcPr>
            <w:tcW w:w="120" w:type="dxa"/>
            <w:vAlign w:val="bottom"/>
          </w:tcPr>
          <w:p>
            <w:pPr>
              <w:spacing w:after="0"/>
              <w:rPr>
                <w:sz w:val="14"/>
                <w:szCs w:val="14"/>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6160" w:type="dxa"/>
            <w:vAlign w:val="bottom"/>
            <w:shd w:val="clear" w:color="auto" w:fill="CCEEFF"/>
          </w:tcPr>
          <w:p>
            <w:pPr>
              <w:spacing w:after="0"/>
              <w:rPr>
                <w:sz w:val="14"/>
                <w:szCs w:val="14"/>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$383,213</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$631,601</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$501,045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$368,094</w:t>
            </w:r>
          </w:p>
        </w:tc>
      </w:tr>
      <w:tr>
        <w:trPr>
          <w:trHeight w:val="162"/>
        </w:trPr>
        <w:tc>
          <w:tcPr>
            <w:tcW w:w="1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Gross profit</w:t>
            </w:r>
          </w:p>
        </w:tc>
        <w:tc>
          <w:tcPr>
            <w:tcW w:w="616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136,645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213,554</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167,661</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118,787</w:t>
            </w:r>
          </w:p>
        </w:tc>
      </w:tr>
      <w:tr>
        <w:trPr>
          <w:trHeight w:val="162"/>
        </w:trPr>
        <w:tc>
          <w:tcPr>
            <w:tcW w:w="120" w:type="dxa"/>
            <w:vAlign w:val="bottom"/>
          </w:tcPr>
          <w:p>
            <w:pPr>
              <w:spacing w:after="0"/>
              <w:rPr>
                <w:sz w:val="14"/>
                <w:szCs w:val="14"/>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17,282</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60,250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35,091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5,035</w:t>
            </w:r>
          </w:p>
        </w:tc>
      </w:tr>
      <w:tr>
        <w:trPr>
          <w:trHeight w:val="189"/>
        </w:trPr>
        <w:tc>
          <w:tcPr>
            <w:tcW w:w="120" w:type="dxa"/>
            <w:vAlign w:val="bottom"/>
          </w:tcPr>
          <w:p>
            <w:pPr>
              <w:spacing w:after="0"/>
              <w:rPr>
                <w:sz w:val="16"/>
                <w:szCs w:val="16"/>
                <w:color w:val="auto"/>
              </w:rPr>
            </w:pPr>
          </w:p>
        </w:tc>
        <w:tc>
          <w:tcPr>
            <w:tcW w:w="6940" w:type="dxa"/>
            <w:vAlign w:val="bottom"/>
            <w:gridSpan w:val="2"/>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0.27</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0.96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0.08</w:t>
            </w:r>
          </w:p>
        </w:tc>
      </w:tr>
      <w:tr>
        <w:trPr>
          <w:trHeight w:val="189"/>
        </w:trPr>
        <w:tc>
          <w:tcPr>
            <w:tcW w:w="1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0.08</w:t>
            </w:r>
          </w:p>
        </w:tc>
      </w:tr>
      <w:tr>
        <w:trPr>
          <w:trHeight w:val="27"/>
        </w:trPr>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40"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8" w:name="page69"/>
    <w:bookmarkEnd w:id="68"/>
    <w:p>
      <w:pPr>
        <w:ind w:right="660"/>
        <w:spacing w:after="0" w:line="26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4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maintains disclosure controls and procedures (as defined in Exchange Act Rules 13a-15(e) and 15d-15(e)) that are designed to provide reasonable assurance that information required to be disclosed by the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the company recognizes that any controls and procedures, no matter how well designed and operated, can provide only reasonable assurance of achieving the desired control objectives, and management is required to apply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relating to the company and its consolidated subsidiaries is accumulated and communicated to management, including the Chief Executive Officer and Chief Financial Officer, as appropriate to allow timely decisions regarding required disclosures.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2012 that has materially affected, or is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4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proxy statement for its 2013 Annual Meeting of Shareholders to be filed with the SEC.</w:t>
      </w:r>
    </w:p>
    <w:p>
      <w:pPr>
        <w:spacing w:after="0" w:line="21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During the fourth quarter of fiscal 2012, the company did not make any material changes to the procedures by which shareholders may recommend nominees to the board of directors, as described in the company's proxy statement for its 2012 Annual Meeting of Shareholders.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The company intends to satisfy the disclosure requirements of Item 5.05 of Form 8-K and applicable NYSE rules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4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"Executive Compensation" and "Corporate Governance – Director Compensation" in the company's proxy statement for its 2013 Annual Meeting of Shareholders to be filed with the SEC.</w:t>
      </w:r>
    </w:p>
    <w:p>
      <w:pPr>
        <w:spacing w:after="0" w:line="172" w:lineRule="exact"/>
        <w:rPr>
          <w:sz w:val="20"/>
          <w:szCs w:val="20"/>
          <w:color w:val="auto"/>
        </w:rPr>
      </w:pPr>
    </w:p>
    <w:p>
      <w:pPr>
        <w:ind w:right="460"/>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"Stock Ownership" and "Equity Compensation Plan Information" in the company's proxy statement for its 2013 Annual Meeting of Shareholders to be filed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proxy statement for its 2013 Annual Meeting of Shareholders to be filed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4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Three – Ratification of Selection of Independent Registered Public Accounting Firm – Audit, Audit-Related, Tax and Other Fees" and "Proposal Three – Ratification of Selection of Independent Registered Public Accounting Firm – Pre-Approval Policies and Procedures" in the company's proxy statement for its 2013 Annual Meeting of Shareholders to be filed with the SEC.</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24"/>
          <w:szCs w:val="24"/>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consolidated subsidiaries are included in Part II, Item 8, "Financial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of this report:</w:t>
      </w:r>
    </w:p>
    <w:p>
      <w:pPr>
        <w:spacing w:after="0" w:line="212"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2012, 2011, and 2010.</w:t>
      </w: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October 31, 2012, 2011, and 2010.</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Balance Sheets as of October 31, 2012 and 2011.</w:t>
      </w:r>
    </w:p>
    <w:p>
      <w:pPr>
        <w:ind w:left="540" w:hanging="532"/>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2012, 2011, and 2010.</w:t>
      </w: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October 31, 2012, 2011, and 2010.</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1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460" w:firstLine="137"/>
        <w:spacing w:after="0" w:line="23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195"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36" w:lineRule="exact"/>
        <w:rPr>
          <w:sz w:val="20"/>
          <w:szCs w:val="20"/>
          <w:color w:val="auto"/>
        </w:rPr>
      </w:pPr>
    </w:p>
    <w:p>
      <w:pPr>
        <w:ind w:right="500"/>
        <w:spacing w:after="0" w:line="328" w:lineRule="auto"/>
        <w:rPr>
          <w:sz w:val="20"/>
          <w:szCs w:val="20"/>
          <w:color w:val="auto"/>
        </w:rPr>
      </w:pPr>
      <w:r>
        <w:rPr>
          <w:rFonts w:ascii="Arial" w:cs="Arial" w:eastAsia="Arial" w:hAnsi="Arial"/>
          <w:sz w:val="16"/>
          <w:szCs w:val="16"/>
          <w:b w:val="1"/>
          <w:bCs w:val="1"/>
          <w:color w:val="auto"/>
        </w:rPr>
        <w:t xml:space="preserve">2.1 (1) </w:t>
      </w:r>
      <w:r>
        <w:rPr>
          <w:rFonts w:ascii="Arial" w:cs="Arial" w:eastAsia="Arial" w:hAnsi="Arial"/>
          <w:sz w:val="16"/>
          <w:szCs w:val="16"/>
          <w:color w:val="auto"/>
        </w:rPr>
        <w:t>Agreement to Form Joint Venture dated August 12, 2009 by and between The Toro Company and TCF Inventory Finance, Inc.</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2.1 to Registrant's Current Report on Form 8-K dated August 12, 2009,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color w:val="auto"/>
        </w:rPr>
        <w:t xml:space="preserve">2.2 (2) </w:t>
      </w:r>
      <w:r>
        <w:rPr>
          <w:rFonts w:ascii="Arial" w:cs="Arial" w:eastAsia="Arial" w:hAnsi="Arial"/>
          <w:sz w:val="18"/>
          <w:szCs w:val="18"/>
          <w:color w:val="auto"/>
        </w:rPr>
        <w:t>First Amendment to Agreement to Form Joint Venture dated June 6, 2012, by and between The Toro Company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2.1 to Registrant's Quarterly Report on Form 10-Q for the fiscal quarter ended May 4, 2012, Commission File No. 1-8649).**</w:t>
      </w:r>
    </w:p>
    <w:p>
      <w:pPr>
        <w:sectPr>
          <w:pgSz w:w="11900" w:h="16838" w:orient="portrait"/>
          <w:cols w:equalWidth="0" w:num="1">
            <w:col w:w="11400"/>
          </w:cols>
          <w:pgMar w:left="240" w:top="566" w:right="259"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6" w:right="259" w:bottom="1440" w:gutter="0" w:footer="0" w:header="0"/>
          <w:type w:val="continuous"/>
        </w:sectPr>
      </w:pPr>
    </w:p>
    <w:bookmarkStart w:id="70" w:name="page71"/>
    <w:bookmarkEnd w:id="70"/>
    <w:p>
      <w:pPr>
        <w:ind w:right="120"/>
        <w:spacing w:after="0" w:line="249" w:lineRule="auto"/>
        <w:rPr>
          <w:sz w:val="20"/>
          <w:szCs w:val="20"/>
          <w:color w:val="auto"/>
        </w:rPr>
      </w:pPr>
      <w:r>
        <w:rPr>
          <w:rFonts w:ascii="Arial" w:cs="Arial" w:eastAsia="Arial" w:hAnsi="Arial"/>
          <w:sz w:val="18"/>
          <w:szCs w:val="18"/>
          <w:b w:val="1"/>
          <w:bCs w:val="1"/>
          <w:color w:val="auto"/>
        </w:rPr>
        <w:t xml:space="preserve">2.3 (1) </w:t>
      </w:r>
      <w:r>
        <w:rPr>
          <w:rFonts w:ascii="Arial" w:cs="Arial" w:eastAsia="Arial" w:hAnsi="Arial"/>
          <w:sz w:val="18"/>
          <w:szCs w:val="18"/>
          <w:color w:val="auto"/>
        </w:rPr>
        <w:t>Limited Liability Company Agreement of Red Iron Acceptance, LLC dated August 12, 2009 by and between Red Iron Holding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TCFIF Joint Venture I, LLC (incorporated by reference to Exhibit 2.2 to Registrant's Current Report on Form 8-K dated August 12, 2009,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Amendment No. 1 to Limited Liability Company Agreement of Red Iron Acceptance, LLC (filed herewith).**</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2.5 (2) </w:t>
      </w:r>
      <w:r>
        <w:rPr>
          <w:rFonts w:ascii="Arial" w:cs="Arial" w:eastAsia="Arial" w:hAnsi="Arial"/>
          <w:sz w:val="18"/>
          <w:szCs w:val="18"/>
          <w:color w:val="auto"/>
        </w:rPr>
        <w:t>Second Amendment to Limited Liability Company Agreement of Red Iron Acceptance, LLC, dated June 6, 2012, by and between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Corporation and TCFIF Joint Venture I, LLC (incorporated by reference to Exhibit 2.2 to Registrant's Quarterly Report on Form 10-Q for the fiscal quarter ended May 4, 2012, Commission File No. 1-8649).**</w:t>
      </w:r>
    </w:p>
    <w:p>
      <w:pPr>
        <w:spacing w:after="0" w:line="207"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color w:val="auto"/>
        </w:rPr>
        <w:t>Receivable Purchase Agreement by and among Toro Credit Company, as Seller, The Toro Company, and Red Iron Acceptance, LLC, as</w:t>
      </w:r>
      <w:r>
        <w:rPr>
          <w:rFonts w:ascii="Arial" w:cs="Arial" w:eastAsia="Arial" w:hAnsi="Arial"/>
          <w:sz w:val="16"/>
          <w:szCs w:val="16"/>
          <w:b w:val="1"/>
          <w:bCs w:val="1"/>
          <w:color w:val="auto"/>
        </w:rPr>
        <w:t xml:space="preserve"> </w:t>
      </w:r>
      <w:r>
        <w:rPr>
          <w:rFonts w:ascii="Arial" w:cs="Arial" w:eastAsia="Arial" w:hAnsi="Arial"/>
          <w:sz w:val="16"/>
          <w:szCs w:val="16"/>
          <w:color w:val="auto"/>
        </w:rPr>
        <w:t>Buyer (incorporated by reference to Exhibit 2.1 to Registrant's Current Report on Form 8-K dated October 1, 2009, Commission File No. 1-8649).**</w:t>
      </w:r>
    </w:p>
    <w:p>
      <w:pPr>
        <w:spacing w:after="0" w:line="14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Second Amended and Restated Repurchase Agreement (Two Step), dated as of October 29, 2010, by and between The Toro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Red Iron Acceptance, LLC (incorporated by reference to Exhibit 2.1 to Registrant's Current Report on Form 8-K dated October 29, 2010, Commission File No. 1-8649).**</w:t>
      </w:r>
    </w:p>
    <w:p>
      <w:pPr>
        <w:spacing w:after="0" w:line="20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First Amendment to Second Amended and Restated Repurchase Agreement (Two Step), by and between The Toro Company and Red Iron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LLC (incorporated by reference to Exhibit 2.5 to Registrant's Annual Report on Form 10-K for the fiscal year ended October 31, 2011, Commission File No. 1-8649).</w:t>
      </w:r>
    </w:p>
    <w:p>
      <w:pPr>
        <w:spacing w:after="0" w:line="207"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Second Amendment to Second Amended and Restated Repurchase Agreement (Two Step), dated June 6, 2012, by and between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Red Iron Acceptance, LLC (incorporated by reference to Exhibit 2.3 to Registrant's Quarterly Report on Form 10-Q for the fiscal quarter ended May 4, 2012, Commission File No. 1-8649).</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 Commission File No. 1-8649).</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1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pacing w:after="0" w:line="20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Form of The Toro Company 6.625% Note due May 1, 2037 (incorporated by reference to Exhibit 4.2 to Registrant's Current Report on Form 8-K dated April 23, 2007, Commission File No. 1-8649).</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Toro Company 2010 Equity and Incentive Plan (incorporated by reference to Exhibit 10.1 to Registrant's Current Report on Form 8-K</w:t>
      </w:r>
      <w:r>
        <w:rPr>
          <w:rFonts w:ascii="Arial" w:cs="Arial" w:eastAsia="Arial" w:hAnsi="Arial"/>
          <w:sz w:val="18"/>
          <w:szCs w:val="18"/>
          <w:b w:val="1"/>
          <w:bCs w:val="1"/>
          <w:color w:val="auto"/>
        </w:rPr>
        <w:t xml:space="preserve"> </w:t>
      </w:r>
      <w:r>
        <w:rPr>
          <w:rFonts w:ascii="Arial" w:cs="Arial" w:eastAsia="Arial" w:hAnsi="Arial"/>
          <w:sz w:val="18"/>
          <w:szCs w:val="18"/>
          <w:color w:val="auto"/>
        </w:rPr>
        <w:t>dated March 16, 2010, Commission File No. 1-8649).*</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Amendment No. 1 to The Toro Company 2010 Equity and Incentive Plan (incorporated by reference to Exhibit 10.2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 October 31, 2012, Commission File No. 1-8649).*</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 Commission File No. 1-8649).*</w:t>
      </w:r>
    </w:p>
    <w:p>
      <w:pPr>
        <w:spacing w:after="0" w:line="19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2000 Stock Option Plan (As Amended December 3, 2008) (incorporated by reference to Exhibit 10.5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Report on Form 10-K for the fiscal year ended October 31, 2008, Commission File No. 1-8649).*</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Supplemental Benefit Plan, Amended and Restated Effective January 1, 2009 (incorporated by reference to Exhibit 10(d)</w:t>
      </w:r>
      <w:r>
        <w:rPr>
          <w:rFonts w:ascii="Arial" w:cs="Arial" w:eastAsia="Arial" w:hAnsi="Arial"/>
          <w:sz w:val="18"/>
          <w:szCs w:val="18"/>
          <w:b w:val="1"/>
          <w:bCs w:val="1"/>
          <w:color w:val="auto"/>
        </w:rPr>
        <w:t xml:space="preserve"> </w:t>
      </w:r>
      <w:r>
        <w:rPr>
          <w:rFonts w:ascii="Arial" w:cs="Arial" w:eastAsia="Arial" w:hAnsi="Arial"/>
          <w:sz w:val="18"/>
          <w:szCs w:val="18"/>
          <w:color w:val="auto"/>
        </w:rPr>
        <w:t>to Registrant's Quarterly Report on Form 10-Q for the quarter ended August 1, 2008, Commission File No. 1-8649).*</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1" w:name="page72"/>
    <w:bookmarkEnd w:id="71"/>
    <w:p>
      <w:pPr>
        <w:ind w:right="800"/>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 Commission File No. 1-8649).*</w:t>
      </w:r>
    </w:p>
    <w:p>
      <w:pPr>
        <w:spacing w:after="0" w:line="19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b w:val="1"/>
          <w:bCs w:val="1"/>
          <w:color w:val="auto"/>
        </w:rPr>
        <w:t xml:space="preserve">10.8 </w:t>
      </w:r>
      <w:r>
        <w:rPr>
          <w:rFonts w:ascii="Arial" w:cs="Arial" w:eastAsia="Arial" w:hAnsi="Arial"/>
          <w:sz w:val="16"/>
          <w:szCs w:val="16"/>
          <w:color w:val="auto"/>
        </w:rPr>
        <w:t>The Toro Company Deferred Compensation Plan for Officers, Amended and Restated Effective January 1, 2009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to Exhibit 10 (b) to Registrant's Quarterly Report on Form 10-Q for the quarter ended August 1, 2008, Commission File No. 1-8649).*</w:t>
      </w:r>
    </w:p>
    <w:p>
      <w:pPr>
        <w:spacing w:after="0" w:line="14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Deferred Compensation Plan for Non-Employee Directors, Amended and Restated Effective January 1, 2009</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August 1, 2008, Commission File No. 1-8649).*</w:t>
      </w:r>
    </w:p>
    <w:p>
      <w:pPr>
        <w:spacing w:after="0" w:line="20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The Toro Company 2000 Directors Stock Plan (As Amended March 18, 2009) (incorporated by reference to Exhibit 10.1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May 1, 2009, Commission File No. 1-8649).*</w:t>
      </w:r>
    </w:p>
    <w:p>
      <w:pPr>
        <w:spacing w:after="0" w:line="193"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Form of Nonqualified Stock Option Agreement between The Toro Company and its Non-Employee Directors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Directors Stock Plan (incorporated by reference to Exhibit 10.20 to Registrant's Annual Report on Form 10-K for the fiscal year ended October 31, 2008, Commission File No. 1-8649).*</w:t>
      </w:r>
    </w:p>
    <w:p>
      <w:pPr>
        <w:spacing w:after="0" w:line="20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Form of Nonemployee Director Stock Option Agreement between The Toro Company and its Non-Employee Directors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(incorporated by reference to Exhibit 10.1 to Registrant's Quarterly Report on Form 10-Q for the quarter ended July 30, 2010, Commission File No. 1-8649).*</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2000 Stock Option Plan (incorporated by reference to Exhibit 10.21 to Registrant's Annual Report on Form 10-K for the fiscal year ended October 31, 2008, Commission File No. 1-8649).*</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Form of Nonqualified Stock Option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10.2 to Registrant's Quarterly Report on Form 10-Q for the quarter ended July 30, 2010, Commission File No. 1-8649).*</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Plan (incorporated by reference to Exhibit 10(t) to Registrant's Annual Report on Form 10-K for the fiscal year ended October 31, 2007, Commission File No. 1-8649).*</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Form of Performance Share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10.17 to Registrant's Annual Report on Form 10-K for the fiscal year ended October 31, 2010, Commission File No. 1-8649).*</w:t>
      </w:r>
    </w:p>
    <w:p>
      <w:pPr>
        <w:spacing w:after="0" w:line="207"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Form of Annual Performance Award Agreement between The Toro Company and its officers and other employees under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2010 Equity and Incentive Plan (incorporated by reference to Exhibit 10.17 to Registrant's Annual Report on Form 10-K for the fiscal year ended October 31, 2011, Commission File No. 1-8649).*</w:t>
      </w:r>
    </w:p>
    <w:p>
      <w:pPr>
        <w:spacing w:after="0" w:line="207"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color w:val="auto"/>
        </w:rPr>
        <w:t xml:space="preserve">10.18 </w:t>
      </w:r>
      <w:r>
        <w:rPr>
          <w:rFonts w:ascii="Arial" w:cs="Arial" w:eastAsia="Arial" w:hAnsi="Arial"/>
          <w:sz w:val="18"/>
          <w:szCs w:val="18"/>
          <w:color w:val="auto"/>
        </w:rPr>
        <w:t>Form of Restricted Stock Award Agreement between The Toro Company and its officers and other employees under The Toro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2010 Equity and Incentive Plan (incorporated by reference to Exhibit 10.3 to Registrant's Quarterly Report on Form 10-Q for the quarter ended July 30, 2010,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Form of Restricted Stock Unit Award Agreement (filed herewith).*</w:t>
      </w:r>
    </w:p>
    <w:p>
      <w:pPr>
        <w:spacing w:after="0" w:line="2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 Commission File No. 1-8649).*</w:t>
      </w:r>
    </w:p>
    <w:p>
      <w:pPr>
        <w:spacing w:after="0" w:line="193"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The Toro Company Change in Control Severance Compensation Policy and attached Form of Release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10.1 to Registrant's Current Report on Form 8-K dated January 18, 2011, Commission File No. 1-8649).*</w:t>
      </w:r>
    </w:p>
    <w:p>
      <w:pPr>
        <w:spacing w:after="0" w:line="193"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Offer Letter dated July 25, 2011 between The Toro Company and Renee J. Peterson (incorporated by reference to Exhibit 10.1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Current Report on Form 8-K dated July 29, 2011, Commission File No. 1-8649).*</w:t>
      </w:r>
    </w:p>
    <w:p>
      <w:pPr>
        <w:spacing w:after="0" w:line="193"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color w:val="auto"/>
        </w:rPr>
        <w:t xml:space="preserve">10.23 </w:t>
      </w:r>
      <w:r>
        <w:rPr>
          <w:rFonts w:ascii="Arial" w:cs="Arial" w:eastAsia="Arial" w:hAnsi="Arial"/>
          <w:sz w:val="16"/>
          <w:szCs w:val="16"/>
          <w:color w:val="auto"/>
        </w:rPr>
        <w:t>Credit Agreement dated as of July 28, 2011, among The Toro Company, Toro Manufacturing LLC, Exmark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Toro International Company and certain subsidiaries, as Borrowers, the lenders from time to time party thereto, Bank of America, N.A., as Administrative Agent, Swing Line Lender and Letter of Credit Issuer and Wells Fargo Bank, National Association, as Syndication Agent (incorporated by reference to Exhibit 10.1 to Registrant's Current Report on Form 8-K dated July 28, 2011, Commission File No. 1-8649).</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2" w:name="page73"/>
    <w:bookmarkEnd w:id="72"/>
    <w:p>
      <w:pPr>
        <w:spacing w:after="0" w:line="249"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Underwriting Agreement, dated as of April 23, 2007, between The Toro Company and Banc of America Securities LLC, as representative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several underwriters named therein (incorporated by reference to Exhibit 1.1 to Registrant's Current Report on Form 8-K dated April 23, 2007, Commission File No. 1-8649).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10.25 (1)  </w:t>
      </w:r>
      <w:r>
        <w:rPr>
          <w:rFonts w:ascii="Arial" w:cs="Arial" w:eastAsia="Arial" w:hAnsi="Arial"/>
          <w:sz w:val="18"/>
          <w:szCs w:val="18"/>
          <w:color w:val="auto"/>
        </w:rPr>
        <w:t>Credit and Security Agreement dated August 12, 2009 by and between Red Iron Acceptance, LLC and TCF Inventory Finance,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10.1 to Registrant's Current Report on Form 8-K dated August 12, 2009, Commission File No. 1-8649).</w:t>
      </w:r>
    </w:p>
    <w:p>
      <w:pPr>
        <w:spacing w:after="0" w:line="21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b w:val="1"/>
          <w:bCs w:val="1"/>
          <w:color w:val="auto"/>
        </w:rPr>
        <w:t xml:space="preserve">10.26 (1) </w:t>
      </w:r>
      <w:r>
        <w:rPr>
          <w:rFonts w:ascii="Arial" w:cs="Arial" w:eastAsia="Arial" w:hAnsi="Arial"/>
          <w:sz w:val="18"/>
          <w:szCs w:val="18"/>
          <w:color w:val="auto"/>
        </w:rPr>
        <w:t>First Amendment to Credit and Security Agreement, dated June 6, 2012, by and between Red Iron Acceptance, LLC and TCF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Inc. (incorporated by reference to Exhibit 10.1 to Registrant's Quarterly Report on Form 10-Q dated May 4, 2012, Commission File No. 1-8649).</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Asset Purchase Agreement, dated as of February 8, 2005, by and among Editland Limited, Toro Hayter (Guernsey) Limited, Hayter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Toro Company (incorporated by reference to Exhibit 99.1 to Registrant's Current Report on Form 8-K dated February 8, 2005, Commission File No. 1-8649).</w:t>
      </w:r>
    </w:p>
    <w:p>
      <w:pPr>
        <w:spacing w:after="0" w:line="22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 (filed herewith).</w:t>
      </w:r>
    </w:p>
    <w:p>
      <w:pPr>
        <w:spacing w:after="0" w:line="23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Subsidiaries of Registrant (filed herewith).</w:t>
      </w:r>
    </w:p>
    <w:p>
      <w:pPr>
        <w:spacing w:after="0" w:line="23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 (filed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Certification of Chief Financial Officer Pursuant to Rule 13a-14(a) (Section 302 of the Sarbanes-Oxley Act of 2002) (filed herewith).</w:t>
      </w:r>
    </w:p>
    <w:p>
      <w:pPr>
        <w:spacing w:after="0" w:line="261" w:lineRule="exact"/>
        <w:rPr>
          <w:sz w:val="20"/>
          <w:szCs w:val="20"/>
          <w:color w:val="auto"/>
        </w:rPr>
      </w:pPr>
    </w:p>
    <w:p>
      <w:pPr>
        <w:ind w:right="40" w:firstLine="8"/>
        <w:spacing w:after="0" w:line="239" w:lineRule="auto"/>
        <w:tabs>
          <w:tab w:leader="none" w:pos="342"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36" w:lineRule="exact"/>
        <w:rPr>
          <w:sz w:val="20"/>
          <w:szCs w:val="20"/>
          <w:color w:val="auto"/>
        </w:rPr>
      </w:pPr>
    </w:p>
    <w:p>
      <w:pPr>
        <w:ind w:firstLine="8"/>
        <w:spacing w:after="0" w:line="236" w:lineRule="auto"/>
        <w:tabs>
          <w:tab w:leader="none" w:pos="436"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following financial information from The Toro Company's Annual Report on Form 10-K for the fiscal year ended October 31, 2012, filed with the SEC on December 21, 2012, formatted in eXtensible Business Reporting Language (XBRL): (i) Consolidated Statements of Earnings for each of the fiscal years in the three-year period ended October 31, 2012, (ii) Consolidated Statements of Comprehensive Income for each of the fiscal years in the three-year period ended October 31, 2012, (iii) Consolidated Balance Sheets as of October 31, 2012 and 2011, (iv) Consolidated Statements of Cash Flows for each of the fiscal years in the three-year period ended October 31, 2012, (v) Consolidated Statements of Stockholders' Equity each of the fiscal years in the three-year period ended October 31, 2012, and (vi) Notes to Consolidated Financial Statements.</w:t>
      </w:r>
    </w:p>
    <w:p>
      <w:pPr>
        <w:spacing w:after="0" w:line="211" w:lineRule="exact"/>
        <w:rPr>
          <w:sz w:val="20"/>
          <w:szCs w:val="20"/>
          <w:color w:val="auto"/>
        </w:rPr>
      </w:pPr>
    </w:p>
    <w:p>
      <w:pPr>
        <w:ind w:left="540" w:right="440" w:hanging="532"/>
        <w:spacing w:after="0" w:line="258"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24035). The redacted material was filed separately with the Securities and Exchange Commission.</w:t>
      </w:r>
    </w:p>
    <w:p>
      <w:pPr>
        <w:spacing w:after="0" w:line="140" w:lineRule="exact"/>
        <w:rPr>
          <w:rFonts w:ascii="Arial" w:cs="Arial" w:eastAsia="Arial" w:hAnsi="Arial"/>
          <w:sz w:val="14"/>
          <w:szCs w:val="14"/>
          <w:color w:val="auto"/>
        </w:rPr>
      </w:pPr>
    </w:p>
    <w:p>
      <w:pPr>
        <w:ind w:left="540" w:right="440" w:hanging="532"/>
        <w:spacing w:after="0" w:line="258"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Portions of this exhibit have been redacted and are subject to an order granting confidential treatment under the Securities Exchange Act of 1934, as amended (File No. 001-08649, CF # 28545). The redacted material was filed separately with the Securities and Exchange Commission.</w:t>
      </w:r>
    </w:p>
    <w:p>
      <w:pPr>
        <w:spacing w:after="0" w:line="140" w:lineRule="exact"/>
        <w:rPr>
          <w:sz w:val="20"/>
          <w:szCs w:val="20"/>
          <w:color w:val="auto"/>
        </w:rPr>
      </w:pPr>
    </w:p>
    <w:p>
      <w:pPr>
        <w:ind w:left="540" w:right="100" w:hanging="532"/>
        <w:spacing w:after="0" w:line="24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 of Regulation S-K.</w:t>
      </w:r>
    </w:p>
    <w:p>
      <w:pPr>
        <w:spacing w:after="0" w:line="319" w:lineRule="exact"/>
        <w:rPr>
          <w:sz w:val="20"/>
          <w:szCs w:val="20"/>
          <w:color w:val="auto"/>
        </w:rPr>
      </w:pPr>
    </w:p>
    <w:p>
      <w:pPr>
        <w:ind w:left="540" w:right="500" w:hanging="532"/>
        <w:spacing w:after="0" w:line="258"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3" w:name="page74"/>
    <w:bookmarkEnd w:id="73"/>
    <w:p>
      <w:pPr>
        <w:ind w:left="4900"/>
        <w:spacing w:after="0"/>
        <w:rPr>
          <w:sz w:val="20"/>
          <w:szCs w:val="20"/>
          <w:color w:val="auto"/>
        </w:rPr>
      </w:pPr>
      <w:r>
        <w:rPr>
          <w:rFonts w:ascii="Arial" w:cs="Arial" w:eastAsia="Arial" w:hAnsi="Arial"/>
          <w:sz w:val="24"/>
          <w:szCs w:val="24"/>
          <w:b w:val="1"/>
          <w:bCs w:val="1"/>
          <w:color w:val="auto"/>
        </w:rPr>
        <w:t>SCHEDULE II</w:t>
      </w:r>
    </w:p>
    <w:p>
      <w:pPr>
        <w:spacing w:after="0" w:line="224" w:lineRule="exact"/>
        <w:rPr>
          <w:sz w:val="20"/>
          <w:szCs w:val="20"/>
          <w:color w:val="auto"/>
        </w:rPr>
      </w:pPr>
    </w:p>
    <w:p>
      <w:pPr>
        <w:ind w:left="3240"/>
        <w:spacing w:after="0"/>
        <w:rPr>
          <w:sz w:val="20"/>
          <w:szCs w:val="20"/>
          <w:color w:val="auto"/>
        </w:rPr>
      </w:pPr>
      <w:r>
        <w:rPr>
          <w:rFonts w:ascii="Arial" w:cs="Arial" w:eastAsia="Arial" w:hAnsi="Arial"/>
          <w:sz w:val="24"/>
          <w:szCs w:val="24"/>
          <w:b w:val="1"/>
          <w:bCs w:val="1"/>
          <w:color w:val="auto"/>
        </w:rPr>
        <w:t>THE TORO COMPANY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Valuation and Qualifying Accounts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Balance as of</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Charged to</w:t>
            </w:r>
          </w:p>
        </w:tc>
        <w:tc>
          <w:tcPr>
            <w:tcW w:w="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Balance as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8"/>
              <w:spacing w:after="0" w:line="157" w:lineRule="exact"/>
              <w:rPr>
                <w:sz w:val="20"/>
                <w:szCs w:val="20"/>
                <w:color w:val="auto"/>
              </w:rPr>
            </w:pPr>
            <w:r>
              <w:rPr>
                <w:rFonts w:ascii="Arial" w:cs="Arial" w:eastAsia="Arial" w:hAnsi="Arial"/>
                <w:sz w:val="14"/>
                <w:szCs w:val="14"/>
                <w:color w:val="auto"/>
              </w:rPr>
              <w:t>the beginning</w:t>
            </w:r>
          </w:p>
        </w:tc>
        <w:tc>
          <w:tcPr>
            <w:tcW w:w="160" w:type="dxa"/>
            <w:vAlign w:val="bottom"/>
          </w:tcPr>
          <w:p>
            <w:pPr>
              <w:spacing w:after="0"/>
              <w:rPr>
                <w:sz w:val="13"/>
                <w:szCs w:val="13"/>
                <w:color w:val="auto"/>
              </w:rPr>
            </w:pP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costs and</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of the fiscal year</w:t>
            </w:r>
          </w:p>
        </w:tc>
        <w:tc>
          <w:tcPr>
            <w:tcW w:w="160" w:type="dxa"/>
            <w:vAlign w:val="bottom"/>
          </w:tcPr>
          <w:p>
            <w:pPr>
              <w:spacing w:after="0"/>
              <w:rPr>
                <w:sz w:val="18"/>
                <w:szCs w:val="18"/>
                <w:color w:val="auto"/>
              </w:rPr>
            </w:pPr>
          </w:p>
        </w:tc>
        <w:tc>
          <w:tcPr>
            <w:tcW w:w="72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500" w:type="dxa"/>
            <w:vAlign w:val="bottom"/>
          </w:tcPr>
          <w:p>
            <w:pPr>
              <w:jc w:val="right"/>
              <w:ind w:right="8"/>
              <w:spacing w:after="0" w:line="216" w:lineRule="exact"/>
              <w:rPr>
                <w:sz w:val="20"/>
                <w:szCs w:val="20"/>
                <w:color w:val="auto"/>
              </w:rPr>
            </w:pPr>
            <w:r>
              <w:rPr>
                <w:rFonts w:ascii="Arial" w:cs="Arial" w:eastAsia="Arial" w:hAnsi="Arial"/>
                <w:sz w:val="14"/>
                <w:szCs w:val="14"/>
                <w:color w:val="auto"/>
                <w:w w:val="93"/>
              </w:rPr>
              <w:t>Other</w:t>
            </w:r>
            <w:r>
              <w:rPr>
                <w:rFonts w:ascii="Arial" w:cs="Arial" w:eastAsia="Arial" w:hAnsi="Arial"/>
                <w:sz w:val="21"/>
                <w:szCs w:val="21"/>
                <w:color w:val="auto"/>
                <w:w w:val="93"/>
                <w:vertAlign w:val="superscript"/>
              </w:rPr>
              <w:t>2</w:t>
            </w:r>
          </w:p>
        </w:tc>
        <w:tc>
          <w:tcPr>
            <w:tcW w:w="160" w:type="dxa"/>
            <w:vAlign w:val="bottom"/>
          </w:tcPr>
          <w:p>
            <w:pPr>
              <w:spacing w:after="0"/>
              <w:rPr>
                <w:sz w:val="18"/>
                <w:szCs w:val="18"/>
                <w:color w:val="auto"/>
              </w:rPr>
            </w:pPr>
          </w:p>
        </w:tc>
        <w:tc>
          <w:tcPr>
            <w:tcW w:w="860" w:type="dxa"/>
            <w:vAlign w:val="bottom"/>
          </w:tcPr>
          <w:p>
            <w:pPr>
              <w:jc w:val="right"/>
              <w:ind w:right="8"/>
              <w:spacing w:after="0" w:line="216"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2012</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Allowance for doubtful accounts and notes receivable reserves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2,160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160" w:type="dxa"/>
            <w:vAlign w:val="bottom"/>
            <w:gridSpan w:val="3"/>
          </w:tcPr>
          <w:p>
            <w:pPr>
              <w:spacing w:after="0"/>
              <w:rPr>
                <w:sz w:val="20"/>
                <w:szCs w:val="20"/>
                <w:color w:val="auto"/>
              </w:rPr>
            </w:pPr>
            <w:r>
              <w:rPr>
                <w:rFonts w:ascii="Arial" w:cs="Arial" w:eastAsia="Arial" w:hAnsi="Arial"/>
                <w:sz w:val="14"/>
                <w:szCs w:val="14"/>
                <w:color w:val="auto"/>
              </w:rPr>
              <w:t>Fiscal year ended October 31, 2011</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160" w:type="dxa"/>
            <w:vAlign w:val="bottom"/>
            <w:gridSpan w:val="3"/>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26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3,904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1,925</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2010</w:t>
            </w: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4,151</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Provision/(recovery).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2</w:t>
            </w:r>
          </w:p>
        </w:tc>
        <w:tc>
          <w:tcPr>
            <w:tcW w:w="5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Addition, net due to acquisitions and divestitures.</w:t>
            </w: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00" w:type="dxa"/>
            <w:vAlign w:val="bottom"/>
            <w:gridSpan w:val="2"/>
            <w:vMerge w:val="restart"/>
          </w:tcPr>
          <w:p>
            <w:pPr>
              <w:spacing w:after="0"/>
              <w:rPr>
                <w:sz w:val="20"/>
                <w:szCs w:val="20"/>
                <w:color w:val="auto"/>
              </w:rPr>
            </w:pPr>
            <w:r>
              <w:rPr>
                <w:rFonts w:ascii="Arial" w:cs="Arial" w:eastAsia="Arial" w:hAnsi="Arial"/>
                <w:sz w:val="11"/>
                <w:szCs w:val="11"/>
                <w:color w:val="auto"/>
              </w:rPr>
              <w:t>3</w:t>
            </w:r>
          </w:p>
        </w:tc>
        <w:tc>
          <w:tcPr>
            <w:tcW w:w="58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00" w:type="dxa"/>
            <w:vAlign w:val="bottom"/>
            <w:gridSpan w:val="2"/>
            <w:vMerge w:val="continue"/>
          </w:tcPr>
          <w:p>
            <w:pPr>
              <w:spacing w:after="0"/>
              <w:rPr>
                <w:sz w:val="8"/>
                <w:szCs w:val="8"/>
                <w:color w:val="auto"/>
              </w:rPr>
            </w:pPr>
          </w:p>
        </w:tc>
        <w:tc>
          <w:tcPr>
            <w:tcW w:w="5860" w:type="dxa"/>
            <w:vAlign w:val="bottom"/>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Balance as of</w:t>
            </w:r>
          </w:p>
        </w:tc>
        <w:tc>
          <w:tcPr>
            <w:tcW w:w="10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Charged to</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the beginning</w:t>
            </w:r>
          </w:p>
        </w:tc>
        <w:tc>
          <w:tcPr>
            <w:tcW w:w="10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of the fiscal</w:t>
            </w:r>
          </w:p>
        </w:tc>
        <w:tc>
          <w:tcPr>
            <w:tcW w:w="260" w:type="dxa"/>
            <w:vAlign w:val="bottom"/>
          </w:tcPr>
          <w:p>
            <w:pPr>
              <w:spacing w:after="0"/>
              <w:rPr>
                <w:sz w:val="13"/>
                <w:szCs w:val="13"/>
                <w:color w:val="auto"/>
              </w:rPr>
            </w:pPr>
          </w:p>
        </w:tc>
        <w:tc>
          <w:tcPr>
            <w:tcW w:w="7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costs and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year</w:t>
            </w:r>
          </w:p>
        </w:tc>
        <w:tc>
          <w:tcPr>
            <w:tcW w:w="260" w:type="dxa"/>
            <w:vAlign w:val="bottom"/>
          </w:tcPr>
          <w:p>
            <w:pPr>
              <w:spacing w:after="0"/>
              <w:rPr>
                <w:sz w:val="18"/>
                <w:szCs w:val="18"/>
                <w:color w:val="auto"/>
              </w:rPr>
            </w:pPr>
          </w:p>
        </w:tc>
        <w:tc>
          <w:tcPr>
            <w:tcW w:w="760" w:type="dxa"/>
            <w:vAlign w:val="bottom"/>
            <w:gridSpan w:val="2"/>
          </w:tcPr>
          <w:p>
            <w:pPr>
              <w:jc w:val="right"/>
              <w:ind w:right="8"/>
              <w:spacing w:after="0" w:line="216" w:lineRule="exact"/>
              <w:rPr>
                <w:sz w:val="20"/>
                <w:szCs w:val="20"/>
                <w:color w:val="auto"/>
              </w:rPr>
            </w:pPr>
            <w:r>
              <w:rPr>
                <w:rFonts w:ascii="Arial" w:cs="Arial" w:eastAsia="Arial" w:hAnsi="Arial"/>
                <w:sz w:val="14"/>
                <w:szCs w:val="14"/>
                <w:color w:val="auto"/>
                <w:w w:val="97"/>
              </w:rPr>
              <w:t>expenses</w:t>
            </w:r>
            <w:r>
              <w:rPr>
                <w:rFonts w:ascii="Arial" w:cs="Arial" w:eastAsia="Arial" w:hAnsi="Arial"/>
                <w:sz w:val="21"/>
                <w:szCs w:val="21"/>
                <w:color w:val="auto"/>
                <w:w w:val="97"/>
                <w:vertAlign w:val="superscript"/>
              </w:rPr>
              <w:t>1</w:t>
            </w:r>
          </w:p>
        </w:tc>
        <w:tc>
          <w:tcPr>
            <w:tcW w:w="160" w:type="dxa"/>
            <w:vAlign w:val="bottom"/>
          </w:tcPr>
          <w:p>
            <w:pPr>
              <w:spacing w:after="0"/>
              <w:rPr>
                <w:sz w:val="18"/>
                <w:szCs w:val="18"/>
                <w:color w:val="auto"/>
              </w:rPr>
            </w:pPr>
          </w:p>
        </w:tc>
        <w:tc>
          <w:tcPr>
            <w:tcW w:w="860" w:type="dxa"/>
            <w:vAlign w:val="bottom"/>
          </w:tcPr>
          <w:p>
            <w:pPr>
              <w:jc w:val="right"/>
              <w:ind w:right="8"/>
              <w:spacing w:after="0" w:line="216" w:lineRule="exact"/>
              <w:rPr>
                <w:sz w:val="20"/>
                <w:szCs w:val="20"/>
                <w:color w:val="auto"/>
              </w:rPr>
            </w:pPr>
            <w:r>
              <w:rPr>
                <w:rFonts w:ascii="Arial" w:cs="Arial" w:eastAsia="Arial" w:hAnsi="Arial"/>
                <w:sz w:val="14"/>
                <w:szCs w:val="14"/>
                <w:color w:val="auto"/>
                <w:w w:val="97"/>
              </w:rPr>
              <w:t>Deductions</w:t>
            </w:r>
            <w:r>
              <w:rPr>
                <w:rFonts w:ascii="Arial" w:cs="Arial" w:eastAsia="Arial" w:hAnsi="Arial"/>
                <w:sz w:val="21"/>
                <w:szCs w:val="21"/>
                <w:color w:val="auto"/>
                <w:w w:val="97"/>
                <w:vertAlign w:val="superscript"/>
              </w:rPr>
              <w:t>2</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2012</w:t>
            </w: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47,161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214,474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205,371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56,264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160" w:type="dxa"/>
            <w:vAlign w:val="bottom"/>
            <w:gridSpan w:val="3"/>
          </w:tcPr>
          <w:p>
            <w:pPr>
              <w:spacing w:after="0"/>
              <w:rPr>
                <w:sz w:val="20"/>
                <w:szCs w:val="20"/>
                <w:color w:val="auto"/>
              </w:rPr>
            </w:pPr>
            <w:r>
              <w:rPr>
                <w:rFonts w:ascii="Arial" w:cs="Arial" w:eastAsia="Arial" w:hAnsi="Arial"/>
                <w:sz w:val="14"/>
                <w:szCs w:val="14"/>
                <w:color w:val="auto"/>
              </w:rPr>
              <w:t>Fiscal year ended October 31, 2011</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160" w:type="dxa"/>
            <w:vAlign w:val="bottom"/>
            <w:gridSpan w:val="3"/>
          </w:tcPr>
          <w:p>
            <w:pPr>
              <w:spacing w:after="0"/>
              <w:rPr>
                <w:sz w:val="20"/>
                <w:szCs w:val="20"/>
                <w:color w:val="auto"/>
              </w:rPr>
            </w:pPr>
            <w:r>
              <w:rPr>
                <w:rFonts w:ascii="Arial" w:cs="Arial" w:eastAsia="Arial" w:hAnsi="Arial"/>
                <w:sz w:val="14"/>
                <w:szCs w:val="14"/>
                <w:color w:val="auto"/>
              </w:rPr>
              <w:t>Accrued advertising and marketing programs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43,095</w:t>
            </w:r>
          </w:p>
        </w:tc>
        <w:tc>
          <w:tcPr>
            <w:tcW w:w="260" w:type="dxa"/>
            <w:vAlign w:val="bottom"/>
          </w:tcPr>
          <w:p>
            <w:pPr>
              <w:spacing w:after="0"/>
              <w:rPr>
                <w:sz w:val="15"/>
                <w:szCs w:val="15"/>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190,021</w:t>
            </w: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185,955</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47,161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Fiscal year ended October 31, 2010</w:t>
            </w: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advertising and marketing programs</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45,298</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191,799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194,002</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300" w:type="dxa"/>
            <w:vAlign w:val="bottom"/>
            <w:gridSpan w:val="2"/>
          </w:tcPr>
          <w:p>
            <w:pPr>
              <w:spacing w:after="0"/>
              <w:rPr>
                <w:sz w:val="20"/>
                <w:szCs w:val="20"/>
                <w:color w:val="auto"/>
              </w:rPr>
            </w:pPr>
            <w:r>
              <w:rPr>
                <w:rFonts w:ascii="Arial" w:cs="Arial" w:eastAsia="Arial" w:hAnsi="Arial"/>
                <w:sz w:val="11"/>
                <w:szCs w:val="11"/>
                <w:color w:val="auto"/>
              </w:rPr>
              <w:t>1</w:t>
            </w:r>
          </w:p>
        </w:tc>
        <w:tc>
          <w:tcPr>
            <w:tcW w:w="11120" w:type="dxa"/>
            <w:vAlign w:val="bottom"/>
            <w:gridSpan w:val="13"/>
            <w:vMerge w:val="restart"/>
          </w:tcPr>
          <w:p>
            <w:pPr>
              <w:ind w:left="240"/>
              <w:spacing w:after="0"/>
              <w:rPr>
                <w:sz w:val="20"/>
                <w:szCs w:val="20"/>
                <w:color w:val="auto"/>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1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120" w:type="dxa"/>
            <w:vAlign w:val="bottom"/>
          </w:tcPr>
          <w:p>
            <w:pPr>
              <w:ind w:left="240"/>
              <w:spacing w:after="0"/>
              <w:rPr>
                <w:sz w:val="20"/>
                <w:szCs w:val="20"/>
                <w:color w:val="auto"/>
              </w:rPr>
            </w:pPr>
            <w:r>
              <w:rPr>
                <w:rFonts w:ascii="Arial" w:cs="Arial" w:eastAsia="Arial" w:hAnsi="Arial"/>
                <w:sz w:val="14"/>
                <w:szCs w:val="14"/>
                <w:color w:val="auto"/>
              </w:rPr>
              <w:t>classified either as a reduction of net sales or as a component of selling, general, and administrative expense.</w:t>
            </w:r>
          </w:p>
        </w:tc>
        <w:tc>
          <w:tcPr>
            <w:tcW w:w="0" w:type="dxa"/>
            <w:vAlign w:val="bottom"/>
          </w:tcPr>
          <w:p>
            <w:pPr>
              <w:spacing w:after="0"/>
              <w:rPr>
                <w:sz w:val="1"/>
                <w:szCs w:val="1"/>
                <w:color w:val="auto"/>
              </w:rPr>
            </w:pPr>
          </w:p>
        </w:tc>
      </w:tr>
      <w:tr>
        <w:trPr>
          <w:trHeight w:val="95"/>
        </w:trPr>
        <w:tc>
          <w:tcPr>
            <w:tcW w:w="300" w:type="dxa"/>
            <w:vAlign w:val="bottom"/>
            <w:vMerge w:val="continue"/>
          </w:tcPr>
          <w:p>
            <w:pPr>
              <w:spacing w:after="0"/>
              <w:rPr>
                <w:sz w:val="8"/>
                <w:szCs w:val="8"/>
                <w:color w:val="auto"/>
              </w:rPr>
            </w:pPr>
          </w:p>
        </w:tc>
        <w:tc>
          <w:tcPr>
            <w:tcW w:w="11120" w:type="dxa"/>
            <w:vAlign w:val="bottom"/>
            <w:vMerge w:val="restart"/>
          </w:tcPr>
          <w:p>
            <w:pPr>
              <w:ind w:left="24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1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11120" w:type="dxa"/>
            <w:vAlign w:val="bottom"/>
          </w:tcPr>
          <w:p>
            <w:pPr>
              <w:jc w:val="right"/>
              <w:ind w:right="552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5"/>
        </w:trPr>
        <w:tc>
          <w:tcPr>
            <w:tcW w:w="300" w:type="dxa"/>
            <w:vAlign w:val="bottom"/>
            <w:tcBorders>
              <w:bottom w:val="single" w:sz="8" w:color="808080"/>
            </w:tcBorders>
          </w:tcPr>
          <w:p>
            <w:pPr>
              <w:spacing w:after="0"/>
              <w:rPr>
                <w:sz w:val="18"/>
                <w:szCs w:val="18"/>
                <w:color w:val="auto"/>
              </w:rPr>
            </w:pPr>
          </w:p>
        </w:tc>
        <w:tc>
          <w:tcPr>
            <w:tcW w:w="11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4" w:name="page75"/>
    <w:bookmarkEnd w:id="74"/>
    <w:p>
      <w:pPr>
        <w:jc w:val="center"/>
        <w:ind w:right="60"/>
        <w:spacing w:after="0"/>
        <w:rPr>
          <w:sz w:val="20"/>
          <w:szCs w:val="20"/>
          <w:color w:val="auto"/>
        </w:rPr>
      </w:pPr>
      <w:r>
        <w:rPr>
          <w:rFonts w:ascii="Arial" w:cs="Arial" w:eastAsia="Arial" w:hAnsi="Arial"/>
          <w:sz w:val="24"/>
          <w:szCs w:val="24"/>
          <w:b w:val="1"/>
          <w:bCs w:val="1"/>
          <w:color w:val="auto"/>
        </w:rPr>
        <w:t>SIGNATURES</w:t>
      </w:r>
    </w:p>
    <w:p>
      <w:pPr>
        <w:spacing w:after="0" w:line="2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55245</wp:posOffset>
            </wp:positionV>
            <wp:extent cx="18865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660"/>
        <w:spacing w:after="0"/>
        <w:tabs>
          <w:tab w:leader="none" w:pos="138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Renee J. Peterson</w:t>
      </w:r>
      <w:r>
        <w:rPr>
          <w:sz w:val="20"/>
          <w:szCs w:val="20"/>
          <w:color w:val="auto"/>
        </w:rPr>
        <w:tab/>
      </w:r>
      <w:r>
        <w:rPr>
          <w:rFonts w:ascii="Arial" w:cs="Arial" w:eastAsia="Arial" w:hAnsi="Arial"/>
          <w:sz w:val="16"/>
          <w:szCs w:val="16"/>
          <w:color w:val="auto"/>
        </w:rPr>
        <w:t>Dated: December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55245</wp:posOffset>
            </wp:positionV>
            <wp:extent cx="1886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Renee J. Peterson</w:t>
      </w:r>
    </w:p>
    <w:p>
      <w:pPr>
        <w:ind w:left="1400"/>
        <w:spacing w:after="0" w:line="234" w:lineRule="auto"/>
        <w:rPr>
          <w:sz w:val="20"/>
          <w:szCs w:val="20"/>
          <w:color w:val="auto"/>
        </w:rPr>
      </w:pPr>
      <w:r>
        <w:rPr>
          <w:rFonts w:ascii="Arial" w:cs="Arial" w:eastAsia="Arial" w:hAnsi="Arial"/>
          <w:sz w:val="18"/>
          <w:szCs w:val="18"/>
          <w:color w:val="auto"/>
        </w:rPr>
        <w:t>Vice President, Finance and</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147955</wp:posOffset>
            </wp:positionV>
            <wp:extent cx="5780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3" w:lineRule="exact"/>
        <w:rPr>
          <w:sz w:val="20"/>
          <w:szCs w:val="20"/>
          <w:color w:val="auto"/>
        </w:rPr>
      </w:pPr>
    </w:p>
    <w:p>
      <w:pPr>
        <w:ind w:left="1140"/>
        <w:spacing w:after="0"/>
        <w:tabs>
          <w:tab w:leader="none" w:pos="4420" w:val="left"/>
          <w:tab w:leader="none" w:pos="83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26035</wp:posOffset>
            </wp:positionV>
            <wp:extent cx="5780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Renee J. Peterson</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Blake M. 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55245</wp:posOffset>
            </wp:positionV>
            <wp:extent cx="17494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Blake M. Grams</w:t>
      </w:r>
    </w:p>
    <w:p>
      <w:pPr>
        <w:spacing w:after="0" w:line="2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69850</wp:posOffset>
            </wp:positionV>
            <wp:extent cx="17494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December 21, 2012</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Vice President, Finance and</w:t>
      </w:r>
      <w:r>
        <w:rPr>
          <w:sz w:val="20"/>
          <w:szCs w:val="20"/>
          <w:color w:val="auto"/>
        </w:rPr>
        <w:tab/>
      </w:r>
      <w:r>
        <w:rPr>
          <w:rFonts w:ascii="Arial" w:cs="Arial" w:eastAsia="Arial" w:hAnsi="Arial"/>
          <w:sz w:val="16"/>
          <w:szCs w:val="16"/>
          <w:color w:val="auto"/>
        </w:rPr>
        <w:t>December 21, 2012</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34"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21, 2012</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8"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21, 2012</w:t>
      </w:r>
    </w:p>
    <w:p>
      <w:pPr>
        <w:spacing w:after="0" w:line="614" w:lineRule="exact"/>
        <w:rPr>
          <w:sz w:val="20"/>
          <w:szCs w:val="20"/>
          <w:color w:val="auto"/>
        </w:rPr>
      </w:pPr>
    </w:p>
    <w:p>
      <w:pPr>
        <w:sectPr>
          <w:pgSz w:w="11900" w:h="16838" w:orient="portrait"/>
          <w:cols w:equalWidth="0" w:num="2">
            <w:col w:w="3720" w:space="720"/>
            <w:col w:w="6980"/>
          </w:cols>
          <w:pgMar w:left="240" w:top="314" w:right="239" w:bottom="1440" w:gutter="0" w:footer="0" w:header="0"/>
          <w:type w:val="continuous"/>
        </w:sectPr>
      </w:pPr>
    </w:p>
    <w:p>
      <w:pPr>
        <w:spacing w:after="0" w:line="39"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780" w:type="dxa"/>
            <w:vAlign w:val="bottom"/>
          </w:tcPr>
          <w:p>
            <w:pPr>
              <w:spacing w:after="0"/>
              <w:rPr>
                <w:sz w:val="20"/>
                <w:szCs w:val="20"/>
                <w:color w:val="auto"/>
              </w:rPr>
            </w:pPr>
            <w:r>
              <w:rPr>
                <w:rFonts w:ascii="Arial" w:cs="Arial" w:eastAsia="Arial" w:hAnsi="Arial"/>
                <w:sz w:val="18"/>
                <w:szCs w:val="18"/>
                <w:color w:val="auto"/>
              </w:rPr>
              <w:t>/s/ Janet K. Cooper</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Janet K. Cooper</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Gary L. Ellis</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Gary L. Ellis</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Jeffrey M. Ettinger</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Jeffrey M. Ettinger</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Katherine J. Harless</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Katherine J. Harless</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Robert H. Nassau</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Robert H. Nassau</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James C. O'Rourke</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James C. O'Rourke</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Gregg W. Steinhafel</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Gregg W. Steinhafel</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6"/>
        </w:trPr>
        <w:tc>
          <w:tcPr>
            <w:tcW w:w="2780" w:type="dxa"/>
            <w:vAlign w:val="bottom"/>
          </w:tcPr>
          <w:p>
            <w:pPr>
              <w:spacing w:after="0"/>
              <w:rPr>
                <w:sz w:val="20"/>
                <w:szCs w:val="20"/>
                <w:color w:val="auto"/>
              </w:rPr>
            </w:pPr>
            <w:r>
              <w:rPr>
                <w:rFonts w:ascii="Arial" w:cs="Arial" w:eastAsia="Arial" w:hAnsi="Arial"/>
                <w:sz w:val="18"/>
                <w:szCs w:val="18"/>
                <w:color w:val="auto"/>
              </w:rPr>
              <w:t>/s/ Christopher A. Twomey</w:t>
            </w:r>
          </w:p>
        </w:tc>
        <w:tc>
          <w:tcPr>
            <w:tcW w:w="2780" w:type="dxa"/>
            <w:vAlign w:val="bottom"/>
          </w:tcPr>
          <w:p>
            <w:pPr>
              <w:ind w:left="5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640"/>
              <w:spacing w:after="0"/>
              <w:rPr>
                <w:sz w:val="20"/>
                <w:szCs w:val="20"/>
                <w:color w:val="auto"/>
              </w:rPr>
            </w:pPr>
            <w:r>
              <w:rPr>
                <w:rFonts w:ascii="Arial" w:cs="Arial" w:eastAsia="Arial" w:hAnsi="Arial"/>
                <w:sz w:val="18"/>
                <w:szCs w:val="18"/>
                <w:color w:val="auto"/>
                <w:w w:val="96"/>
              </w:rPr>
              <w:t>December 21, 2012</w:t>
            </w:r>
          </w:p>
        </w:tc>
      </w:tr>
      <w:tr>
        <w:trPr>
          <w:trHeight w:val="83"/>
        </w:trPr>
        <w:tc>
          <w:tcPr>
            <w:tcW w:w="27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3180" w:type="dxa"/>
            <w:vAlign w:val="bottom"/>
          </w:tcPr>
          <w:p>
            <w:pPr>
              <w:spacing w:after="0"/>
              <w:rPr>
                <w:sz w:val="7"/>
                <w:szCs w:val="7"/>
                <w:color w:val="auto"/>
              </w:rPr>
            </w:pPr>
          </w:p>
        </w:tc>
      </w:tr>
      <w:tr>
        <w:trPr>
          <w:trHeight w:val="289"/>
        </w:trPr>
        <w:tc>
          <w:tcPr>
            <w:tcW w:w="2780" w:type="dxa"/>
            <w:vAlign w:val="bottom"/>
          </w:tcPr>
          <w:p>
            <w:pPr>
              <w:spacing w:after="0"/>
              <w:rPr>
                <w:sz w:val="20"/>
                <w:szCs w:val="20"/>
                <w:color w:val="auto"/>
              </w:rPr>
            </w:pPr>
            <w:r>
              <w:rPr>
                <w:rFonts w:ascii="Arial" w:cs="Arial" w:eastAsia="Arial" w:hAnsi="Arial"/>
                <w:sz w:val="18"/>
                <w:szCs w:val="18"/>
                <w:color w:val="auto"/>
              </w:rPr>
              <w:t>Christopher A. Twomey</w:t>
            </w:r>
          </w:p>
        </w:tc>
        <w:tc>
          <w:tcPr>
            <w:tcW w:w="27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14" w:right="23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ind w:left="540"/>
        <w:spacing w:after="0" w:line="234"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ind w:left="540"/>
        <w:spacing w:after="0" w:line="235"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Products by Market</w:t>
        </w:r>
      </w:hyperlink>
    </w:p>
    <w:p>
      <w:pPr>
        <w:ind w:left="540"/>
        <w:spacing w:after="0" w:line="235"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 about International Operations and Business Segments</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Engineering and Research</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Manufacturing and Production</w:t>
        </w:r>
      </w:hyperlink>
    </w:p>
    <w:p>
      <w:pPr>
        <w:ind w:left="540"/>
        <w:spacing w:after="0" w:line="235"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Raw Materials</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Service and Warranty</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Product Liability</w:t>
        </w:r>
      </w:hyperlink>
    </w:p>
    <w:p>
      <w:pPr>
        <w:ind w:left="540"/>
        <w:spacing w:after="0" w:line="235"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Patents and Trademarks</w:t>
        </w:r>
      </w:hyperlink>
    </w:p>
    <w:p>
      <w:pPr>
        <w:ind w:left="540"/>
        <w:spacing w:after="0" w:line="234"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Seasonality</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Effects of Weather</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Working Capital</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Distribution and Marketing</w:t>
        </w:r>
      </w:hyperlink>
    </w:p>
    <w:p>
      <w:pPr>
        <w:ind w:left="540"/>
        <w:spacing w:after="0" w:line="235"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Customers</w:t>
        </w:r>
      </w:hyperlink>
    </w:p>
    <w:p>
      <w:pPr>
        <w:ind w:left="540"/>
        <w:spacing w:after="0" w:line="235"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Backlog of Orders</w:t>
        </w:r>
      </w:hyperlink>
    </w:p>
    <w:p>
      <w:pPr>
        <w:ind w:left="540"/>
        <w:spacing w:after="0" w:line="235"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Competition</w:t>
        </w:r>
      </w:hyperlink>
    </w:p>
    <w:p>
      <w:pPr>
        <w:ind w:left="540"/>
        <w:spacing w:after="0" w:line="235"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Environmental Matters and Other Governmental Regulation</w:t>
        </w:r>
      </w:hyperlink>
    </w:p>
    <w:p>
      <w:pPr>
        <w:ind w:left="540"/>
        <w:spacing w:after="0" w:line="235"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Customer Financing</w:t>
        </w:r>
      </w:hyperlink>
    </w:p>
    <w:p>
      <w:pPr>
        <w:ind w:left="540"/>
        <w:spacing w:after="0" w:line="234"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Employees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Available Information</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Forward-Looking Statements</w:t>
        </w:r>
      </w:hyperlink>
    </w:p>
    <w:p>
      <w:pPr>
        <w:ind w:left="540"/>
        <w:spacing w:after="0" w:line="234" w:lineRule="auto"/>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 RISK FACTORS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1B. UNRESOLVED STAFF COMMENTS</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PROPERTIES</w:t>
        </w:r>
      </w:hyperlink>
    </w:p>
    <w:p>
      <w:pPr>
        <w:ind w:left="540"/>
        <w:spacing w:after="0" w:line="234"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3. LEGAL PROCEEDINGS</w:t>
        </w:r>
      </w:hyperlink>
    </w:p>
    <w:p>
      <w:pPr>
        <w:ind w:left="540"/>
        <w:spacing w:after="0" w:line="235"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 MINE SAFETY DISCLOSURES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OFFICERS OF THE REGISTRANT</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PART II</w:t>
        </w:r>
      </w:hyperlink>
    </w:p>
    <w:p>
      <w:pPr>
        <w:spacing w:after="0" w:line="212" w:lineRule="exact"/>
        <w:rPr>
          <w:sz w:val="20"/>
          <w:szCs w:val="20"/>
          <w:color w:val="auto"/>
        </w:rPr>
      </w:pPr>
    </w:p>
    <w:p>
      <w:pPr>
        <w:ind w:left="540"/>
        <w:spacing w:after="0" w:line="234"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5. MARKET FOR REGISTRANT'S COMMON EQUITY, RELATED STOCKHOLDER MATTERS, AND ISSUER PURCHASES OF</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EQUITY SECURITIES</w:t>
        </w:r>
      </w:hyperlink>
    </w:p>
    <w:p>
      <w:pPr>
        <w:spacing w:after="0" w:line="2"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The Toro Company Common Stock Comparative Performance Graph</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6. SELECTED FINANCIAL DATA</w:t>
        </w:r>
      </w:hyperlink>
    </w:p>
    <w:p>
      <w:pPr>
        <w:ind w:left="540" w:right="880"/>
        <w:spacing w:after="0" w:line="234"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OVERVIEW</w:t>
        </w:r>
      </w:hyperlink>
    </w:p>
    <w:p>
      <w:pPr>
        <w:ind w:left="540"/>
        <w:spacing w:after="0" w:line="236"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 of Fiscal 2012 Results</w:t>
        </w:r>
      </w:hyperlink>
    </w:p>
    <w:p>
      <w:pPr>
        <w:ind w:left="540"/>
        <w:spacing w:after="0" w:line="235"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Destination 2014</w:t>
        </w:r>
      </w:hyperlink>
    </w:p>
    <w:p>
      <w:pPr>
        <w:ind w:left="540"/>
        <w:spacing w:after="0" w:line="235"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Outlook for Fiscal 2013</w:t>
        </w:r>
      </w:hyperlink>
    </w:p>
    <w:p>
      <w:pPr>
        <w:ind w:left="540"/>
        <w:spacing w:after="0" w:line="235"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RESULTS OF OPERATIONS</w:t>
        </w:r>
      </w:hyperlink>
    </w:p>
    <w:p>
      <w:pPr>
        <w:ind w:left="540"/>
        <w:spacing w:after="0" w:line="235"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Fiscal 2012 Compared With Fiscal 2011</w:t>
        </w:r>
      </w:hyperlink>
    </w:p>
    <w:p>
      <w:pPr>
        <w:ind w:left="540"/>
        <w:spacing w:after="0" w:line="235" w:lineRule="auto"/>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Fiscal 2011 Compared With Fiscal 2010</w:t>
        </w:r>
      </w:hyperlink>
    </w:p>
    <w:p>
      <w:pPr>
        <w:ind w:left="540"/>
        <w:spacing w:after="0" w:line="235"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PERFORMANCE BY BUSINESS SEGMENT</w:t>
        </w:r>
      </w:hyperlink>
    </w:p>
    <w:p>
      <w:pPr>
        <w:ind w:left="540"/>
        <w:spacing w:after="0" w:line="234"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Professional</w:t>
        </w:r>
      </w:hyperlink>
    </w:p>
    <w:p>
      <w:pPr>
        <w:ind w:left="540"/>
        <w:spacing w:after="0" w:line="235"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Residential</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w:t>
        </w:r>
      </w:hyperlink>
    </w:p>
    <w:p>
      <w:pPr>
        <w:ind w:left="540"/>
        <w:spacing w:after="0" w:line="235"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FINANCIAL CONDITION</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Working Capital</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Capital Expenditures and Other Long-Term Assets</w:t>
        </w:r>
      </w:hyperlink>
    </w:p>
    <w:p>
      <w:pPr>
        <w:ind w:left="540"/>
        <w:spacing w:after="0" w:line="234"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Capital Structure</w:t>
        </w:r>
      </w:hyperlink>
    </w:p>
    <w:p>
      <w:pPr>
        <w:ind w:left="54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Liquidity and Capital Resources</w:t>
        </w:r>
      </w:hyperlink>
    </w:p>
    <w:p>
      <w:pPr>
        <w:ind w:left="54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Cash Dividends</w:t>
        </w:r>
      </w:hyperlink>
    </w:p>
    <w:p>
      <w:pPr>
        <w:ind w:left="54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Stock Split</w:t>
        </w:r>
      </w:hyperlink>
    </w:p>
    <w:p>
      <w:pPr>
        <w:ind w:left="54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Cash Flow</w:t>
        </w:r>
      </w:hyperlink>
    </w:p>
    <w:p>
      <w:pPr>
        <w:ind w:left="54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Credit Lines and Other Capital Resources</w:t>
        </w:r>
      </w:hyperlink>
    </w:p>
    <w:p>
      <w:pPr>
        <w:ind w:left="54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Share Repurchase Plan</w:t>
        </w:r>
      </w:hyperlink>
    </w:p>
    <w:p>
      <w:pPr>
        <w:ind w:left="540"/>
        <w:spacing w:after="0" w:line="235"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Customer Financing Arrangements</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Contractual Obligations</w:t>
        </w:r>
      </w:hyperlink>
    </w:p>
    <w:p>
      <w:pPr>
        <w:ind w:left="540"/>
        <w:spacing w:after="0" w:line="234"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Market Risk</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Inflation</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Acquisitions</w:t>
        </w:r>
      </w:hyperlink>
    </w:p>
    <w:p>
      <w:pPr>
        <w:ind w:left="540"/>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CRITICAL ACCOUNTING POLICIES AND ESTIMATES</w:t>
        </w:r>
      </w:hyperlink>
    </w:p>
    <w:p>
      <w:pPr>
        <w:ind w:left="540"/>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New Accounting Pronouncement to be Adopted</w:t>
        </w:r>
      </w:hyperlink>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7A. QUANTITATIVE AND QUALITATIVE DISCLOSURES ABOUT MARKET RISK</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8. FINANCIAL STATEMENTS AND SUPPLEMENTARY DATA</w:t>
        </w:r>
      </w:hyperlink>
    </w:p>
    <w:p>
      <w:pPr>
        <w:ind w:left="540"/>
        <w:spacing w:after="0" w:line="234"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Report on Internal Control over Financial Reporting</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Report of Independent Registered Public Accounting Firm</w:t>
        </w:r>
      </w:hyperlink>
    </w:p>
    <w:p>
      <w:pPr>
        <w:sectPr>
          <w:pgSz w:w="11900" w:h="16838" w:orient="portrait"/>
          <w:cols w:equalWidth="0" w:num="1">
            <w:col w:w="11000"/>
          </w:cols>
          <w:pgMar w:left="240" w:top="820" w:right="659" w:bottom="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EARNINGS</w:t>
        </w:r>
      </w:hyperlink>
    </w:p>
    <w:p>
      <w:pPr>
        <w:spacing w:after="0" w:line="234"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COMPREHENSIVE INCOME</w:t>
        </w:r>
      </w:hyperlink>
    </w:p>
    <w:p>
      <w:pPr>
        <w:spacing w:after="0" w:line="235"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BALANCE SHEETS</w:t>
        </w:r>
      </w:hyperlink>
    </w:p>
    <w:p>
      <w:pPr>
        <w:spacing w:after="0" w:line="235"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CASH FLOWS</w:t>
        </w:r>
      </w:hyperlink>
    </w:p>
    <w:p>
      <w:pPr>
        <w:spacing w:after="0" w:line="235" w:lineRule="auto"/>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STOCKHOLDERS' EQUITY</w:t>
        </w:r>
      </w:hyperlink>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NOTES TO CONSOLIDATED FINANCIAL STATEMENTS (Dollars in thousands, except per share data)</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Basis of Presentation and Consolidation</w:t>
        </w:r>
      </w:hyperlink>
    </w:p>
    <w:p>
      <w:pPr>
        <w:ind w:left="540"/>
        <w:spacing w:after="0" w:line="234"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Stock Split</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Accounting Estimates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Cash and Cash Equivalents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Receivables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Allowance for Doubtful Accounts</w:t>
        </w:r>
      </w:hyperlink>
    </w:p>
    <w:p>
      <w:pPr>
        <w:ind w:left="540"/>
        <w:spacing w:after="0" w:line="235"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Inventory Valuations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Property and Depreciation</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Goodwill and Indefinite-Life Intangible Assets</w:t>
        </w:r>
      </w:hyperlink>
    </w:p>
    <w:p>
      <w:pPr>
        <w:ind w:left="540"/>
        <w:spacing w:after="0" w:line="235"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Long-Lived Assets</w:t>
        </w:r>
      </w:hyperlink>
    </w:p>
    <w:p>
      <w:pPr>
        <w:ind w:left="540"/>
        <w:spacing w:after="0" w:line="234"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Accounts Payable</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Insurance</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Accrued Warranties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Derivatives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Foreign Currency Translation and Transactions</w:t>
        </w:r>
      </w:hyperlink>
    </w:p>
    <w:p>
      <w:pPr>
        <w:ind w:left="540"/>
        <w:spacing w:after="0" w:line="235" w:lineRule="auto"/>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Income Taxes</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Revenue Recognition</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Sales Promotions and Incentives</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Cost of Sales</w:t>
        </w:r>
      </w:hyperlink>
    </w:p>
    <w:p>
      <w:pPr>
        <w:ind w:left="540"/>
        <w:spacing w:after="0" w:line="234"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Selling, General, and Administrative Expense</w:t>
        </w:r>
      </w:hyperlink>
    </w:p>
    <w:p>
      <w:pPr>
        <w:ind w:left="540"/>
        <w:spacing w:after="0" w:line="235" w:lineRule="auto"/>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Cost of Financing Distributor / Dealer Inventory</w:t>
        </w:r>
      </w:hyperlink>
    </w:p>
    <w:p>
      <w:pPr>
        <w:ind w:left="540"/>
        <w:spacing w:after="0" w:line="235"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Advertising</w:t>
        </w:r>
      </w:hyperlink>
    </w:p>
    <w:p>
      <w:pPr>
        <w:ind w:left="540"/>
        <w:spacing w:after="0" w:line="235"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Stock-Based Compensation</w:t>
        </w:r>
      </w:hyperlink>
    </w:p>
    <w:p>
      <w:pPr>
        <w:ind w:left="540"/>
        <w:spacing w:after="0" w:line="235"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Accumulated Other Comprehensive Loss</w:t>
        </w:r>
      </w:hyperlink>
    </w:p>
    <w:p>
      <w:pPr>
        <w:ind w:left="540"/>
        <w:spacing w:after="0" w:line="235"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Net Earnings Per Share</w:t>
        </w:r>
      </w:hyperlink>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Cash Flow Presentation</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New Accounting Pronouncements Adopted</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Geographic Data</w:t>
        </w:r>
      </w:hyperlink>
    </w:p>
    <w:p>
      <w:pPr>
        <w:ind w:left="540"/>
        <w:spacing w:after="0" w:line="234"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Leases</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Customer Financing</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Purchase Commitments</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Letters of Credit</w:t>
        </w:r>
      </w:hyperlink>
    </w:p>
    <w:p>
      <w:pPr>
        <w:ind w:left="540"/>
        <w:spacing w:after="0" w:line="235"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Litigation</w:t>
        </w:r>
      </w:hyperlink>
    </w:p>
    <w:p>
      <w:pPr>
        <w:ind w:left="540"/>
        <w:spacing w:after="0" w:line="235"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Concentrations of Credit Risk</w:t>
        </w:r>
      </w:hyperlink>
    </w:p>
    <w:p>
      <w:pPr>
        <w:ind w:left="540"/>
        <w:spacing w:after="0" w:line="235"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Derivative Instruments and Hedging Activities</w:t>
        </w:r>
      </w:hyperlink>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Fair Value</w:t>
        </w:r>
      </w:hyperlink>
    </w:p>
    <w:p>
      <w:pPr>
        <w:spacing w:after="0" w:line="207"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9. CHANGES IN AND DISAGREEMENTS WITH ACCOUNTANTS ON ACCOUNTING AND FINANCIAL DISCLOSURE</w:t>
        </w:r>
      </w:hyperlink>
    </w:p>
    <w:p>
      <w:pPr>
        <w:ind w:left="540"/>
        <w:spacing w:after="0" w:line="234"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9A. CONTROLS AND PROCEDURES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9B. OTHER INFORMATION</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PART III</w:t>
        </w:r>
      </w:hyperlink>
    </w:p>
    <w:p>
      <w:pPr>
        <w:spacing w:after="0" w:line="212" w:lineRule="exact"/>
        <w:rPr>
          <w:sz w:val="20"/>
          <w:szCs w:val="20"/>
          <w:color w:val="auto"/>
        </w:rPr>
      </w:pPr>
    </w:p>
    <w:p>
      <w:pPr>
        <w:ind w:left="540" w:right="3460"/>
        <w:spacing w:after="0" w:line="234"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ITEM 11. EXECUTIVE COMPENSATION</w:t>
        </w:r>
      </w:hyperlink>
    </w:p>
    <w:p>
      <w:pPr>
        <w:spacing w:after="0" w:line="2" w:lineRule="exact"/>
        <w:rPr>
          <w:sz w:val="20"/>
          <w:szCs w:val="20"/>
          <w:color w:val="auto"/>
        </w:rPr>
      </w:pPr>
    </w:p>
    <w:p>
      <w:pPr>
        <w:ind w:left="540"/>
        <w:spacing w:after="0" w:line="234"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12. 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MATTERS</w:t>
        </w:r>
      </w:hyperlink>
    </w:p>
    <w:p>
      <w:pPr>
        <w:spacing w:after="0" w:line="2" w:lineRule="exact"/>
        <w:rPr>
          <w:sz w:val="20"/>
          <w:szCs w:val="20"/>
          <w:color w:val="auto"/>
        </w:rPr>
      </w:pPr>
    </w:p>
    <w:p>
      <w:pPr>
        <w:ind w:left="540" w:right="1640"/>
        <w:spacing w:after="0" w:line="239"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ITEM 14. PRINCIPAL ACCOUNTING FEES AND SERVICES</w:t>
        </w:r>
      </w:hyperlink>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PART IV</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15. EXHIBITS, FINANCIAL STATEMENT SCHEDULES</w:t>
        </w:r>
      </w:hyperlink>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SCHEDULE II</w:t>
        </w:r>
      </w:hyperlink>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SIGNATURES</w:t>
        </w:r>
      </w:hyperlink>
    </w:p>
    <w:p>
      <w:pPr>
        <w:sectPr>
          <w:pgSz w:w="11900" w:h="16838" w:orient="portrait"/>
          <w:cols w:equalWidth="0" w:num="1">
            <w:col w:w="10700"/>
          </w:cols>
          <w:pgMar w:left="240" w:top="138" w:right="95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LIABILITY COMPANY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 IRON ACCEPTANCE, LLC</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AMENDMENT NO. 1 (this “Amendment”) to the Limited Liability Company Agreement (the “Agreement”) of Red Iron Acceptance, LLC, a Delaware limited liability company (the “Company”), is made as of May 31, 2011, by and between Red Iron Holding Corporation, a Delaware corporation (“Toro Sub”), and TCFIF Joint Venture I, LLC, a Minnesota limited liability company (“TCFIF Sub”). Toro Sub and TCFIF Sub are individually referred to herein as a “Member” and, collectively, as the “Members.” Defined terms used but not defined in this Amendment shall have the meaning ascribed to such terms in the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Members entered into the Agreement on August 12, 2009;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Section 6.01(e) of the Agreement provides as follows:</w:t>
      </w:r>
    </w:p>
    <w:p>
      <w:pPr>
        <w:spacing w:after="0" w:line="225" w:lineRule="exact"/>
        <w:rPr>
          <w:sz w:val="20"/>
          <w:szCs w:val="20"/>
          <w:color w:val="auto"/>
        </w:rPr>
      </w:pPr>
    </w:p>
    <w:p>
      <w:pPr>
        <w:ind w:left="660" w:right="180" w:firstLine="648"/>
        <w:spacing w:after="0" w:line="312" w:lineRule="auto"/>
        <w:rPr>
          <w:sz w:val="20"/>
          <w:szCs w:val="20"/>
          <w:color w:val="auto"/>
        </w:rPr>
      </w:pPr>
      <w:r>
        <w:rPr>
          <w:rFonts w:ascii="Arial" w:cs="Arial" w:eastAsia="Arial" w:hAnsi="Arial"/>
          <w:sz w:val="16"/>
          <w:szCs w:val="16"/>
          <w:color w:val="auto"/>
        </w:rPr>
        <w:t xml:space="preserve">“(e) The Members shall adopt credit and operational policies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which policies may be modified from time to time by mutual agreement of the Members; provided, however, that such credit and operational policies shall not be inconsistent with the credit and operational policies of TCFIF. TCFIF Sub shall be responsible for advising the Members of TCFIF’s credit and operational policies.”</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the Members have determined that it is in the best interests of the Company to delegate authority to the Management Committee to modify credit and operational policies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in consideration of the mutual covenants contained herein, and for other good and valuable consideration, the Members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right="3860" w:hanging="1292"/>
        <w:spacing w:after="0" w:line="501" w:lineRule="auto"/>
        <w:tabs>
          <w:tab w:leader="none" w:pos="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6.01(e) of the Agreement shall be deleted in its entirety and replaced with the following: “6.01(e). [Reserved.]</w:t>
      </w: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Section 6.02 of the Agreement shall be amended with the addition of the new section (h) as follows:</w:t>
      </w:r>
    </w:p>
    <w:p>
      <w:pPr>
        <w:spacing w:after="0" w:line="225" w:lineRule="exact"/>
        <w:rPr>
          <w:sz w:val="20"/>
          <w:szCs w:val="20"/>
          <w:color w:val="auto"/>
        </w:rPr>
      </w:pPr>
    </w:p>
    <w:p>
      <w:pPr>
        <w:ind w:left="660" w:right="340" w:firstLine="648"/>
        <w:spacing w:after="0" w:line="302" w:lineRule="auto"/>
        <w:rPr>
          <w:sz w:val="20"/>
          <w:szCs w:val="20"/>
          <w:color w:val="auto"/>
        </w:rPr>
      </w:pPr>
      <w:r>
        <w:rPr>
          <w:rFonts w:ascii="Arial" w:cs="Arial" w:eastAsia="Arial" w:hAnsi="Arial"/>
          <w:sz w:val="16"/>
          <w:szCs w:val="16"/>
          <w:color w:val="auto"/>
        </w:rPr>
        <w:t xml:space="preserve">“(h) The credit and operational policies of the Company are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“Policies”). The Policies may be modified from time to time by a Majority of the Managers; provided, however, that the Policies shall not be inconsistent with the credit and operational policies of TCFIF and the Policies, as modified, shall be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clearly marked with the date on which the Policies were modified. TCFIF Sub shall be responsible for advising the Management Committee of TCFIF’s credit and operational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Schedule of Definitions to the Agreement shall be amended with the addition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780" w:type="dxa"/>
            <w:vAlign w:val="bottom"/>
          </w:tcPr>
          <w:p>
            <w:pPr>
              <w:spacing w:after="0"/>
              <w:rPr>
                <w:sz w:val="14"/>
                <w:szCs w:val="14"/>
                <w:color w:val="auto"/>
              </w:rPr>
            </w:pPr>
          </w:p>
        </w:tc>
        <w:tc>
          <w:tcPr>
            <w:tcW w:w="4160" w:type="dxa"/>
            <w:vAlign w:val="bottom"/>
          </w:tcPr>
          <w:p>
            <w:pPr>
              <w:ind w:left="1720"/>
              <w:spacing w:after="0"/>
              <w:rPr>
                <w:sz w:val="20"/>
                <w:szCs w:val="20"/>
                <w:color w:val="auto"/>
              </w:rPr>
            </w:pPr>
            <w:r>
              <w:rPr>
                <w:rFonts w:ascii="Arial" w:cs="Arial" w:eastAsia="Arial" w:hAnsi="Arial"/>
                <w:sz w:val="14"/>
                <w:szCs w:val="14"/>
                <w:b w:val="1"/>
                <w:bCs w:val="1"/>
                <w:color w:val="auto"/>
              </w:rPr>
              <w:t>Section No.</w:t>
            </w:r>
          </w:p>
        </w:tc>
        <w:tc>
          <w:tcPr>
            <w:tcW w:w="130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Policies</w:t>
            </w:r>
          </w:p>
        </w:tc>
        <w:tc>
          <w:tcPr>
            <w:tcW w:w="78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6.02(h)</w:t>
            </w:r>
          </w:p>
        </w:tc>
        <w:tc>
          <w:tcPr>
            <w:tcW w:w="130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Members have duly executed this Amendment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HOLDING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R. Wolfe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Stephen 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TCFIF JOINT VENTURE I,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Rosario A. Perrelli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Rosario A. Perrelli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CEO</w:t>
      </w:r>
    </w:p>
    <w:p>
      <w:pPr>
        <w:sectPr>
          <w:pgSz w:w="11900" w:h="16838" w:orient="portrait"/>
          <w:cols w:equalWidth="0" w:num="1">
            <w:col w:w="11460"/>
          </w:cols>
          <w:pgMar w:left="240" w:top="364" w:right="199" w:bottom="908"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64" w:right="199" w:bottom="908"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AWARD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2010 EQUITY AND INCENTIVE PLAN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This Agreement (this “Agreement”) dated [ </w:t>
      </w:r>
      <w:r>
        <w:rPr>
          <w:rFonts w:ascii="Arial" w:cs="Arial" w:eastAsia="Arial" w:hAnsi="Arial"/>
          <w:sz w:val="17"/>
          <w:szCs w:val="17"/>
          <w:b w:val="1"/>
          <w:bCs w:val="1"/>
          <w:color w:val="auto"/>
        </w:rPr>
        <w:t>grant date</w:t>
      </w:r>
      <w:r>
        <w:rPr>
          <w:rFonts w:ascii="Arial" w:cs="Arial" w:eastAsia="Arial" w:hAnsi="Arial"/>
          <w:sz w:val="17"/>
          <w:szCs w:val="17"/>
          <w:color w:val="auto"/>
        </w:rPr>
        <w:t xml:space="preserve"> ] (“Grant Date”), between The Toro Company, a Delaware corporation (“Toro”), and</w:t>
      </w:r>
    </w:p>
    <w:p>
      <w:pPr>
        <w:spacing w:after="0" w:line="39" w:lineRule="exact"/>
        <w:rPr>
          <w:sz w:val="20"/>
          <w:szCs w:val="20"/>
          <w:color w:val="auto"/>
        </w:rPr>
      </w:pPr>
    </w:p>
    <w:p>
      <w:pPr>
        <w:ind w:firstLine="8"/>
        <w:spacing w:after="0" w:line="252" w:lineRule="auto"/>
        <w:tabs>
          <w:tab w:leader="none" w:pos="15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 (“you”) sets forth the terms and conditions of the grant to you of a restricted stock unit (“RSU”) award (this “RSU Award”) relating to [</w:t>
      </w:r>
      <w:r>
        <w:rPr>
          <w:rFonts w:ascii="Arial" w:cs="Arial" w:eastAsia="Arial" w:hAnsi="Arial"/>
          <w:sz w:val="18"/>
          <w:szCs w:val="18"/>
          <w:b w:val="1"/>
          <w:bCs w:val="1"/>
          <w:color w:val="auto"/>
        </w:rPr>
        <w:t># of shares</w:t>
      </w:r>
      <w:r>
        <w:rPr>
          <w:rFonts w:ascii="Arial" w:cs="Arial" w:eastAsia="Arial" w:hAnsi="Arial"/>
          <w:sz w:val="18"/>
          <w:szCs w:val="18"/>
          <w:color w:val="auto"/>
        </w:rPr>
        <w:t>] shares of common stock, par value $1.00 per share, of Toro (“Award Shares”) under The Toro Company 2010 Equity and Incentive Plan,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This RSU Award is subject to all of the terms and conditions set forth in the Plan, this Agreement and the RSU Award Acceptance Agreement should you decide to accept this RSU Award. All of the terms in this Agreement and the RSU Award Acceptance Agreement that begin with a capital letter are either defined in this Agreement or in the Plan. For purposes of this Agreement and the RSU Award Acceptance Agreement, any reference to “Toro” shall include any Affiliate or Subsidiary that employs you.</w:t>
      </w:r>
    </w:p>
    <w:p>
      <w:pPr>
        <w:spacing w:after="0" w:line="194"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Vesting and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provided in Sections 1(b), 1(c), 4 and 5 of this Agreement, your interest in the RSU Award will vest and the Award Shares will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become issuable</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[Time Vesting] [on ] or [in ( ) as equal as possible installments on each of the anniversaries after the Grant Date (rounding down to the nearest whole Share on the vesting date(s), if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[Performance-Based Vesting] [Upon satisfaction of the performance goal set forth [below/in Exhibit A to this Agreement] (the “Performance Goal”), as determined by the Committee as soon as practicable after completion of the performance period set forth therein (the “Performance Period”), but in any event not later than [[December 15] of the calendar year in which the Performance Period ends/March 15 of the calendar year following the calendar year in which the Performance Period ends] (the date the Committee so determines, the “Determination Date”). [The Performance Goal is</w:t>
      </w:r>
    </w:p>
    <w:p>
      <w:pPr>
        <w:spacing w:after="0" w:line="2" w:lineRule="exact"/>
        <w:rPr>
          <w:sz w:val="20"/>
          <w:szCs w:val="20"/>
          <w:color w:val="auto"/>
        </w:rPr>
      </w:pPr>
    </w:p>
    <w:p>
      <w:pPr>
        <w:ind w:firstLine="1890"/>
        <w:spacing w:after="0" w:line="252" w:lineRule="auto"/>
        <w:rPr>
          <w:sz w:val="20"/>
          <w:szCs w:val="20"/>
          <w:color w:val="auto"/>
        </w:rPr>
      </w:pPr>
      <w:r>
        <w:rPr>
          <w:rFonts w:ascii="Arial" w:cs="Arial" w:eastAsia="Arial" w:hAnsi="Arial"/>
          <w:sz w:val="18"/>
          <w:szCs w:val="18"/>
          <w:color w:val="auto"/>
        </w:rPr>
        <w:t>]. Except as provided in Section 5 of this Agreement, this RSU Award shall be cancelled and you shall forfeit all rights to the Award Shares subject to this RSU Award and otherwise have no rights hereunder, except those Award Shares that had been previously issued pursuant to this Section 1(a), if either (i) the Determination Date does not occur or (ii) the Committee determines on the Determination Date that the Performance Condition has not been satisfied. If you are a Covered Employee, it is intended that all payments of Award Shares under this RSU Award constitute “qualified performance-based compensation” within the meaning Section 162(m) of the Code and the Plan. This RSU Award is to be construed and administered in a manner consistent with such intent.]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9" w:lineRule="auto"/>
        <w:tabs>
          <w:tab w:leader="none" w:pos="13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your employment or other service with Toro or any Affiliate or Subsidiary, as the case may be, is terminated by reason of your death or Disability before your interest in all of the Award Shares subject to this Award has vested and become issuable under Section 1(a), then you will forfeit all of the Award Shares subject to this RSU Award on the date your employment or other service with Toro or any Affiliate or Subsidiary, as the case may be, so terminates, except those Award Shares that had been previously issued pursuant to Section 1(a).</w:t>
      </w:r>
    </w:p>
    <w:p>
      <w:pPr>
        <w:spacing w:after="0" w:line="171" w:lineRule="exact"/>
        <w:rPr>
          <w:rFonts w:ascii="Arial" w:cs="Arial" w:eastAsia="Arial" w:hAnsi="Arial"/>
          <w:sz w:val="17"/>
          <w:szCs w:val="17"/>
          <w:color w:val="auto"/>
        </w:rPr>
      </w:pPr>
    </w:p>
    <w:p>
      <w:pPr>
        <w:jc w:val="both"/>
        <w:ind w:right="180" w:firstLine="656"/>
        <w:spacing w:after="0" w:line="279" w:lineRule="auto"/>
        <w:tabs>
          <w:tab w:leader="none" w:pos="1307"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your employment or other service with Toro or any Affiliate or Subsidiary, as the case may be, is terminated for any reason other than your death or Disability before your interest in all of the Award Shares subject to this RSU Award has vested and become issuable under Section 1(a), then you will forfeit all of the Award Shares subject to this RSU Award on the date your employment or other service with Toro or any Affiliate or Subsidiary, as the case may be, so terminates, except those Award Shares that had been previously issued pursuant to Section 1(a).</w:t>
      </w:r>
    </w:p>
    <w:p>
      <w:pPr>
        <w:spacing w:after="0" w:line="171" w:lineRule="exact"/>
        <w:rPr>
          <w:rFonts w:ascii="Arial" w:cs="Arial" w:eastAsia="Arial" w:hAnsi="Arial"/>
          <w:sz w:val="17"/>
          <w:szCs w:val="17"/>
          <w:color w:val="auto"/>
        </w:rPr>
      </w:pPr>
    </w:p>
    <w:p>
      <w:pPr>
        <w:ind w:right="100" w:firstLine="8"/>
        <w:spacing w:after="0" w:line="264"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Effective Date of Termination</w:t>
      </w:r>
      <w:r>
        <w:rPr>
          <w:rFonts w:ascii="Arial" w:cs="Arial" w:eastAsia="Arial" w:hAnsi="Arial"/>
          <w:sz w:val="18"/>
          <w:szCs w:val="18"/>
          <w:color w:val="auto"/>
        </w:rPr>
        <w:t>. Notwithstanding anything to the contrary in the Plan, and unless otherwise determined by the Committee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your termination date shall be the date on which your active employment ceases and shall not be extended by any statutory or common law notice of termination period unless otherwise required by applicable law.</w:t>
      </w:r>
    </w:p>
    <w:p>
      <w:pPr>
        <w:spacing w:after="0" w:line="181" w:lineRule="exact"/>
        <w:rPr>
          <w:sz w:val="20"/>
          <w:szCs w:val="20"/>
          <w:color w:val="auto"/>
        </w:rPr>
      </w:pPr>
    </w:p>
    <w:p>
      <w:pPr>
        <w:ind w:right="20" w:firstLine="8"/>
        <w:spacing w:after="0" w:line="257"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Shareholder Status</w:t>
      </w:r>
      <w:r>
        <w:rPr>
          <w:rFonts w:ascii="Arial" w:cs="Arial" w:eastAsia="Arial" w:hAnsi="Arial"/>
          <w:sz w:val="18"/>
          <w:szCs w:val="18"/>
          <w:color w:val="auto"/>
        </w:rPr>
        <w:t>. You will have no rights as a shareholder of Toro with respect to the Award Shares subject to this RSU Award until such Award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issued pursuant to Section 1 of this Agreement. Notwithstanding the generality of the foregoing, you shall not be entitled to vote any of the Award Shares subject to this RSU Award until such Award Shares have been issued pursuant to Section 1 of this Agreement or receive any dividends declared prior to the issuance of such Award Shares or otherwise exercise any incidents of ownership with respect to such Award Shares until such Award Shares have been issued pursuant to Section 1 of this Agreement.</w:t>
      </w:r>
    </w:p>
    <w:p>
      <w:pPr>
        <w:spacing w:after="0" w:line="188" w:lineRule="exact"/>
        <w:rPr>
          <w:rFonts w:ascii="Arial" w:cs="Arial" w:eastAsia="Arial" w:hAnsi="Arial"/>
          <w:sz w:val="18"/>
          <w:szCs w:val="18"/>
          <w:color w:val="auto"/>
        </w:rPr>
      </w:pPr>
    </w:p>
    <w:p>
      <w:pPr>
        <w:ind w:right="20" w:firstLine="8"/>
        <w:spacing w:after="0" w:line="264"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Issuance of Award Shares</w:t>
      </w:r>
      <w:r>
        <w:rPr>
          <w:rFonts w:ascii="Arial" w:cs="Arial" w:eastAsia="Arial" w:hAnsi="Arial"/>
          <w:sz w:val="18"/>
          <w:szCs w:val="18"/>
          <w:color w:val="auto"/>
        </w:rPr>
        <w:t>. As soon as practicable after [the/each] date as of which Award Shares subject to this RSU Award become vested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1 of this Agreement, Toro shall direct its transfer agent to issue such number of Award Shares in your name or a nominee in book entry or to issue one or more physical stock certificates representing such Award Shares in your name.</w:t>
      </w:r>
    </w:p>
    <w:p>
      <w:pPr>
        <w:spacing w:after="0" w:line="181" w:lineRule="exact"/>
        <w:rPr>
          <w:rFonts w:ascii="Arial" w:cs="Arial" w:eastAsia="Arial" w:hAnsi="Arial"/>
          <w:sz w:val="18"/>
          <w:szCs w:val="18"/>
          <w:color w:val="auto"/>
        </w:rPr>
      </w:pPr>
    </w:p>
    <w:p>
      <w:pPr>
        <w:ind w:firstLine="8"/>
        <w:spacing w:after="0" w:line="257"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Adverse Action</w:t>
      </w:r>
      <w:r>
        <w:rPr>
          <w:rFonts w:ascii="Arial" w:cs="Arial" w:eastAsia="Arial" w:hAnsi="Arial"/>
          <w:sz w:val="18"/>
          <w:szCs w:val="18"/>
          <w:color w:val="auto"/>
        </w:rPr>
        <w:t>. In addition to the other rights of the Committee under the Plan, if you are determined by the Committee, acting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taken any action that would constitute an Adverse Action, (a) all of your rights under the Plan and any agreements evidencing an Award granted under the Plan, including this Agreement evidencing this RSU Award, then held by you shall terminate and be forfeited without notice of any kind, and (b) the Committee in its sole discretion may require you to surrender and return to Toro all or any Award Shares received, or to disgorge all or any profits or any other economic value (however defined by the Committee) made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realized by you, during the period beginning one (1) year prior to your termination of employment or other service with Toro, an Affiliate or a Subsidiary, in connection with any Awards granted under the Plan, including this RSU Award, or any Award Shares issued upon the exercise or vesting of any Awards,</w:t>
      </w:r>
    </w:p>
    <w:p>
      <w:pPr>
        <w:sectPr>
          <w:pgSz w:w="11900" w:h="16838" w:orient="portrait"/>
          <w:cols w:equalWidth="0" w:num="1">
            <w:col w:w="11420"/>
          </w:cols>
          <w:pgMar w:left="240" w:top="364" w:right="239" w:bottom="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including this RSU Award. This Section 5 shall not apply following a Change of Control.</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In the event of a Change of Control, the provisions of the Plan applicable to a Change of Control will apply to this RSU Award.</w:t>
      </w:r>
    </w:p>
    <w:p>
      <w:pPr>
        <w:spacing w:after="0" w:line="248" w:lineRule="exact"/>
        <w:rPr>
          <w:rFonts w:ascii="Arial" w:cs="Arial" w:eastAsia="Arial" w:hAnsi="Arial"/>
          <w:sz w:val="16"/>
          <w:szCs w:val="16"/>
          <w:color w:val="auto"/>
        </w:rPr>
      </w:pPr>
    </w:p>
    <w:p>
      <w:pPr>
        <w:ind w:right="400" w:firstLine="8"/>
        <w:spacing w:after="0" w:line="277"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Toro shall have the right to refuse to issue to you or transfer Award Shares subject to this RSU Award if Toro acting in its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determines that the issuance or transfer of such Award Shares might violate any applicable law or regulation.</w:t>
      </w:r>
    </w:p>
    <w:p>
      <w:pPr>
        <w:spacing w:after="0" w:line="170" w:lineRule="exact"/>
        <w:rPr>
          <w:rFonts w:ascii="Arial" w:cs="Arial" w:eastAsia="Arial" w:hAnsi="Arial"/>
          <w:sz w:val="18"/>
          <w:szCs w:val="18"/>
          <w:color w:val="auto"/>
        </w:rPr>
      </w:pPr>
    </w:p>
    <w:p>
      <w:pPr>
        <w:ind w:right="80" w:firstLine="8"/>
        <w:spacing w:after="0" w:line="257"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Toro will deduct or withhold from the Award Shares any federal, state, local or other taxes of any kind that Toro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are required by law to be withheld with respect to income recognized in connection with this RSU Award or will take such other action as may be necessary in the opinion of Toro to satisfy all obligations for the payment of such taxes. Any Award Shares withheld to pay such tax withholding obligations will be valued at their Fair Market Value on the date the withholding is to be determined, but in no event shall such withholding exceed the minimum statutory withholding requirement.</w:t>
      </w:r>
    </w:p>
    <w:p>
      <w:pPr>
        <w:spacing w:after="0" w:line="188" w:lineRule="exact"/>
        <w:rPr>
          <w:rFonts w:ascii="Arial" w:cs="Arial" w:eastAsia="Arial" w:hAnsi="Arial"/>
          <w:sz w:val="18"/>
          <w:szCs w:val="18"/>
          <w:color w:val="auto"/>
        </w:rPr>
      </w:pPr>
    </w:p>
    <w:p>
      <w:pPr>
        <w:ind w:right="200" w:firstLine="8"/>
        <w:spacing w:after="0" w:line="264"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Transfer</w:t>
      </w:r>
      <w:r>
        <w:rPr>
          <w:rFonts w:ascii="Arial" w:cs="Arial" w:eastAsia="Arial" w:hAnsi="Arial"/>
          <w:sz w:val="18"/>
          <w:szCs w:val="18"/>
          <w:color w:val="auto"/>
        </w:rPr>
        <w:t>. You may not transfer this RSU Award, the Award Shares or any rights granted under this RSU Award other than by will or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descent and distribution or, if approved by the Committee, pursuant to a qualified domestic relations order entered into by a court of competent jurisdiction.</w:t>
      </w:r>
    </w:p>
    <w:p>
      <w:pPr>
        <w:spacing w:after="0" w:line="181" w:lineRule="exact"/>
        <w:rPr>
          <w:rFonts w:ascii="Arial" w:cs="Arial" w:eastAsia="Arial" w:hAnsi="Arial"/>
          <w:sz w:val="18"/>
          <w:szCs w:val="18"/>
          <w:color w:val="auto"/>
        </w:rPr>
      </w:pPr>
    </w:p>
    <w:p>
      <w:pPr>
        <w:ind w:right="60" w:firstLine="8"/>
        <w:spacing w:after="0" w:line="264"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Right to Continue Employment or Service</w:t>
      </w:r>
      <w:r>
        <w:rPr>
          <w:rFonts w:ascii="Arial" w:cs="Arial" w:eastAsia="Arial" w:hAnsi="Arial"/>
          <w:sz w:val="18"/>
          <w:szCs w:val="18"/>
          <w:color w:val="auto"/>
        </w:rPr>
        <w:t>. Neither the Plan, this RSU Award, nor any related material shall give you the right to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by or perform services to Toro or any Affiliate or Subsidiary or shall adversely affect the right of Toro or any Affiliate or Subsidiary to terminate your employment or service relationship with Toro or any Affiliate or Subsidiary with or without cause at any time.</w:t>
      </w:r>
    </w:p>
    <w:p>
      <w:pPr>
        <w:spacing w:after="0" w:line="181" w:lineRule="exact"/>
        <w:rPr>
          <w:rFonts w:ascii="Arial" w:cs="Arial" w:eastAsia="Arial" w:hAnsi="Arial"/>
          <w:sz w:val="18"/>
          <w:szCs w:val="18"/>
          <w:color w:val="auto"/>
        </w:rPr>
      </w:pPr>
    </w:p>
    <w:p>
      <w:pPr>
        <w:jc w:val="both"/>
        <w:ind w:right="200" w:firstLine="8"/>
        <w:spacing w:after="0" w:line="264"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Electronic Delivery</w:t>
      </w:r>
      <w:r>
        <w:rPr>
          <w:rFonts w:ascii="Arial" w:cs="Arial" w:eastAsia="Arial" w:hAnsi="Arial"/>
          <w:sz w:val="18"/>
          <w:szCs w:val="18"/>
          <w:color w:val="auto"/>
        </w:rPr>
        <w:t>. Toro, in its sole discretion, may decide to deliver any documents related to this RSU Award granted to you under the Plan by</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means. You hereby consent to receive such documents by electronic delivery and agree to participate in the Plan through an on-line or electronic system established and maintained by Toro or a third party designated by Toro.</w:t>
      </w:r>
    </w:p>
    <w:p>
      <w:pPr>
        <w:spacing w:after="0" w:line="181" w:lineRule="exact"/>
        <w:rPr>
          <w:rFonts w:ascii="Arial" w:cs="Arial" w:eastAsia="Arial" w:hAnsi="Arial"/>
          <w:sz w:val="18"/>
          <w:szCs w:val="18"/>
          <w:color w:val="auto"/>
        </w:rPr>
      </w:pPr>
    </w:p>
    <w:p>
      <w:pPr>
        <w:ind w:right="260" w:firstLine="8"/>
        <w:spacing w:after="0" w:line="264" w:lineRule="auto"/>
        <w:tabs>
          <w:tab w:leader="none" w:pos="63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RSU Award Acceptance Agreement shall be construed, administered and governed in all respects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and by the applicable laws of the State of Delaware, excluding any conflicts or choice of law rule or principle that might otherwise refer construction or interpretation to the substantive law of another jurisdiction.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8"/>
        <w:spacing w:after="0" w:line="342"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Venue</w:t>
      </w:r>
      <w:r>
        <w:rPr>
          <w:rFonts w:ascii="Arial" w:cs="Arial" w:eastAsia="Arial" w:hAnsi="Arial"/>
          <w:sz w:val="16"/>
          <w:szCs w:val="16"/>
          <w:color w:val="auto"/>
        </w:rPr>
        <w:t>. In accepting this RSU Award, you are deemed to submit to the exclusive jurisdiction and venue of the federal or state courts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of the United States of America to resolve any and all issues that may arise out of or relate to this RSU Award and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This Agreement shall be binding upon Toro and you and its and your respective heirs, executors, administrators and successors.</w:t>
      </w:r>
    </w:p>
    <w:p>
      <w:pPr>
        <w:spacing w:after="0" w:line="248" w:lineRule="exact"/>
        <w:rPr>
          <w:rFonts w:ascii="Arial" w:cs="Arial" w:eastAsia="Arial" w:hAnsi="Arial"/>
          <w:sz w:val="16"/>
          <w:szCs w:val="16"/>
          <w:color w:val="auto"/>
        </w:rPr>
      </w:pPr>
    </w:p>
    <w:p>
      <w:pPr>
        <w:ind w:right="240" w:firstLine="8"/>
        <w:spacing w:after="0" w:line="277"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Conflict</w:t>
      </w:r>
      <w:r>
        <w:rPr>
          <w:rFonts w:ascii="Arial" w:cs="Arial" w:eastAsia="Arial" w:hAnsi="Arial"/>
          <w:sz w:val="18"/>
          <w:szCs w:val="18"/>
          <w:color w:val="auto"/>
        </w:rPr>
        <w:t>. To the extent the terms of this Agreement or the RSU Award Acceptance Agreement are inconsistent with the Plan,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control and supersede any inconsistent provision of this Agreement or the RSU Award Acceptance Agreement.</w:t>
      </w:r>
    </w:p>
    <w:p>
      <w:pPr>
        <w:spacing w:after="0" w:line="170" w:lineRule="exact"/>
        <w:rPr>
          <w:rFonts w:ascii="Arial" w:cs="Arial" w:eastAsia="Arial" w:hAnsi="Arial"/>
          <w:sz w:val="18"/>
          <w:szCs w:val="18"/>
          <w:color w:val="auto"/>
        </w:rPr>
      </w:pPr>
    </w:p>
    <w:p>
      <w:pPr>
        <w:jc w:val="both"/>
        <w:ind w:right="220" w:firstLine="8"/>
        <w:spacing w:after="0" w:line="342"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Non-Negotiable Terms</w:t>
      </w:r>
      <w:r>
        <w:rPr>
          <w:rFonts w:ascii="Arial" w:cs="Arial" w:eastAsia="Arial" w:hAnsi="Arial"/>
          <w:sz w:val="16"/>
          <w:szCs w:val="16"/>
          <w:color w:val="auto"/>
        </w:rPr>
        <w:t>. The terms of this Agreement and the RSU Award Acceptance Agreement are not negotiable, but you may refuse to accept</w:t>
      </w:r>
      <w:r>
        <w:rPr>
          <w:rFonts w:ascii="Arial" w:cs="Arial" w:eastAsia="Arial" w:hAnsi="Arial"/>
          <w:sz w:val="16"/>
          <w:szCs w:val="16"/>
          <w:i w:val="1"/>
          <w:iCs w:val="1"/>
          <w:color w:val="auto"/>
        </w:rPr>
        <w:t xml:space="preserve"> </w:t>
      </w:r>
      <w:r>
        <w:rPr>
          <w:rFonts w:ascii="Arial" w:cs="Arial" w:eastAsia="Arial" w:hAnsi="Arial"/>
          <w:sz w:val="16"/>
          <w:szCs w:val="16"/>
          <w:color w:val="auto"/>
        </w:rPr>
        <w:t>this RSU Award by notifying Toro’s Vice President, Secretary and General Counsel, or Director, Total Rewards and HR Services, as applicable, in writing.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this Agreement has been executed and delivered by Toro and has been executed by you by execution of the attached RSU Award Acceptance Agreement.</w:t>
      </w:r>
    </w:p>
    <w:p>
      <w:pPr>
        <w:spacing w:after="0" w:line="3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grant date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RSU AWARD ACCEPTANCE AGREEMENT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 hereby agree to the terms and conditions governing this RSU Award as set forth in the Restricted Stock Unit Award Agreement, this RSU Award Acceptance Agreement and as supplemented by the terms and conditions set forth in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accepting this RSU Award, I hereby acknowledge that:</w:t>
      </w:r>
    </w:p>
    <w:p>
      <w:pPr>
        <w:spacing w:after="0" w:line="225" w:lineRule="exact"/>
        <w:rPr>
          <w:sz w:val="20"/>
          <w:szCs w:val="20"/>
          <w:color w:val="auto"/>
        </w:rPr>
      </w:pPr>
    </w:p>
    <w:p>
      <w:pPr>
        <w:ind w:right="100" w:firstLine="656"/>
        <w:spacing w:after="0" w:line="308" w:lineRule="auto"/>
        <w:tabs>
          <w:tab w:leader="none" w:pos="129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Plan is established voluntarily by Toro, it is discretionary in nature and it may be modified, amended, suspended or terminated by Toro at any time, unless otherwise provided in the Plan, the Restricted Stock Unit Award Agreement or this RSU Award Acceptance Agreement;</w:t>
      </w:r>
    </w:p>
    <w:p>
      <w:pPr>
        <w:spacing w:after="0" w:line="146" w:lineRule="exact"/>
        <w:rPr>
          <w:rFonts w:ascii="Arial" w:cs="Arial" w:eastAsia="Arial" w:hAnsi="Arial"/>
          <w:sz w:val="17"/>
          <w:szCs w:val="17"/>
          <w:color w:val="auto"/>
        </w:rPr>
      </w:pPr>
    </w:p>
    <w:p>
      <w:pPr>
        <w:ind w:right="160" w:firstLine="656"/>
        <w:spacing w:after="0" w:line="277"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grant of this RSU Award is voluntary and occasional and does not create any contractual or other right to receive future RSU Awards, or benefits in lieu of RSU Awards, even if RSU Awards have been granted repeatedly in the past;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decisions with respect to any future grant of an RSU Award will be at the sole discretion of Toro;</w:t>
      </w:r>
    </w:p>
    <w:p>
      <w:pPr>
        <w:sectPr>
          <w:pgSz w:w="11900" w:h="16838" w:orient="portrait"/>
          <w:cols w:equalWidth="0" w:num="1">
            <w:col w:w="11420"/>
          </w:cols>
          <w:pgMar w:left="240" w:top="125" w:right="239" w:bottom="0" w:gutter="0" w:footer="0" w:header="0"/>
        </w:sectPr>
      </w:pPr>
    </w:p>
    <w:bookmarkStart w:id="80" w:name="page81"/>
    <w:bookmarkEnd w:id="80"/>
    <w:p>
      <w:pPr>
        <w:ind w:left="1320" w:hanging="66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225" w:lineRule="exact"/>
        <w:rPr>
          <w:rFonts w:ascii="Arial" w:cs="Arial" w:eastAsia="Arial" w:hAnsi="Arial"/>
          <w:sz w:val="18"/>
          <w:szCs w:val="18"/>
          <w:color w:val="auto"/>
        </w:rPr>
      </w:pPr>
    </w:p>
    <w:p>
      <w:pPr>
        <w:ind w:firstLine="656"/>
        <w:spacing w:after="0" w:line="277" w:lineRule="auto"/>
        <w:tabs>
          <w:tab w:leader="none" w:pos="13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RSU Award is an extraordinary item that does not constitute compensation of any kind for services of any kind rendered to Toro or any Affiliate or Subsidiary, and which is outside the scope of my employment contract, if any;</w:t>
      </w:r>
    </w:p>
    <w:p>
      <w:pPr>
        <w:spacing w:after="0" w:line="170" w:lineRule="exact"/>
        <w:rPr>
          <w:rFonts w:ascii="Arial" w:cs="Arial" w:eastAsia="Arial" w:hAnsi="Arial"/>
          <w:sz w:val="18"/>
          <w:szCs w:val="18"/>
          <w:color w:val="auto"/>
        </w:rPr>
      </w:pPr>
    </w:p>
    <w:p>
      <w:pPr>
        <w:jc w:val="both"/>
        <w:ind w:right="220" w:firstLine="656"/>
        <w:spacing w:after="0" w:line="312" w:lineRule="auto"/>
        <w:tabs>
          <w:tab w:leader="none" w:pos="13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RSU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Toro or any Affiliate or Subsidiary;</w:t>
      </w:r>
    </w:p>
    <w:p>
      <w:pPr>
        <w:spacing w:after="0" w:line="146" w:lineRule="exact"/>
        <w:rPr>
          <w:rFonts w:ascii="Arial" w:cs="Arial" w:eastAsia="Arial" w:hAnsi="Arial"/>
          <w:sz w:val="16"/>
          <w:szCs w:val="16"/>
          <w:color w:val="auto"/>
        </w:rPr>
      </w:pPr>
    </w:p>
    <w:p>
      <w:pPr>
        <w:jc w:val="both"/>
        <w:ind w:right="280" w:firstLine="656"/>
        <w:spacing w:after="0" w:line="264" w:lineRule="auto"/>
        <w:tabs>
          <w:tab w:leader="none" w:pos="13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I am not an employee of Toro or any Affiliate or Subsidiary, this RSU Award will not be interpreted to form an employment contract or relationship with Toro or any Affiliate or Subsidiary; and furthermore, this RSU Award will not be interpreted to form an employment contract with Toro or any Affiliate or Subsidiary;</w:t>
      </w:r>
    </w:p>
    <w:p>
      <w:pPr>
        <w:spacing w:after="0" w:line="181"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future value of the Award Shares subject to this RSU Award is unknown and cannot be predicted with certainty and if this RSU Award vests and the Award Shares become issuable in accordance with the terms of the Restricted Stock Unit Award Agreement and this RSU Award Acceptance Agreement, the value of those Award Shares may increase or decrease;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consideration of the grant of this RSU Award, no claim or entitlement to compensation or damages shall arise from termination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RSU Award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diminution in value of this RSU Award or Award Shares acquired upon vesting of this RSU Award resulting from termination of my employment or other service by Toro or any Affiliate or Subsidiary (for any reason whatsoever and whether or not in breach of applicable labor laws) and I hereby irrevocably release Toro and its Affiliates and Subsidiaries from any such claim that may arise; if, notwithstanding the foregoing, any such claim is found by a court of competent jurisdiction to have arisen, then, by acceptance of this RSU Award, I shall be deemed irrevocably to have waived my entitlement to pursue such claim;</w:t>
      </w:r>
    </w:p>
    <w:p>
      <w:pPr>
        <w:spacing w:after="0" w:line="188" w:lineRule="exact"/>
        <w:rPr>
          <w:sz w:val="20"/>
          <w:szCs w:val="20"/>
          <w:color w:val="auto"/>
        </w:rPr>
      </w:pPr>
    </w:p>
    <w:p>
      <w:pPr>
        <w:ind w:firstLine="656"/>
        <w:spacing w:after="0" w:line="272" w:lineRule="auto"/>
        <w:tabs>
          <w:tab w:leader="none" w:pos="1304"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event of termination of my employment or other service (whether or not in breach of local labor laws), my right to vest in this RSU Award and to be issued the Award Shares under the Plan, if any, will terminate effective as of the date that I am no longer actively employed or providing other service and will not be extended by any notice period mandated under local law (e.g., active employment or service would not include a period of “garden leave” or similar period pursuant to local law); furthermore, in the event of termination of my employment or other service (whether or not in breach of local labor laws), my right to vest in this RSU Award after such termination, if any, will be measured by the date of termination of my active employment or other service and will not be extended by any notice period mandated under local law; the Committee shall have the exclusive discretion to determine when I am no longer actively employed or providing other service for purposes of this RSU Award;</w:t>
      </w:r>
    </w:p>
    <w:p>
      <w:pPr>
        <w:spacing w:after="0" w:line="177" w:lineRule="exact"/>
        <w:rPr>
          <w:rFonts w:ascii="Arial" w:cs="Arial" w:eastAsia="Arial" w:hAnsi="Arial"/>
          <w:sz w:val="17"/>
          <w:szCs w:val="17"/>
          <w:color w:val="auto"/>
        </w:rPr>
      </w:pPr>
    </w:p>
    <w:p>
      <w:pPr>
        <w:ind w:firstLine="656"/>
        <w:spacing w:after="0" w:line="308" w:lineRule="auto"/>
        <w:tabs>
          <w:tab w:leader="none" w:pos="130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Toro is not providing any tax, legal or financial advice, nor is Toro making any recommendations regarding my participation in the Plan, my acceptance of this RSU Award, my acquisition of the Award Shares upon vesting of this RSU Award or any sale of the Award Shares; and</w:t>
      </w:r>
    </w:p>
    <w:p>
      <w:pPr>
        <w:spacing w:after="0" w:line="146" w:lineRule="exact"/>
        <w:rPr>
          <w:rFonts w:ascii="Arial" w:cs="Arial" w:eastAsia="Arial" w:hAnsi="Arial"/>
          <w:sz w:val="17"/>
          <w:szCs w:val="17"/>
          <w:color w:val="auto"/>
        </w:rPr>
      </w:pPr>
    </w:p>
    <w:p>
      <w:pPr>
        <w:ind w:right="160" w:firstLine="656"/>
        <w:spacing w:after="0" w:line="277" w:lineRule="auto"/>
        <w:tabs>
          <w:tab w:leader="none" w:pos="13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been advised to consult with my own personal tax, legal and financial advisors regarding my participation in the Plan before taking any action related to the Plan.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 hereby acknowledge that I have received electronically a copy of the Plan, the Prospectus relating to the Plan and Toro’s most recent Annual Report on Form 10-K. I hereby agree to accept electronic delivery of copies of any future amendments or supplements to the U.S. Prospectus or any future Prospectuses relating the Plan and copies of all reports, proxy statements and other communications distributed to Toro’s security holders generally by email directed to my Toro email address.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Note: If you do not wish to accept this RSU Award on the terms stated in the Restricted Stock Unit Award Agreement or this RSU Award Acceptance Agreement, please immediately contact Toro’s Vice President, Secretary and General Counsel, or Director, Total Rewards and HR Services, as applicable, to decline the grant.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left="10420"/>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10/31/2009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10/31/2008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196,262,000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174,826,000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141,268,000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95,788,000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181,289,000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Plus: Fixed charges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24,294,555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24,249,868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23,579,921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24,280,076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26,141,532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Earnings available to cover fixed charges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220,556,555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199,075,868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164,847,921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120,068,076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207,430,532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16,906,000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16,970,000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17,113,000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17,578,000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7,388,555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7,279,868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6,466,921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6,702,076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24,294,555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24,249,868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23,579,921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24,280,076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26,141,532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3"/>
          </w:tcPr>
          <w:p>
            <w:pPr>
              <w:ind w:left="144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rPr>
              <w:t>THE TORO COMPANY AND SUBSIDIARIES</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34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8"/>
              </w:rPr>
              <w:t>Subsidiaries of Registrant</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80" w:type="dxa"/>
            <w:vAlign w:val="bottom"/>
            <w:gridSpan w:val="6"/>
          </w:tcPr>
          <w:p>
            <w:pPr>
              <w:spacing w:after="0"/>
              <w:rPr>
                <w:sz w:val="20"/>
                <w:szCs w:val="20"/>
                <w:color w:val="auto"/>
              </w:rPr>
            </w:pPr>
            <w:r>
              <w:rPr>
                <w:rFonts w:ascii="Arial" w:cs="Arial" w:eastAsia="Arial" w:hAnsi="Arial"/>
                <w:sz w:val="18"/>
                <w:szCs w:val="18"/>
                <w:color w:val="auto"/>
              </w:rPr>
              <w:t>The following are significant subsidiaries of The Toro Company as of December 12, 2012.</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State or Other Jurisdiction</w:t>
            </w:r>
          </w:p>
        </w:tc>
        <w:tc>
          <w:tcPr>
            <w:tcW w:w="2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Percentage of Voting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of Incorporation</w:t>
            </w:r>
          </w:p>
        </w:tc>
        <w:tc>
          <w:tcPr>
            <w:tcW w:w="2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Securities 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7"/>
              </w:rPr>
              <w:t>Exmark Manufacturing Company Incorporated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Nebraska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Holdings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Hayter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United Kingdom</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Holiman Co. Inc.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Pennsylvania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S.r.l.</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Irritrol Systems Europe Productions S.r.l.</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Italy</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MTI Distributing, Inc.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Rain Master Irrigation Systems, Inc.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California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Acceptance, LLC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Holding Corporation</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Red Iron Insurance,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Bermuda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The ShopToro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Pty.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Australia Group Sales Pty. Ltd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Australia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Credit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9"/>
              </w:rPr>
              <w:t>Toro Company de Mexico, S. de R.L. de C.V.</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Mexico</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Europe N.V.</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Belgium</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Factoring Company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Guernsey</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Finance Co. GmbH</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Switzerland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(Gibraltar) Limited</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Gibraltar</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Global Services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Luxembourg S.à.r.l.</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Luxembourg</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LLC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and Sales, S.R.L.</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Romania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Mexico Holdings, LLC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International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Manufacturing LLC</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Delaware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Purchasing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R&amp;D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Toro Sales Company</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Minnesota</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7920" w:val="left"/>
          <w:tab w:leader="none" w:pos="10960" w:val="left"/>
        </w:tabs>
        <w:rPr>
          <w:sz w:val="20"/>
          <w:szCs w:val="20"/>
          <w:color w:val="auto"/>
        </w:rPr>
      </w:pPr>
      <w:r>
        <w:rPr>
          <w:rFonts w:ascii="Arial" w:cs="Arial" w:eastAsia="Arial" w:hAnsi="Arial"/>
          <w:sz w:val="18"/>
          <w:szCs w:val="18"/>
          <w:color w:val="auto"/>
        </w:rPr>
        <w:t>Toro Warranty Company</w:t>
      </w:r>
      <w:r>
        <w:rPr>
          <w:sz w:val="20"/>
          <w:szCs w:val="20"/>
          <w:color w:val="auto"/>
        </w:rPr>
        <w:tab/>
      </w:r>
      <w:r>
        <w:rPr>
          <w:rFonts w:ascii="Arial" w:cs="Arial" w:eastAsia="Arial" w:hAnsi="Arial"/>
          <w:sz w:val="18"/>
          <w:szCs w:val="18"/>
          <w:color w:val="auto"/>
        </w:rPr>
        <w:t>Minnesota</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04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B.V</w:t>
            </w:r>
          </w:p>
        </w:tc>
        <w:tc>
          <w:tcPr>
            <w:tcW w:w="50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Netherlands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Tover Overseas I C.V.</w:t>
            </w:r>
          </w:p>
        </w:tc>
        <w:tc>
          <w:tcPr>
            <w:tcW w:w="50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Netherlands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(Canada), Inc.</w:t>
            </w:r>
          </w:p>
        </w:tc>
        <w:tc>
          <w:tcPr>
            <w:tcW w:w="50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New Brunswick, Canada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Western Equipment Distributors, Inc.</w:t>
            </w:r>
          </w:p>
        </w:tc>
        <w:tc>
          <w:tcPr>
            <w:tcW w:w="50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Minnesota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consent to incorporation by reference in the Registration Statement No. 333-142282 on Form S-3 and in Registration Statements (Nos. 333-03505, 333-44879, 333-36166, 333-47260, 333-57198, 333-89260, 333-89262, 333-135033, 333-119504, 333-119506, 333-151086, 333-159767, and 333-165582) on Form S-8 of The Toro Company of our report dated December 21, 2012, related to the consolidated balance sheets of The Toro Company and subsidiaries as of October 31, 2012 and 2011, and the related consolidated statements of earnings, comprehensive income, cash flows, and stockholders’ equity and related financial statement schedule for each of the years in the three year period ended October 31, 2012, and the effectiveness of internal control over financial reporting as of October 31, 2012, which report is included in the Annual Report on Form 10-K of The Toro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ended October 31, 2012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2012</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952"/>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bullet"/>
      <w:start w:val="1"/>
    </w:lvl>
  </w:abstractNum>
  <w:abstractNum w:abstractNumId="29">
    <w:nsid w:val="6DE91B18"/>
    <w:multiLevelType w:val="hybridMultilevel"/>
    <w:lvl w:ilvl="0">
      <w:lvlJc w:val="left"/>
      <w:lvlText w:val="1"/>
      <w:numFmt w:val="bullet"/>
      <w:start w:val="1"/>
    </w:lvl>
  </w:abstractNum>
  <w:abstractNum w:abstractNumId="30">
    <w:nsid w:val="38437FDB"/>
    <w:multiLevelType w:val="hybridMultilevel"/>
    <w:lvl w:ilvl="0">
      <w:lvlJc w:val="left"/>
      <w:lvlText w:val="2"/>
      <w:numFmt w:val="bullet"/>
      <w:start w:val="1"/>
    </w:lvl>
  </w:abstractNum>
  <w:abstractNum w:abstractNumId="31">
    <w:nsid w:val="7644A45C"/>
    <w:multiLevelType w:val="hybridMultilevel"/>
    <w:lvl w:ilvl="0">
      <w:lvlJc w:val="left"/>
      <w:lvlText w:val="3"/>
      <w:numFmt w:val="bullet"/>
      <w:start w:val="1"/>
    </w:lvl>
  </w:abstractNum>
  <w:abstractNum w:abstractNumId="32">
    <w:nsid w:val="32FFF902"/>
    <w:multiLevelType w:val="hybridMultilevel"/>
    <w:lvl w:ilvl="0">
      <w:lvlJc w:val="left"/>
      <w:lvlText w:val="4"/>
      <w:numFmt w:val="bullet"/>
      <w:start w:val="1"/>
    </w:lvl>
  </w:abstractNum>
  <w:abstractNum w:abstractNumId="33">
    <w:nsid w:val="684A481A"/>
    <w:multiLevelType w:val="hybridMultilevel"/>
    <w:lvl w:ilvl="0">
      <w:lvlJc w:val="left"/>
      <w:lvlText w:val="6"/>
      <w:numFmt w:val="bullet"/>
      <w:start w:val="1"/>
    </w:lvl>
  </w:abstractNum>
  <w:abstractNum w:abstractNumId="34">
    <w:nsid w:val="579478FE"/>
    <w:multiLevelType w:val="hybridMultilevel"/>
    <w:lvl w:ilvl="0">
      <w:lvlJc w:val="left"/>
      <w:lvlText w:val="7"/>
      <w:numFmt w:val="bullet"/>
      <w:start w:val="1"/>
    </w:lvl>
  </w:abstractNum>
  <w:abstractNum w:abstractNumId="35">
    <w:nsid w:val="749ABB43"/>
    <w:multiLevelType w:val="hybridMultilevel"/>
    <w:lvl w:ilvl="0">
      <w:lvlJc w:val="left"/>
      <w:lvlText w:val="8"/>
      <w:numFmt w:val="bullet"/>
      <w:start w:val="1"/>
    </w:lvl>
  </w:abstractNum>
  <w:abstractNum w:abstractNumId="36">
    <w:nsid w:val="3DC240FB"/>
    <w:multiLevelType w:val="hybridMultilevel"/>
    <w:lvl w:ilvl="0">
      <w:lvlJc w:val="left"/>
      <w:lvlText w:val="9"/>
      <w:numFmt w:val="bullet"/>
      <w:start w:val="1"/>
    </w:lvl>
  </w:abstractNum>
  <w:abstractNum w:abstractNumId="37">
    <w:nsid w:val="1BA026FA"/>
    <w:multiLevelType w:val="hybridMultilevel"/>
    <w:lvl w:ilvl="0">
      <w:lvlJc w:val="left"/>
      <w:lvlText w:val="(%1)"/>
      <w:numFmt w:val="lowerRoman"/>
      <w:start w:val="2"/>
    </w:lvl>
  </w:abstractNum>
  <w:abstractNum w:abstractNumId="38">
    <w:nsid w:val="79A1DEAA"/>
    <w:multiLevelType w:val="hybridMultilevel"/>
    <w:lvl w:ilvl="0">
      <w:lvlJc w:val="left"/>
      <w:lvlText w:val="1"/>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2"/>
    </w:lvl>
  </w:abstractNum>
  <w:abstractNum w:abstractNumId="42">
    <w:nsid w:val="520EEDD1"/>
    <w:multiLevelType w:val="hybridMultilevel"/>
    <w:lvl w:ilvl="0">
      <w:lvlJc w:val="left"/>
      <w:lvlText w:val="%1"/>
      <w:numFmt w:val="decimal"/>
      <w:start w:val="21"/>
    </w:lvl>
  </w:abstractNum>
  <w:abstractNum w:abstractNumId="43">
    <w:nsid w:val="374A3FE6"/>
    <w:multiLevelType w:val="hybridMultilevel"/>
    <w:lvl w:ilvl="0">
      <w:lvlJc w:val="left"/>
      <w:lvlText w:val="%1"/>
      <w:numFmt w:val="decimal"/>
      <w:start w:val="23"/>
    </w:lvl>
  </w:abstractNum>
  <w:abstractNum w:abstractNumId="44">
    <w:nsid w:val="4F4EF005"/>
    <w:multiLevelType w:val="hybridMultilevel"/>
    <w:lvl w:ilvl="0">
      <w:lvlJc w:val="left"/>
      <w:lvlText w:val="%1"/>
      <w:numFmt w:val="decimal"/>
      <w:start w:val="32"/>
    </w:lvl>
  </w:abstractNum>
  <w:abstractNum w:abstractNumId="45">
    <w:nsid w:val="23F9C13C"/>
    <w:multiLevelType w:val="hybridMultilevel"/>
    <w:lvl w:ilvl="0">
      <w:lvlJc w:val="left"/>
      <w:lvlText w:val="%1"/>
      <w:numFmt w:val="decimal"/>
      <w:start w:val="10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3"/>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decimal"/>
      <w:start w:val="1"/>
    </w:lvl>
    <w:lvl w:ilvl="1">
      <w:lvlJc w:val="left"/>
      <w:lvlText w:val="(%2)"/>
      <w:numFmt w:val="lowerLetter"/>
      <w:start w:val="1"/>
    </w:lvl>
  </w:abstractNum>
  <w:abstractNum w:abstractNumId="53">
    <w:nsid w:val="354FE9F9"/>
    <w:multiLevelType w:val="hybridMultilevel"/>
    <w:lvl w:ilvl="0">
      <w:lvlJc w:val="left"/>
      <w:lvlText w:val="%1"/>
      <w:numFmt w:val="lowerLetter"/>
      <w:start w:val="1"/>
    </w:lvl>
    <w:lvl w:ilvl="1">
      <w:lvlJc w:val="left"/>
      <w:lvlText w:val="(%2)"/>
      <w:numFmt w:val="lowerLetter"/>
      <w:start w:val="2"/>
    </w:lvl>
  </w:abstractNum>
  <w:abstractNum w:abstractNumId="54">
    <w:nsid w:val="15B5AF5C"/>
    <w:multiLevelType w:val="hybridMultilevel"/>
    <w:lvl w:ilvl="0">
      <w:lvlJc w:val="left"/>
      <w:lvlText w:val="(%1)"/>
      <w:numFmt w:val="lowerLetter"/>
      <w:start w:val="4"/>
    </w:lvl>
    <w:lvl w:ilvl="1">
      <w:lvlJc w:val="left"/>
      <w:lvlText w:val="%2"/>
      <w:numFmt w:val="lowerLetter"/>
      <w:start w:val="1"/>
    </w:lvl>
  </w:abstractNum>
  <w:abstractNum w:abstractNumId="55">
    <w:nsid w:val="741226BB"/>
    <w:multiLevelType w:val="hybridMultilevel"/>
    <w:lvl w:ilvl="0">
      <w:lvlJc w:val="left"/>
      <w:lvlText w:val="%1."/>
      <w:numFmt w:val="decimal"/>
      <w:start w:val="2"/>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decimal"/>
      <w:start w:val="12"/>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lowerLetter"/>
      <w:start w:val="4"/>
    </w:lvl>
  </w:abstractNum>
  <w:abstractNum w:abstractNumId="60">
    <w:nsid w:val="7E0C57B1"/>
    <w:multiLevelType w:val="hybridMultilevel"/>
    <w:lvl w:ilvl="0">
      <w:lvlJc w:val="left"/>
      <w:lvlText w:val="(%1)"/>
      <w:numFmt w:val="lowerLetter"/>
      <w:start w:val="10"/>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2019-12-09T08:19:30Z</dcterms:created>
  <dcterms:modified xsi:type="dcterms:W3CDTF">2019-12-09T08:19:30Z</dcterms:modified>
</cp:coreProperties>
</file>