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MOELLER PETER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7"/>
        <w:spacing w:after="0"/>
        <w:rPr>
          <w:sz w:val="20"/>
          <w:szCs w:val="20"/>
          <w:color w:val="auto"/>
        </w:rPr>
      </w:pPr>
      <w:r>
        <w:rPr>
          <w:rFonts w:ascii="Arial" w:cs="Arial" w:eastAsia="Arial" w:hAnsi="Arial"/>
          <w:sz w:val="17"/>
          <w:szCs w:val="17"/>
          <w:color w:val="0000FF"/>
        </w:rPr>
        <w:t>VP, International</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08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12/16/2020</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A</w:t>
            </w:r>
          </w:p>
        </w:tc>
        <w:tc>
          <w:tcPr>
            <w:tcW w:w="68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685</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2,635.276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12/16/2020</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210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92.26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2,425.276</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4,877.906</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7,500</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0000FF"/>
                <w:w w:val="92"/>
              </w:rPr>
              <w:t>12/17/2030</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7,500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7,500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5.638 shares acquired by the reporting person since the date of his last report under a dividend reinvestment feature of the account in which the shares are held.</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13.841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2020-12-18T16:54:04Z</dcterms:created>
  <dcterms:modified xsi:type="dcterms:W3CDTF">2020-12-18T16:54:04Z</dcterms:modified>
</cp:coreProperties>
</file>